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宋体" w:hAnsi="宋体" w:cs="宋体"/>
          <w:sz w:val="44"/>
          <w:szCs w:val="44"/>
          <w:highlight w:val="none"/>
        </w:rPr>
      </w:pPr>
      <w:r>
        <w:rPr>
          <w:rFonts w:hint="eastAsia" w:ascii="宋体" w:hAnsi="宋体" w:cs="宋体"/>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宋体" w:hAnsi="宋体" w:cs="宋体"/>
          <w:sz w:val="44"/>
          <w:szCs w:val="44"/>
          <w:highlight w:val="none"/>
        </w:rPr>
      </w:pPr>
    </w:p>
    <w:p>
      <w:pPr>
        <w:spacing w:line="760" w:lineRule="exact"/>
        <w:jc w:val="center"/>
        <w:rPr>
          <w:rFonts w:ascii="宋体" w:hAnsi="宋体" w:cs="宋体"/>
          <w:sz w:val="44"/>
          <w:szCs w:val="44"/>
          <w:highlight w:val="none"/>
        </w:rPr>
      </w:pPr>
    </w:p>
    <w:p>
      <w:pPr>
        <w:spacing w:line="760" w:lineRule="exact"/>
        <w:jc w:val="center"/>
        <w:rPr>
          <w:rFonts w:ascii="宋体" w:hAnsi="宋体" w:cs="宋体"/>
          <w:sz w:val="44"/>
          <w:szCs w:val="44"/>
          <w:highlight w:val="none"/>
        </w:rPr>
      </w:pPr>
    </w:p>
    <w:p>
      <w:pPr>
        <w:spacing w:line="760" w:lineRule="exact"/>
        <w:jc w:val="center"/>
        <w:rPr>
          <w:rFonts w:ascii="宋体" w:hAnsi="宋体" w:cs="宋体"/>
          <w:sz w:val="72"/>
          <w:szCs w:val="72"/>
          <w:highlight w:val="none"/>
        </w:rPr>
      </w:pPr>
      <w:r>
        <w:rPr>
          <w:rFonts w:hint="eastAsia" w:ascii="宋体" w:hAnsi="宋体" w:cs="宋体"/>
          <w:sz w:val="72"/>
          <w:szCs w:val="72"/>
          <w:highlight w:val="none"/>
        </w:rPr>
        <w:t>重庆医科大学</w:t>
      </w:r>
    </w:p>
    <w:p>
      <w:pPr>
        <w:spacing w:line="760" w:lineRule="exact"/>
        <w:jc w:val="center"/>
        <w:rPr>
          <w:rFonts w:ascii="宋体" w:hAnsi="宋体" w:cs="宋体"/>
          <w:sz w:val="72"/>
          <w:szCs w:val="72"/>
          <w:highlight w:val="none"/>
        </w:rPr>
      </w:pPr>
    </w:p>
    <w:p>
      <w:pPr>
        <w:spacing w:line="760" w:lineRule="exact"/>
        <w:jc w:val="center"/>
        <w:outlineLvl w:val="0"/>
        <w:rPr>
          <w:rFonts w:ascii="宋体" w:hAnsi="宋体" w:cs="宋体"/>
          <w:sz w:val="72"/>
          <w:szCs w:val="72"/>
          <w:highlight w:val="none"/>
        </w:rPr>
      </w:pPr>
      <w:r>
        <w:rPr>
          <w:rFonts w:hint="eastAsia" w:ascii="宋体" w:hAnsi="宋体" w:cs="宋体"/>
          <w:sz w:val="72"/>
          <w:szCs w:val="72"/>
          <w:highlight w:val="none"/>
        </w:rPr>
        <w:t>竞争性谈判文件</w:t>
      </w:r>
    </w:p>
    <w:p>
      <w:pPr>
        <w:spacing w:line="760" w:lineRule="exact"/>
        <w:rPr>
          <w:rFonts w:ascii="宋体" w:hAnsi="宋体" w:cs="宋体"/>
          <w:spacing w:val="80"/>
          <w:sz w:val="44"/>
          <w:szCs w:val="44"/>
          <w:highlight w:val="none"/>
        </w:rPr>
      </w:pPr>
    </w:p>
    <w:p>
      <w:pPr>
        <w:spacing w:line="760" w:lineRule="exact"/>
        <w:jc w:val="center"/>
        <w:rPr>
          <w:rFonts w:ascii="宋体" w:hAnsi="宋体" w:cs="宋体"/>
          <w:spacing w:val="80"/>
          <w:sz w:val="44"/>
          <w:szCs w:val="44"/>
          <w:highlight w:val="none"/>
        </w:rPr>
      </w:pPr>
    </w:p>
    <w:p>
      <w:pPr>
        <w:spacing w:line="760" w:lineRule="exact"/>
        <w:ind w:firstLine="1320" w:firstLineChars="300"/>
        <w:jc w:val="left"/>
        <w:rPr>
          <w:rFonts w:ascii="宋体" w:hAnsi="宋体" w:cs="宋体"/>
          <w:sz w:val="44"/>
          <w:szCs w:val="44"/>
          <w:highlight w:val="none"/>
        </w:rPr>
      </w:pPr>
      <w:r>
        <w:rPr>
          <w:rFonts w:hint="eastAsia" w:ascii="宋体" w:hAnsi="宋体" w:cs="宋体"/>
          <w:sz w:val="44"/>
          <w:szCs w:val="44"/>
          <w:highlight w:val="none"/>
        </w:rPr>
        <w:t>采购计划编号：JC20240110002</w:t>
      </w:r>
    </w:p>
    <w:p>
      <w:pPr>
        <w:spacing w:line="760" w:lineRule="exact"/>
        <w:ind w:left="3959" w:leftChars="471" w:hanging="2640" w:hangingChars="600"/>
        <w:jc w:val="left"/>
        <w:rPr>
          <w:rFonts w:hint="default" w:ascii="宋体" w:hAnsi="宋体" w:eastAsia="宋体" w:cs="宋体"/>
          <w:color w:val="FF0000"/>
          <w:sz w:val="44"/>
          <w:szCs w:val="44"/>
          <w:highlight w:val="none"/>
          <w:lang w:val="en-US" w:eastAsia="zh-CN"/>
        </w:rPr>
      </w:pPr>
      <w:r>
        <w:rPr>
          <w:rFonts w:hint="eastAsia" w:ascii="宋体" w:hAnsi="宋体" w:cs="宋体"/>
          <w:sz w:val="44"/>
          <w:szCs w:val="44"/>
          <w:highlight w:val="none"/>
        </w:rPr>
        <w:t>采购项目名称：</w:t>
      </w:r>
      <w:r>
        <w:rPr>
          <w:rFonts w:hint="eastAsia" w:ascii="宋体" w:hAnsi="宋体" w:cs="宋体"/>
          <w:color w:val="auto"/>
          <w:sz w:val="44"/>
          <w:szCs w:val="44"/>
          <w:highlight w:val="none"/>
        </w:rPr>
        <w:t>重庆医科大学基础医学院采购高性能服务器</w:t>
      </w:r>
      <w:r>
        <w:rPr>
          <w:rFonts w:hint="eastAsia" w:ascii="宋体" w:hAnsi="宋体" w:cs="宋体"/>
          <w:color w:val="auto"/>
          <w:sz w:val="44"/>
          <w:szCs w:val="44"/>
          <w:highlight w:val="none"/>
          <w:lang w:val="en-US" w:eastAsia="zh-CN"/>
        </w:rPr>
        <w:t>及</w:t>
      </w:r>
      <w:r>
        <w:rPr>
          <w:rFonts w:hint="eastAsia" w:ascii="宋体" w:hAnsi="宋体" w:cs="宋体"/>
          <w:color w:val="auto"/>
          <w:sz w:val="44"/>
          <w:szCs w:val="44"/>
          <w:highlight w:val="none"/>
        </w:rPr>
        <w:t>传感器</w:t>
      </w:r>
    </w:p>
    <w:p>
      <w:pPr>
        <w:spacing w:line="760" w:lineRule="exact"/>
        <w:rPr>
          <w:rFonts w:ascii="宋体" w:hAnsi="宋体" w:cs="宋体"/>
          <w:sz w:val="44"/>
          <w:szCs w:val="44"/>
          <w:highlight w:val="none"/>
        </w:rPr>
      </w:pPr>
    </w:p>
    <w:p>
      <w:pPr>
        <w:spacing w:line="760" w:lineRule="exact"/>
        <w:jc w:val="center"/>
        <w:rPr>
          <w:rFonts w:ascii="宋体" w:hAnsi="宋体" w:cs="宋体"/>
          <w:sz w:val="36"/>
          <w:szCs w:val="36"/>
          <w:highlight w:val="none"/>
        </w:rPr>
      </w:pPr>
    </w:p>
    <w:p>
      <w:pPr>
        <w:spacing w:line="760" w:lineRule="exact"/>
        <w:jc w:val="center"/>
        <w:rPr>
          <w:rFonts w:ascii="宋体" w:hAnsi="宋体" w:cs="宋体"/>
          <w:sz w:val="36"/>
          <w:szCs w:val="36"/>
          <w:highlight w:val="none"/>
        </w:rPr>
      </w:pPr>
    </w:p>
    <w:p>
      <w:pPr>
        <w:spacing w:line="760" w:lineRule="exact"/>
        <w:jc w:val="center"/>
        <w:rPr>
          <w:rFonts w:ascii="宋体" w:hAnsi="宋体" w:cs="宋体"/>
          <w:sz w:val="36"/>
          <w:szCs w:val="36"/>
          <w:highlight w:val="none"/>
        </w:rPr>
      </w:pPr>
      <w:r>
        <w:rPr>
          <w:rFonts w:hint="eastAsia" w:ascii="宋体" w:hAnsi="宋体" w:cs="宋体"/>
          <w:sz w:val="36"/>
          <w:szCs w:val="36"/>
          <w:highlight w:val="none"/>
        </w:rPr>
        <w:t>采购人：重庆医科大学</w:t>
      </w:r>
    </w:p>
    <w:p>
      <w:pPr>
        <w:spacing w:line="760" w:lineRule="exact"/>
        <w:jc w:val="center"/>
        <w:rPr>
          <w:rFonts w:ascii="宋体" w:hAnsi="宋体" w:cs="宋体"/>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s="宋体"/>
          <w:sz w:val="36"/>
          <w:szCs w:val="36"/>
          <w:highlight w:val="none"/>
        </w:rPr>
        <w:t>二〇二四年</w:t>
      </w:r>
      <w:r>
        <w:rPr>
          <w:rFonts w:hint="eastAsia" w:ascii="宋体" w:hAnsi="宋体" w:cs="宋体"/>
          <w:sz w:val="36"/>
          <w:szCs w:val="36"/>
          <w:highlight w:val="none"/>
          <w:lang w:val="en-US" w:eastAsia="zh-CN"/>
        </w:rPr>
        <w:t>三</w:t>
      </w:r>
      <w:r>
        <w:rPr>
          <w:rFonts w:hint="eastAsia" w:ascii="宋体" w:hAnsi="宋体" w:cs="宋体"/>
          <w:sz w:val="36"/>
          <w:szCs w:val="36"/>
          <w:highlight w:val="none"/>
        </w:rPr>
        <w:t>月</w:t>
      </w:r>
    </w:p>
    <w:p>
      <w:pPr>
        <w:spacing w:line="560" w:lineRule="exact"/>
        <w:jc w:val="center"/>
        <w:outlineLvl w:val="0"/>
        <w:rPr>
          <w:rFonts w:ascii="宋体" w:hAnsi="宋体" w:cs="宋体"/>
          <w:szCs w:val="28"/>
          <w:highlight w:val="none"/>
        </w:rPr>
      </w:pPr>
      <w:r>
        <w:rPr>
          <w:rFonts w:hint="eastAsia" w:ascii="宋体" w:hAnsi="宋体" w:cs="宋体"/>
          <w:szCs w:val="28"/>
          <w:highlight w:val="none"/>
        </w:rPr>
        <w:t>目录</w:t>
      </w:r>
    </w:p>
    <w:p>
      <w:pPr>
        <w:pStyle w:val="45"/>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TOC \o "1-3" \h \z </w:instrText>
      </w:r>
      <w:r>
        <w:rPr>
          <w:rFonts w:hint="eastAsia" w:ascii="宋体" w:hAnsi="宋体" w:cs="宋体"/>
          <w:szCs w:val="28"/>
          <w:highlight w:val="none"/>
        </w:rPr>
        <w:fldChar w:fldCharType="separate"/>
      </w: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_Toc12514 </w:instrText>
      </w:r>
      <w:r>
        <w:rPr>
          <w:rFonts w:hint="eastAsia" w:ascii="宋体" w:hAnsi="宋体" w:cs="宋体"/>
          <w:szCs w:val="28"/>
          <w:highlight w:val="none"/>
        </w:rPr>
        <w:fldChar w:fldCharType="separate"/>
      </w:r>
      <w:r>
        <w:rPr>
          <w:rFonts w:hint="eastAsia" w:ascii="宋体" w:hAnsi="宋体" w:eastAsia="宋体" w:cs="宋体"/>
          <w:szCs w:val="44"/>
          <w:highlight w:val="none"/>
        </w:rPr>
        <w:t>第一篇竞争性谈判邀请书</w:t>
      </w:r>
      <w:r>
        <w:tab/>
      </w:r>
      <w:r>
        <w:fldChar w:fldCharType="begin"/>
      </w:r>
      <w:r>
        <w:instrText xml:space="preserve"> PAGEREF _Toc12514 \h </w:instrText>
      </w:r>
      <w:r>
        <w:fldChar w:fldCharType="separate"/>
      </w:r>
      <w:r>
        <w:t>- 2 -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_Toc13542 </w:instrText>
      </w:r>
      <w:r>
        <w:rPr>
          <w:rFonts w:hint="eastAsia" w:ascii="宋体" w:hAnsi="宋体" w:cs="宋体"/>
          <w:szCs w:val="28"/>
          <w:highlight w:val="none"/>
        </w:rPr>
        <w:fldChar w:fldCharType="separate"/>
      </w:r>
      <w:r>
        <w:rPr>
          <w:rFonts w:hint="eastAsia" w:ascii="宋体" w:hAnsi="宋体" w:cs="宋体"/>
          <w:szCs w:val="28"/>
          <w:highlight w:val="none"/>
        </w:rPr>
        <w:t>一、竞争性谈判内容</w:t>
      </w:r>
      <w:r>
        <w:tab/>
      </w:r>
      <w:r>
        <w:fldChar w:fldCharType="begin"/>
      </w:r>
      <w:r>
        <w:instrText xml:space="preserve"> PAGEREF _Toc13542 \h </w:instrText>
      </w:r>
      <w:r>
        <w:fldChar w:fldCharType="separate"/>
      </w:r>
      <w:r>
        <w:t>- 2 -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_Toc17493 </w:instrText>
      </w:r>
      <w:r>
        <w:rPr>
          <w:rFonts w:hint="eastAsia" w:ascii="宋体" w:hAnsi="宋体" w:cs="宋体"/>
          <w:szCs w:val="28"/>
          <w:highlight w:val="none"/>
        </w:rPr>
        <w:fldChar w:fldCharType="separate"/>
      </w:r>
      <w:r>
        <w:rPr>
          <w:rFonts w:hint="eastAsia" w:ascii="宋体" w:hAnsi="宋体" w:cs="宋体"/>
          <w:szCs w:val="28"/>
          <w:highlight w:val="none"/>
        </w:rPr>
        <w:t>二、资金来源</w:t>
      </w:r>
      <w:r>
        <w:tab/>
      </w:r>
      <w:r>
        <w:fldChar w:fldCharType="begin"/>
      </w:r>
      <w:r>
        <w:instrText xml:space="preserve"> PAGEREF _Toc17493 \h </w:instrText>
      </w:r>
      <w:r>
        <w:fldChar w:fldCharType="separate"/>
      </w:r>
      <w:r>
        <w:t>- 2 -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_Toc17220 </w:instrText>
      </w:r>
      <w:r>
        <w:rPr>
          <w:rFonts w:hint="eastAsia" w:ascii="宋体" w:hAnsi="宋体" w:cs="宋体"/>
          <w:szCs w:val="28"/>
          <w:highlight w:val="none"/>
        </w:rPr>
        <w:fldChar w:fldCharType="separate"/>
      </w:r>
      <w:r>
        <w:rPr>
          <w:rFonts w:hint="eastAsia" w:ascii="宋体" w:hAnsi="宋体" w:cs="宋体"/>
          <w:szCs w:val="28"/>
          <w:highlight w:val="none"/>
        </w:rPr>
        <w:t>三、谈判资格</w:t>
      </w:r>
      <w:r>
        <w:tab/>
      </w:r>
      <w:r>
        <w:fldChar w:fldCharType="begin"/>
      </w:r>
      <w:r>
        <w:instrText xml:space="preserve"> PAGEREF _Toc17220 \h </w:instrText>
      </w:r>
      <w:r>
        <w:fldChar w:fldCharType="separate"/>
      </w:r>
      <w:r>
        <w:t>- 2 -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_Toc32692 </w:instrText>
      </w:r>
      <w:r>
        <w:rPr>
          <w:rFonts w:hint="eastAsia" w:ascii="宋体" w:hAnsi="宋体" w:cs="宋体"/>
          <w:szCs w:val="28"/>
          <w:highlight w:val="none"/>
        </w:rPr>
        <w:fldChar w:fldCharType="separate"/>
      </w:r>
      <w:r>
        <w:rPr>
          <w:rFonts w:hint="eastAsia" w:ascii="宋体" w:hAnsi="宋体" w:cs="宋体"/>
          <w:szCs w:val="28"/>
          <w:highlight w:val="none"/>
        </w:rPr>
        <w:t>四、谈判有关说明</w:t>
      </w:r>
      <w:r>
        <w:tab/>
      </w:r>
      <w:r>
        <w:fldChar w:fldCharType="begin"/>
      </w:r>
      <w:r>
        <w:instrText xml:space="preserve"> PAGEREF _Toc32692 \h </w:instrText>
      </w:r>
      <w:r>
        <w:fldChar w:fldCharType="separate"/>
      </w:r>
      <w:r>
        <w:t>- 2 -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_Toc7132 </w:instrText>
      </w:r>
      <w:r>
        <w:rPr>
          <w:rFonts w:hint="eastAsia" w:ascii="宋体" w:hAnsi="宋体" w:cs="宋体"/>
          <w:szCs w:val="28"/>
          <w:highlight w:val="none"/>
        </w:rPr>
        <w:fldChar w:fldCharType="separate"/>
      </w:r>
      <w:r>
        <w:rPr>
          <w:rFonts w:hint="eastAsia" w:ascii="宋体" w:hAnsi="宋体" w:cs="宋体"/>
          <w:szCs w:val="28"/>
          <w:highlight w:val="none"/>
        </w:rPr>
        <w:t>五、保证金</w:t>
      </w:r>
      <w:r>
        <w:tab/>
      </w:r>
      <w:r>
        <w:fldChar w:fldCharType="begin"/>
      </w:r>
      <w:r>
        <w:instrText xml:space="preserve"> PAGEREF _Toc7132 \h </w:instrText>
      </w:r>
      <w:r>
        <w:fldChar w:fldCharType="separate"/>
      </w:r>
      <w:r>
        <w:t>- 4 -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_Toc7022 </w:instrText>
      </w:r>
      <w:r>
        <w:rPr>
          <w:rFonts w:hint="eastAsia" w:ascii="宋体" w:hAnsi="宋体" w:cs="宋体"/>
          <w:szCs w:val="28"/>
          <w:highlight w:val="none"/>
        </w:rPr>
        <w:fldChar w:fldCharType="separate"/>
      </w:r>
      <w:r>
        <w:rPr>
          <w:rFonts w:hint="eastAsia" w:ascii="宋体" w:hAnsi="宋体" w:cs="宋体"/>
          <w:bCs/>
          <w:szCs w:val="28"/>
          <w:highlight w:val="none"/>
        </w:rPr>
        <w:t>六、采购项目需落实的政府采购政策</w:t>
      </w:r>
      <w:r>
        <w:tab/>
      </w:r>
      <w:r>
        <w:fldChar w:fldCharType="begin"/>
      </w:r>
      <w:r>
        <w:instrText xml:space="preserve"> PAGEREF _Toc7022 \h </w:instrText>
      </w:r>
      <w:r>
        <w:fldChar w:fldCharType="separate"/>
      </w:r>
      <w:r>
        <w:t>- 5 -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_Toc1865 </w:instrText>
      </w:r>
      <w:r>
        <w:rPr>
          <w:rFonts w:hint="eastAsia" w:ascii="宋体" w:hAnsi="宋体" w:cs="宋体"/>
          <w:szCs w:val="28"/>
          <w:highlight w:val="none"/>
        </w:rPr>
        <w:fldChar w:fldCharType="separate"/>
      </w:r>
      <w:r>
        <w:rPr>
          <w:rFonts w:hint="eastAsia" w:ascii="宋体" w:hAnsi="宋体" w:cs="宋体"/>
          <w:bCs/>
          <w:szCs w:val="28"/>
          <w:highlight w:val="none"/>
        </w:rPr>
        <w:t>七、其它有关规定</w:t>
      </w:r>
      <w:r>
        <w:tab/>
      </w:r>
      <w:r>
        <w:fldChar w:fldCharType="begin"/>
      </w:r>
      <w:r>
        <w:instrText xml:space="preserve"> PAGEREF _Toc1865 \h </w:instrText>
      </w:r>
      <w:r>
        <w:fldChar w:fldCharType="separate"/>
      </w:r>
      <w:r>
        <w:t>- 5 -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_Toc4083 </w:instrText>
      </w:r>
      <w:r>
        <w:rPr>
          <w:rFonts w:hint="eastAsia" w:ascii="宋体" w:hAnsi="宋体" w:cs="宋体"/>
          <w:szCs w:val="28"/>
          <w:highlight w:val="none"/>
        </w:rPr>
        <w:fldChar w:fldCharType="separate"/>
      </w:r>
      <w:r>
        <w:rPr>
          <w:rFonts w:hint="eastAsia" w:ascii="宋体" w:hAnsi="宋体" w:cs="宋体"/>
          <w:bCs/>
          <w:szCs w:val="28"/>
          <w:highlight w:val="none"/>
        </w:rPr>
        <w:t>八、联系方式</w:t>
      </w:r>
      <w:r>
        <w:tab/>
      </w:r>
      <w:r>
        <w:fldChar w:fldCharType="begin"/>
      </w:r>
      <w:r>
        <w:instrText xml:space="preserve"> PAGEREF _Toc4083 \h </w:instrText>
      </w:r>
      <w:r>
        <w:fldChar w:fldCharType="separate"/>
      </w:r>
      <w:r>
        <w:t>- 6 -</w:t>
      </w:r>
      <w:r>
        <w:fldChar w:fldCharType="end"/>
      </w:r>
      <w:r>
        <w:rPr>
          <w:rFonts w:hint="eastAsia" w:ascii="宋体" w:hAnsi="宋体" w:cs="宋体"/>
          <w:szCs w:val="28"/>
          <w:highlight w:val="none"/>
        </w:rPr>
        <w:fldChar w:fldCharType="end"/>
      </w:r>
    </w:p>
    <w:p>
      <w:pPr>
        <w:pStyle w:val="45"/>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_Toc11640 </w:instrText>
      </w:r>
      <w:r>
        <w:rPr>
          <w:rFonts w:hint="eastAsia" w:ascii="宋体" w:hAnsi="宋体" w:cs="宋体"/>
          <w:szCs w:val="28"/>
          <w:highlight w:val="none"/>
        </w:rPr>
        <w:fldChar w:fldCharType="separate"/>
      </w:r>
      <w:r>
        <w:rPr>
          <w:rFonts w:hint="eastAsia" w:ascii="宋体" w:hAnsi="宋体" w:eastAsia="宋体" w:cs="宋体"/>
          <w:szCs w:val="44"/>
          <w:highlight w:val="none"/>
        </w:rPr>
        <w:t>第二篇供应商须知</w:t>
      </w:r>
      <w:r>
        <w:tab/>
      </w:r>
      <w:r>
        <w:fldChar w:fldCharType="begin"/>
      </w:r>
      <w:r>
        <w:instrText xml:space="preserve"> PAGEREF _Toc11640 \h </w:instrText>
      </w:r>
      <w:r>
        <w:fldChar w:fldCharType="separate"/>
      </w:r>
      <w:r>
        <w:t>- 8 -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_Toc6605 </w:instrText>
      </w:r>
      <w:r>
        <w:rPr>
          <w:rFonts w:hint="eastAsia" w:ascii="宋体" w:hAnsi="宋体" w:cs="宋体"/>
          <w:szCs w:val="28"/>
          <w:highlight w:val="none"/>
        </w:rPr>
        <w:fldChar w:fldCharType="separate"/>
      </w:r>
      <w:r>
        <w:rPr>
          <w:rFonts w:hint="eastAsia" w:ascii="宋体" w:hAnsi="宋体" w:cs="宋体"/>
          <w:szCs w:val="28"/>
          <w:highlight w:val="none"/>
        </w:rPr>
        <w:t>一、谈判费用</w:t>
      </w:r>
      <w:r>
        <w:tab/>
      </w:r>
      <w:r>
        <w:fldChar w:fldCharType="begin"/>
      </w:r>
      <w:r>
        <w:instrText xml:space="preserve"> PAGEREF _Toc6605 \h </w:instrText>
      </w:r>
      <w:r>
        <w:fldChar w:fldCharType="separate"/>
      </w:r>
      <w:r>
        <w:t>- 8 -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_Toc977 </w:instrText>
      </w:r>
      <w:r>
        <w:rPr>
          <w:rFonts w:hint="eastAsia" w:ascii="宋体" w:hAnsi="宋体" w:cs="宋体"/>
          <w:szCs w:val="28"/>
          <w:highlight w:val="none"/>
        </w:rPr>
        <w:fldChar w:fldCharType="separate"/>
      </w:r>
      <w:r>
        <w:rPr>
          <w:rFonts w:hint="eastAsia" w:ascii="宋体" w:hAnsi="宋体" w:cs="宋体"/>
          <w:szCs w:val="28"/>
          <w:highlight w:val="none"/>
        </w:rPr>
        <w:t>二、竞争性谈判文件</w:t>
      </w:r>
      <w:r>
        <w:tab/>
      </w:r>
      <w:r>
        <w:fldChar w:fldCharType="begin"/>
      </w:r>
      <w:r>
        <w:instrText xml:space="preserve"> PAGEREF _Toc977 \h </w:instrText>
      </w:r>
      <w:r>
        <w:fldChar w:fldCharType="separate"/>
      </w:r>
      <w:r>
        <w:t>- 8 -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_Toc32678 </w:instrText>
      </w:r>
      <w:r>
        <w:rPr>
          <w:rFonts w:hint="eastAsia" w:ascii="宋体" w:hAnsi="宋体" w:cs="宋体"/>
          <w:szCs w:val="28"/>
          <w:highlight w:val="none"/>
        </w:rPr>
        <w:fldChar w:fldCharType="separate"/>
      </w:r>
      <w:r>
        <w:rPr>
          <w:rFonts w:hint="eastAsia" w:ascii="宋体" w:hAnsi="宋体" w:cs="宋体"/>
          <w:szCs w:val="28"/>
          <w:highlight w:val="none"/>
        </w:rPr>
        <w:t>三、谈判要求</w:t>
      </w:r>
      <w:r>
        <w:tab/>
      </w:r>
      <w:r>
        <w:fldChar w:fldCharType="begin"/>
      </w:r>
      <w:r>
        <w:instrText xml:space="preserve"> PAGEREF _Toc32678 \h </w:instrText>
      </w:r>
      <w:r>
        <w:fldChar w:fldCharType="separate"/>
      </w:r>
      <w:r>
        <w:t>- 8 -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_Toc18868 </w:instrText>
      </w:r>
      <w:r>
        <w:rPr>
          <w:rFonts w:hint="eastAsia" w:ascii="宋体" w:hAnsi="宋体" w:cs="宋体"/>
          <w:szCs w:val="28"/>
          <w:highlight w:val="none"/>
        </w:rPr>
        <w:fldChar w:fldCharType="separate"/>
      </w:r>
      <w:r>
        <w:rPr>
          <w:rFonts w:hint="eastAsia" w:ascii="宋体" w:hAnsi="宋体" w:cs="宋体"/>
          <w:szCs w:val="28"/>
          <w:highlight w:val="none"/>
        </w:rPr>
        <w:t>四、谈判程序</w:t>
      </w:r>
      <w:r>
        <w:tab/>
      </w:r>
      <w:r>
        <w:fldChar w:fldCharType="begin"/>
      </w:r>
      <w:r>
        <w:instrText xml:space="preserve"> PAGEREF _Toc18868 \h </w:instrText>
      </w:r>
      <w:r>
        <w:fldChar w:fldCharType="separate"/>
      </w:r>
      <w:r>
        <w:t>- 11 -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_Toc12627 </w:instrText>
      </w:r>
      <w:r>
        <w:rPr>
          <w:rFonts w:hint="eastAsia" w:ascii="宋体" w:hAnsi="宋体" w:cs="宋体"/>
          <w:szCs w:val="28"/>
          <w:highlight w:val="none"/>
        </w:rPr>
        <w:fldChar w:fldCharType="separate"/>
      </w:r>
      <w:r>
        <w:rPr>
          <w:rFonts w:hint="eastAsia" w:ascii="宋体" w:hAnsi="宋体" w:cs="宋体"/>
          <w:szCs w:val="28"/>
          <w:highlight w:val="none"/>
        </w:rPr>
        <w:t>五、评审依据</w:t>
      </w:r>
      <w:r>
        <w:tab/>
      </w:r>
      <w:r>
        <w:fldChar w:fldCharType="begin"/>
      </w:r>
      <w:r>
        <w:instrText xml:space="preserve"> PAGEREF _Toc12627 \h </w:instrText>
      </w:r>
      <w:r>
        <w:fldChar w:fldCharType="separate"/>
      </w:r>
      <w:r>
        <w:t>- 15 -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_Toc28106 </w:instrText>
      </w:r>
      <w:r>
        <w:rPr>
          <w:rFonts w:hint="eastAsia" w:ascii="宋体" w:hAnsi="宋体" w:cs="宋体"/>
          <w:szCs w:val="28"/>
          <w:highlight w:val="none"/>
        </w:rPr>
        <w:fldChar w:fldCharType="separate"/>
      </w:r>
      <w:r>
        <w:rPr>
          <w:rFonts w:hint="eastAsia" w:ascii="宋体" w:hAnsi="宋体" w:cs="宋体"/>
          <w:szCs w:val="28"/>
          <w:highlight w:val="none"/>
        </w:rPr>
        <w:t>六、成交原则</w:t>
      </w:r>
      <w:r>
        <w:tab/>
      </w:r>
      <w:r>
        <w:fldChar w:fldCharType="begin"/>
      </w:r>
      <w:r>
        <w:instrText xml:space="preserve"> PAGEREF _Toc28106 \h </w:instrText>
      </w:r>
      <w:r>
        <w:fldChar w:fldCharType="separate"/>
      </w:r>
      <w:r>
        <w:t>- 15 -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_Toc20570 </w:instrText>
      </w:r>
      <w:r>
        <w:rPr>
          <w:rFonts w:hint="eastAsia" w:ascii="宋体" w:hAnsi="宋体" w:cs="宋体"/>
          <w:szCs w:val="28"/>
          <w:highlight w:val="none"/>
        </w:rPr>
        <w:fldChar w:fldCharType="separate"/>
      </w:r>
      <w:r>
        <w:rPr>
          <w:rFonts w:hint="eastAsia" w:ascii="宋体" w:hAnsi="宋体" w:cs="宋体"/>
          <w:szCs w:val="28"/>
          <w:highlight w:val="none"/>
        </w:rPr>
        <w:t>七、成交通知</w:t>
      </w:r>
      <w:r>
        <w:tab/>
      </w:r>
      <w:r>
        <w:fldChar w:fldCharType="begin"/>
      </w:r>
      <w:r>
        <w:instrText xml:space="preserve"> PAGEREF _Toc20570 \h </w:instrText>
      </w:r>
      <w:r>
        <w:fldChar w:fldCharType="separate"/>
      </w:r>
      <w:r>
        <w:t>- 18 -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_Toc19196 </w:instrText>
      </w:r>
      <w:r>
        <w:rPr>
          <w:rFonts w:hint="eastAsia" w:ascii="宋体" w:hAnsi="宋体" w:cs="宋体"/>
          <w:szCs w:val="28"/>
          <w:highlight w:val="none"/>
        </w:rPr>
        <w:fldChar w:fldCharType="separate"/>
      </w:r>
      <w:r>
        <w:rPr>
          <w:rFonts w:hint="eastAsia" w:ascii="宋体" w:hAnsi="宋体" w:cs="宋体"/>
          <w:szCs w:val="28"/>
          <w:highlight w:val="none"/>
        </w:rPr>
        <w:t>八、关于质疑和投诉</w:t>
      </w:r>
      <w:r>
        <w:tab/>
      </w:r>
      <w:r>
        <w:fldChar w:fldCharType="begin"/>
      </w:r>
      <w:r>
        <w:instrText xml:space="preserve"> PAGEREF _Toc19196 \h </w:instrText>
      </w:r>
      <w:r>
        <w:fldChar w:fldCharType="separate"/>
      </w:r>
      <w:r>
        <w:t>- 18 -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_Toc30097 </w:instrText>
      </w:r>
      <w:r>
        <w:rPr>
          <w:rFonts w:hint="eastAsia" w:ascii="宋体" w:hAnsi="宋体" w:cs="宋体"/>
          <w:szCs w:val="28"/>
          <w:highlight w:val="none"/>
        </w:rPr>
        <w:fldChar w:fldCharType="separate"/>
      </w:r>
      <w:r>
        <w:rPr>
          <w:rFonts w:hint="eastAsia" w:ascii="宋体" w:hAnsi="宋体" w:cs="宋体"/>
          <w:szCs w:val="28"/>
          <w:highlight w:val="none"/>
        </w:rPr>
        <w:t>九、签订合同</w:t>
      </w:r>
      <w:r>
        <w:tab/>
      </w:r>
      <w:r>
        <w:fldChar w:fldCharType="begin"/>
      </w:r>
      <w:r>
        <w:instrText xml:space="preserve"> PAGEREF _Toc30097 \h </w:instrText>
      </w:r>
      <w:r>
        <w:fldChar w:fldCharType="separate"/>
      </w:r>
      <w:r>
        <w:t>- 20 -</w:t>
      </w:r>
      <w:r>
        <w:fldChar w:fldCharType="end"/>
      </w:r>
      <w:r>
        <w:rPr>
          <w:rFonts w:hint="eastAsia" w:ascii="宋体" w:hAnsi="宋体" w:cs="宋体"/>
          <w:szCs w:val="28"/>
          <w:highlight w:val="none"/>
        </w:rPr>
        <w:fldChar w:fldCharType="end"/>
      </w:r>
    </w:p>
    <w:p>
      <w:pPr>
        <w:pStyle w:val="45"/>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_Toc25106 </w:instrText>
      </w:r>
      <w:r>
        <w:rPr>
          <w:rFonts w:hint="eastAsia" w:ascii="宋体" w:hAnsi="宋体" w:cs="宋体"/>
          <w:szCs w:val="28"/>
          <w:highlight w:val="none"/>
        </w:rPr>
        <w:fldChar w:fldCharType="separate"/>
      </w:r>
      <w:r>
        <w:rPr>
          <w:rFonts w:hint="eastAsia" w:ascii="宋体" w:hAnsi="宋体" w:eastAsia="宋体" w:cs="宋体"/>
          <w:szCs w:val="44"/>
          <w:highlight w:val="none"/>
        </w:rPr>
        <w:t>第三篇谈判项目技术需求</w:t>
      </w:r>
      <w:r>
        <w:tab/>
      </w:r>
      <w:r>
        <w:fldChar w:fldCharType="begin"/>
      </w:r>
      <w:r>
        <w:instrText xml:space="preserve"> PAGEREF _Toc25106 \h </w:instrText>
      </w:r>
      <w:r>
        <w:fldChar w:fldCharType="separate"/>
      </w:r>
      <w:r>
        <w:t>- 21 -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_Toc25796 </w:instrText>
      </w:r>
      <w:r>
        <w:rPr>
          <w:rFonts w:hint="eastAsia" w:ascii="宋体" w:hAnsi="宋体" w:cs="宋体"/>
          <w:szCs w:val="28"/>
          <w:highlight w:val="none"/>
        </w:rPr>
        <w:fldChar w:fldCharType="separate"/>
      </w:r>
      <w:r>
        <w:rPr>
          <w:rFonts w:hint="default" w:ascii="宋体" w:hAnsi="宋体" w:cs="宋体"/>
          <w:szCs w:val="28"/>
        </w:rPr>
        <w:t xml:space="preserve">一、 </w:t>
      </w:r>
      <w:r>
        <w:rPr>
          <w:rFonts w:hint="eastAsia" w:ascii="宋体" w:hAnsi="宋体" w:cs="宋体"/>
          <w:szCs w:val="28"/>
          <w:highlight w:val="none"/>
        </w:rPr>
        <w:t>项目一览表</w:t>
      </w:r>
      <w:r>
        <w:tab/>
      </w:r>
      <w:r>
        <w:fldChar w:fldCharType="begin"/>
      </w:r>
      <w:r>
        <w:instrText xml:space="preserve"> PAGEREF _Toc25796 \h </w:instrText>
      </w:r>
      <w:r>
        <w:fldChar w:fldCharType="separate"/>
      </w:r>
      <w:r>
        <w:t>- 21 -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_Toc7486 </w:instrText>
      </w:r>
      <w:r>
        <w:rPr>
          <w:rFonts w:hint="eastAsia" w:ascii="宋体" w:hAnsi="宋体" w:cs="宋体"/>
          <w:szCs w:val="28"/>
          <w:highlight w:val="none"/>
        </w:rPr>
        <w:fldChar w:fldCharType="separate"/>
      </w:r>
      <w:r>
        <w:rPr>
          <w:rFonts w:hint="eastAsia" w:ascii="宋体" w:hAnsi="宋体" w:cs="宋体"/>
          <w:szCs w:val="28"/>
          <w:highlight w:val="none"/>
        </w:rPr>
        <w:t>二、技术规格及质量要求</w:t>
      </w:r>
      <w:r>
        <w:tab/>
      </w:r>
      <w:r>
        <w:fldChar w:fldCharType="begin"/>
      </w:r>
      <w:r>
        <w:instrText xml:space="preserve"> PAGEREF _Toc7486 \h </w:instrText>
      </w:r>
      <w:r>
        <w:fldChar w:fldCharType="separate"/>
      </w:r>
      <w:r>
        <w:t>- 21 -</w:t>
      </w:r>
      <w:r>
        <w:fldChar w:fldCharType="end"/>
      </w:r>
      <w:r>
        <w:rPr>
          <w:rFonts w:hint="eastAsia" w:ascii="宋体" w:hAnsi="宋体" w:cs="宋体"/>
          <w:szCs w:val="28"/>
          <w:highlight w:val="none"/>
        </w:rPr>
        <w:fldChar w:fldCharType="end"/>
      </w:r>
    </w:p>
    <w:p>
      <w:pPr>
        <w:pStyle w:val="45"/>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_Toc9866 </w:instrText>
      </w:r>
      <w:r>
        <w:rPr>
          <w:rFonts w:hint="eastAsia" w:ascii="宋体" w:hAnsi="宋体" w:cs="宋体"/>
          <w:szCs w:val="28"/>
          <w:highlight w:val="none"/>
        </w:rPr>
        <w:fldChar w:fldCharType="separate"/>
      </w:r>
      <w:r>
        <w:rPr>
          <w:rFonts w:hint="eastAsia" w:ascii="宋体" w:hAnsi="宋体" w:eastAsia="宋体" w:cs="宋体"/>
          <w:szCs w:val="44"/>
          <w:highlight w:val="none"/>
        </w:rPr>
        <w:t>第四篇谈判项目服务需求</w:t>
      </w:r>
      <w:r>
        <w:tab/>
      </w:r>
      <w:r>
        <w:fldChar w:fldCharType="begin"/>
      </w:r>
      <w:r>
        <w:instrText xml:space="preserve"> PAGEREF _Toc9866 \h </w:instrText>
      </w:r>
      <w:r>
        <w:fldChar w:fldCharType="separate"/>
      </w:r>
      <w:r>
        <w:t>- 23 -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_Toc21803 </w:instrText>
      </w:r>
      <w:r>
        <w:rPr>
          <w:rFonts w:hint="eastAsia" w:ascii="宋体" w:hAnsi="宋体" w:cs="宋体"/>
          <w:szCs w:val="28"/>
          <w:highlight w:val="none"/>
        </w:rPr>
        <w:fldChar w:fldCharType="separate"/>
      </w:r>
      <w:r>
        <w:rPr>
          <w:rFonts w:hint="eastAsia" w:ascii="宋体" w:hAnsi="宋体" w:cs="宋体"/>
          <w:szCs w:val="28"/>
          <w:highlight w:val="none"/>
        </w:rPr>
        <w:t>一、交货时间、地点及验收方式</w:t>
      </w:r>
      <w:r>
        <w:tab/>
      </w:r>
      <w:r>
        <w:fldChar w:fldCharType="begin"/>
      </w:r>
      <w:r>
        <w:instrText xml:space="preserve"> PAGEREF _Toc21803 \h </w:instrText>
      </w:r>
      <w:r>
        <w:fldChar w:fldCharType="separate"/>
      </w:r>
      <w:r>
        <w:t>- 23 -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_Toc424 </w:instrText>
      </w:r>
      <w:r>
        <w:rPr>
          <w:rFonts w:hint="eastAsia" w:ascii="宋体" w:hAnsi="宋体" w:cs="宋体"/>
          <w:szCs w:val="28"/>
          <w:highlight w:val="none"/>
        </w:rPr>
        <w:fldChar w:fldCharType="separate"/>
      </w:r>
      <w:r>
        <w:rPr>
          <w:rFonts w:hint="eastAsia" w:ascii="宋体" w:hAnsi="宋体" w:cs="宋体"/>
          <w:szCs w:val="28"/>
          <w:highlight w:val="none"/>
        </w:rPr>
        <w:t>二、质量保证及售后服务</w:t>
      </w:r>
      <w:r>
        <w:tab/>
      </w:r>
      <w:r>
        <w:fldChar w:fldCharType="begin"/>
      </w:r>
      <w:r>
        <w:instrText xml:space="preserve"> PAGEREF _Toc424 \h </w:instrText>
      </w:r>
      <w:r>
        <w:fldChar w:fldCharType="separate"/>
      </w:r>
      <w:r>
        <w:t>- 24 -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_Toc19265 </w:instrText>
      </w:r>
      <w:r>
        <w:rPr>
          <w:rFonts w:hint="eastAsia" w:ascii="宋体" w:hAnsi="宋体" w:cs="宋体"/>
          <w:szCs w:val="28"/>
          <w:highlight w:val="none"/>
        </w:rPr>
        <w:fldChar w:fldCharType="separate"/>
      </w:r>
      <w:r>
        <w:rPr>
          <w:rFonts w:hint="eastAsia" w:ascii="宋体" w:hAnsi="宋体" w:cs="宋体"/>
          <w:szCs w:val="28"/>
          <w:highlight w:val="none"/>
        </w:rPr>
        <w:t>三、报价要求</w:t>
      </w:r>
      <w:r>
        <w:tab/>
      </w:r>
      <w:r>
        <w:fldChar w:fldCharType="begin"/>
      </w:r>
      <w:r>
        <w:instrText xml:space="preserve"> PAGEREF _Toc19265 \h </w:instrText>
      </w:r>
      <w:r>
        <w:fldChar w:fldCharType="separate"/>
      </w:r>
      <w:r>
        <w:t>- 25 -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_Toc22714 </w:instrText>
      </w:r>
      <w:r>
        <w:rPr>
          <w:rFonts w:hint="eastAsia" w:ascii="宋体" w:hAnsi="宋体" w:cs="宋体"/>
          <w:szCs w:val="28"/>
          <w:highlight w:val="none"/>
        </w:rPr>
        <w:fldChar w:fldCharType="separate"/>
      </w:r>
      <w:r>
        <w:rPr>
          <w:rFonts w:hint="eastAsia" w:ascii="宋体" w:hAnsi="宋体" w:cs="宋体"/>
          <w:szCs w:val="28"/>
          <w:highlight w:val="none"/>
        </w:rPr>
        <w:t>五、知识产权</w:t>
      </w:r>
      <w:r>
        <w:tab/>
      </w:r>
      <w:r>
        <w:fldChar w:fldCharType="begin"/>
      </w:r>
      <w:r>
        <w:instrText xml:space="preserve"> PAGEREF _Toc22714 \h </w:instrText>
      </w:r>
      <w:r>
        <w:fldChar w:fldCharType="separate"/>
      </w:r>
      <w:r>
        <w:t>- 25 -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_Toc11062 </w:instrText>
      </w:r>
      <w:r>
        <w:rPr>
          <w:rFonts w:hint="eastAsia" w:ascii="宋体" w:hAnsi="宋体" w:cs="宋体"/>
          <w:szCs w:val="28"/>
          <w:highlight w:val="none"/>
        </w:rPr>
        <w:fldChar w:fldCharType="separate"/>
      </w:r>
      <w:r>
        <w:rPr>
          <w:rFonts w:hint="eastAsia" w:ascii="宋体" w:hAnsi="宋体" w:cs="宋体"/>
          <w:szCs w:val="28"/>
          <w:highlight w:val="none"/>
        </w:rPr>
        <w:t>六、培训</w:t>
      </w:r>
      <w:r>
        <w:tab/>
      </w:r>
      <w:r>
        <w:fldChar w:fldCharType="begin"/>
      </w:r>
      <w:r>
        <w:instrText xml:space="preserve"> PAGEREF _Toc11062 \h </w:instrText>
      </w:r>
      <w:r>
        <w:fldChar w:fldCharType="separate"/>
      </w:r>
      <w:r>
        <w:t>- 26 -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_Toc22010 </w:instrText>
      </w:r>
      <w:r>
        <w:rPr>
          <w:rFonts w:hint="eastAsia" w:ascii="宋体" w:hAnsi="宋体" w:cs="宋体"/>
          <w:szCs w:val="28"/>
          <w:highlight w:val="none"/>
        </w:rPr>
        <w:fldChar w:fldCharType="separate"/>
      </w:r>
      <w:r>
        <w:rPr>
          <w:rFonts w:hint="eastAsia" w:ascii="宋体" w:hAnsi="宋体" w:cs="宋体"/>
          <w:szCs w:val="28"/>
          <w:highlight w:val="none"/>
        </w:rPr>
        <w:t>七、其他</w:t>
      </w:r>
      <w:r>
        <w:tab/>
      </w:r>
      <w:r>
        <w:fldChar w:fldCharType="begin"/>
      </w:r>
      <w:r>
        <w:instrText xml:space="preserve"> PAGEREF _Toc22010 \h </w:instrText>
      </w:r>
      <w:r>
        <w:fldChar w:fldCharType="separate"/>
      </w:r>
      <w:r>
        <w:t>- 26 -</w:t>
      </w:r>
      <w:r>
        <w:fldChar w:fldCharType="end"/>
      </w:r>
      <w:r>
        <w:rPr>
          <w:rFonts w:hint="eastAsia" w:ascii="宋体" w:hAnsi="宋体" w:cs="宋体"/>
          <w:szCs w:val="28"/>
          <w:highlight w:val="none"/>
        </w:rPr>
        <w:fldChar w:fldCharType="end"/>
      </w:r>
    </w:p>
    <w:p>
      <w:pPr>
        <w:pStyle w:val="45"/>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_Toc30263 </w:instrText>
      </w:r>
      <w:r>
        <w:rPr>
          <w:rFonts w:hint="eastAsia" w:ascii="宋体" w:hAnsi="宋体" w:cs="宋体"/>
          <w:szCs w:val="28"/>
          <w:highlight w:val="none"/>
        </w:rPr>
        <w:fldChar w:fldCharType="separate"/>
      </w:r>
      <w:r>
        <w:rPr>
          <w:rFonts w:hint="eastAsia" w:ascii="宋体" w:hAnsi="宋体" w:eastAsia="宋体" w:cs="宋体"/>
          <w:szCs w:val="44"/>
          <w:highlight w:val="none"/>
        </w:rPr>
        <w:t>第五篇合同草案条款</w:t>
      </w:r>
      <w:r>
        <w:tab/>
      </w:r>
      <w:r>
        <w:fldChar w:fldCharType="begin"/>
      </w:r>
      <w:r>
        <w:instrText xml:space="preserve"> PAGEREF _Toc30263 \h </w:instrText>
      </w:r>
      <w:r>
        <w:fldChar w:fldCharType="separate"/>
      </w:r>
      <w:r>
        <w:t>- 27 -</w:t>
      </w:r>
      <w:r>
        <w:fldChar w:fldCharType="end"/>
      </w:r>
      <w:r>
        <w:rPr>
          <w:rFonts w:hint="eastAsia" w:ascii="宋体" w:hAnsi="宋体" w:cs="宋体"/>
          <w:szCs w:val="28"/>
          <w:highlight w:val="none"/>
        </w:rPr>
        <w:fldChar w:fldCharType="end"/>
      </w:r>
    </w:p>
    <w:p>
      <w:pPr>
        <w:pStyle w:val="45"/>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_Toc24151 </w:instrText>
      </w:r>
      <w:r>
        <w:rPr>
          <w:rFonts w:hint="eastAsia" w:ascii="宋体" w:hAnsi="宋体" w:cs="宋体"/>
          <w:szCs w:val="28"/>
          <w:highlight w:val="none"/>
        </w:rPr>
        <w:fldChar w:fldCharType="separate"/>
      </w:r>
      <w:r>
        <w:rPr>
          <w:rFonts w:hint="eastAsia" w:ascii="宋体" w:hAnsi="宋体" w:eastAsia="宋体" w:cs="宋体"/>
          <w:szCs w:val="44"/>
          <w:highlight w:val="none"/>
        </w:rPr>
        <w:t>第六篇响应文件格式要求</w:t>
      </w:r>
      <w:r>
        <w:tab/>
      </w:r>
      <w:r>
        <w:fldChar w:fldCharType="begin"/>
      </w:r>
      <w:r>
        <w:instrText xml:space="preserve"> PAGEREF _Toc24151 \h </w:instrText>
      </w:r>
      <w:r>
        <w:fldChar w:fldCharType="separate"/>
      </w:r>
      <w:r>
        <w:t>- 38 -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_Toc3103 </w:instrText>
      </w:r>
      <w:r>
        <w:rPr>
          <w:rFonts w:hint="eastAsia" w:ascii="宋体" w:hAnsi="宋体" w:cs="宋体"/>
          <w:szCs w:val="28"/>
          <w:highlight w:val="none"/>
        </w:rPr>
        <w:fldChar w:fldCharType="separate"/>
      </w:r>
      <w:r>
        <w:rPr>
          <w:rFonts w:hint="eastAsia" w:ascii="宋体" w:hAnsi="宋体" w:cs="宋体"/>
          <w:szCs w:val="28"/>
          <w:highlight w:val="none"/>
        </w:rPr>
        <w:t>一、经济部分</w:t>
      </w:r>
      <w:r>
        <w:tab/>
      </w:r>
      <w:r>
        <w:fldChar w:fldCharType="begin"/>
      </w:r>
      <w:r>
        <w:instrText xml:space="preserve"> PAGEREF _Toc3103 \h </w:instrText>
      </w:r>
      <w:r>
        <w:fldChar w:fldCharType="separate"/>
      </w:r>
      <w:r>
        <w:t>- 40 -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_Toc20034 </w:instrText>
      </w:r>
      <w:r>
        <w:rPr>
          <w:rFonts w:hint="eastAsia" w:ascii="宋体" w:hAnsi="宋体" w:cs="宋体"/>
          <w:szCs w:val="28"/>
          <w:highlight w:val="none"/>
        </w:rPr>
        <w:fldChar w:fldCharType="separate"/>
      </w:r>
      <w:r>
        <w:rPr>
          <w:rFonts w:hint="eastAsia" w:ascii="宋体" w:hAnsi="宋体" w:cs="宋体"/>
          <w:szCs w:val="28"/>
          <w:highlight w:val="none"/>
        </w:rPr>
        <w:t>二、技术部分</w:t>
      </w:r>
      <w:r>
        <w:tab/>
      </w:r>
      <w:r>
        <w:fldChar w:fldCharType="begin"/>
      </w:r>
      <w:r>
        <w:instrText xml:space="preserve"> PAGEREF _Toc20034 \h </w:instrText>
      </w:r>
      <w:r>
        <w:fldChar w:fldCharType="separate"/>
      </w:r>
      <w:r>
        <w:t>- 43 -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_Toc27541 </w:instrText>
      </w:r>
      <w:r>
        <w:rPr>
          <w:rFonts w:hint="eastAsia" w:ascii="宋体" w:hAnsi="宋体" w:cs="宋体"/>
          <w:szCs w:val="28"/>
          <w:highlight w:val="none"/>
        </w:rPr>
        <w:fldChar w:fldCharType="separate"/>
      </w:r>
      <w:r>
        <w:rPr>
          <w:rFonts w:hint="eastAsia" w:ascii="宋体" w:hAnsi="宋体" w:cs="宋体"/>
          <w:szCs w:val="28"/>
          <w:highlight w:val="none"/>
        </w:rPr>
        <w:t>三、服务部分</w:t>
      </w:r>
      <w:r>
        <w:tab/>
      </w:r>
      <w:r>
        <w:fldChar w:fldCharType="begin"/>
      </w:r>
      <w:r>
        <w:instrText xml:space="preserve"> PAGEREF _Toc27541 \h </w:instrText>
      </w:r>
      <w:r>
        <w:fldChar w:fldCharType="separate"/>
      </w:r>
      <w:r>
        <w:t>- 44 -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_Toc21974 </w:instrText>
      </w:r>
      <w:r>
        <w:rPr>
          <w:rFonts w:hint="eastAsia" w:ascii="宋体" w:hAnsi="宋体" w:cs="宋体"/>
          <w:szCs w:val="28"/>
          <w:highlight w:val="none"/>
        </w:rPr>
        <w:fldChar w:fldCharType="separate"/>
      </w:r>
      <w:r>
        <w:rPr>
          <w:rFonts w:hint="eastAsia" w:ascii="宋体" w:hAnsi="宋体" w:cs="宋体"/>
          <w:szCs w:val="28"/>
          <w:highlight w:val="none"/>
        </w:rPr>
        <w:t>四、资格条件及其他</w:t>
      </w:r>
      <w:r>
        <w:tab/>
      </w:r>
      <w:r>
        <w:fldChar w:fldCharType="begin"/>
      </w:r>
      <w:r>
        <w:instrText xml:space="preserve"> PAGEREF _Toc21974 \h </w:instrText>
      </w:r>
      <w:r>
        <w:fldChar w:fldCharType="separate"/>
      </w:r>
      <w:r>
        <w:t>- 45 -</w:t>
      </w:r>
      <w:r>
        <w:fldChar w:fldCharType="end"/>
      </w:r>
      <w:r>
        <w:rPr>
          <w:rFonts w:hint="eastAsia" w:ascii="宋体" w:hAnsi="宋体" w:cs="宋体"/>
          <w:szCs w:val="28"/>
          <w:highlight w:val="none"/>
        </w:rPr>
        <w:fldChar w:fldCharType="end"/>
      </w:r>
    </w:p>
    <w:p>
      <w:pPr>
        <w:pStyle w:val="29"/>
        <w:tabs>
          <w:tab w:val="right" w:leader="dot" w:pos="9412"/>
        </w:tabs>
      </w:pPr>
      <w:r>
        <w:rPr>
          <w:rFonts w:hint="eastAsia" w:ascii="宋体" w:hAnsi="宋体" w:cs="宋体"/>
          <w:szCs w:val="28"/>
          <w:highlight w:val="none"/>
        </w:rPr>
        <w:fldChar w:fldCharType="begin"/>
      </w:r>
      <w:r>
        <w:rPr>
          <w:rFonts w:hint="eastAsia" w:ascii="宋体" w:hAnsi="宋体" w:cs="宋体"/>
          <w:szCs w:val="28"/>
          <w:highlight w:val="none"/>
        </w:rPr>
        <w:instrText xml:space="preserve"> HYPERLINK \l _Toc18453 </w:instrText>
      </w:r>
      <w:r>
        <w:rPr>
          <w:rFonts w:hint="eastAsia" w:ascii="宋体" w:hAnsi="宋体" w:cs="宋体"/>
          <w:szCs w:val="28"/>
          <w:highlight w:val="none"/>
        </w:rPr>
        <w:fldChar w:fldCharType="separate"/>
      </w:r>
      <w:r>
        <w:rPr>
          <w:rFonts w:hint="eastAsia" w:ascii="宋体" w:hAnsi="宋体" w:cs="宋体"/>
          <w:szCs w:val="28"/>
          <w:highlight w:val="none"/>
        </w:rPr>
        <w:t>五、其他应提供的资料</w:t>
      </w:r>
      <w:r>
        <w:tab/>
      </w:r>
      <w:r>
        <w:fldChar w:fldCharType="begin"/>
      </w:r>
      <w:r>
        <w:instrText xml:space="preserve"> PAGEREF _Toc18453 \h </w:instrText>
      </w:r>
      <w:r>
        <w:fldChar w:fldCharType="separate"/>
      </w:r>
      <w:r>
        <w:t>- 50 -</w:t>
      </w:r>
      <w:r>
        <w:fldChar w:fldCharType="end"/>
      </w:r>
      <w:r>
        <w:rPr>
          <w:rFonts w:hint="eastAsia" w:ascii="宋体" w:hAnsi="宋体" w:cs="宋体"/>
          <w:szCs w:val="28"/>
          <w:highlight w:val="none"/>
        </w:rPr>
        <w:fldChar w:fldCharType="end"/>
      </w:r>
    </w:p>
    <w:p>
      <w:pPr>
        <w:pStyle w:val="45"/>
        <w:tabs>
          <w:tab w:val="right" w:leader="dot" w:pos="9402"/>
        </w:tabs>
        <w:spacing w:line="360" w:lineRule="exact"/>
        <w:ind w:left="0" w:leftChars="0"/>
        <w:rPr>
          <w:rFonts w:ascii="宋体" w:hAnsi="宋体" w:cs="宋体"/>
          <w:szCs w:val="28"/>
          <w:highlight w:val="none"/>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8"/>
          <w:highlight w:val="none"/>
        </w:rPr>
        <w:fldChar w:fldCharType="end"/>
      </w:r>
    </w:p>
    <w:p>
      <w:pPr>
        <w:pStyle w:val="3"/>
        <w:spacing w:before="0" w:after="0" w:line="560" w:lineRule="exact"/>
        <w:jc w:val="center"/>
        <w:rPr>
          <w:rFonts w:ascii="宋体" w:hAnsi="宋体" w:eastAsia="宋体" w:cs="宋体"/>
          <w:b w:val="0"/>
          <w:sz w:val="44"/>
          <w:szCs w:val="44"/>
          <w:highlight w:val="none"/>
        </w:rPr>
      </w:pPr>
      <w:bookmarkStart w:id="0" w:name="_Toc11641050"/>
      <w:bookmarkStart w:id="1" w:name="_Toc12789052"/>
      <w:bookmarkStart w:id="2" w:name="_Toc12514"/>
      <w:r>
        <w:rPr>
          <w:rFonts w:hint="eastAsia" w:ascii="宋体" w:hAnsi="宋体" w:eastAsia="宋体" w:cs="宋体"/>
          <w:b w:val="0"/>
          <w:sz w:val="44"/>
          <w:szCs w:val="44"/>
          <w:highlight w:val="none"/>
        </w:rPr>
        <w:t>第一篇竞争性谈判邀请书</w:t>
      </w:r>
      <w:bookmarkEnd w:id="0"/>
      <w:bookmarkEnd w:id="1"/>
      <w:bookmarkEnd w:id="2"/>
    </w:p>
    <w:p>
      <w:pPr>
        <w:spacing w:line="560" w:lineRule="exact"/>
        <w:ind w:firstLine="560" w:firstLineChars="200"/>
        <w:rPr>
          <w:rFonts w:hint="eastAsia" w:ascii="宋体" w:hAnsi="宋体" w:cs="宋体"/>
          <w:szCs w:val="28"/>
          <w:highlight w:val="none"/>
        </w:rPr>
      </w:pPr>
      <w:bookmarkStart w:id="3" w:name="_Toc373860293"/>
      <w:bookmarkStart w:id="4" w:name="_Toc317775178"/>
      <w:r>
        <w:rPr>
          <w:rFonts w:hint="eastAsia" w:ascii="宋体" w:hAnsi="宋体" w:cs="宋体"/>
          <w:szCs w:val="28"/>
          <w:highlight w:val="none"/>
        </w:rPr>
        <w:t>重庆医科大学对“重庆医科大学基础医学院采购高性能服务器及传感器”项目进行竞争性谈判采购。欢迎有资格的供应商前来参加谈判。</w:t>
      </w:r>
    </w:p>
    <w:p>
      <w:pPr>
        <w:pStyle w:val="4"/>
        <w:spacing w:before="0" w:after="0" w:line="560" w:lineRule="exact"/>
        <w:ind w:firstLine="420" w:firstLineChars="150"/>
        <w:rPr>
          <w:rFonts w:ascii="宋体" w:hAnsi="宋体" w:cs="宋体"/>
          <w:b w:val="0"/>
          <w:sz w:val="28"/>
          <w:szCs w:val="28"/>
          <w:highlight w:val="none"/>
        </w:rPr>
      </w:pPr>
      <w:bookmarkStart w:id="5" w:name="_Toc313893526"/>
      <w:bookmarkStart w:id="6" w:name="_Toc13542"/>
      <w:bookmarkStart w:id="7" w:name="_Toc535312130"/>
      <w:bookmarkStart w:id="8" w:name="_Toc317775175"/>
      <w:r>
        <w:rPr>
          <w:rFonts w:hint="eastAsia" w:ascii="宋体" w:hAnsi="宋体" w:cs="宋体"/>
          <w:b w:val="0"/>
          <w:sz w:val="28"/>
          <w:szCs w:val="28"/>
          <w:highlight w:val="none"/>
        </w:rPr>
        <w:t>一、竞争性谈判内容</w:t>
      </w:r>
      <w:bookmarkEnd w:id="5"/>
      <w:bookmarkEnd w:id="6"/>
      <w:bookmarkEnd w:id="7"/>
      <w:bookmarkEnd w:id="8"/>
    </w:p>
    <w:tbl>
      <w:tblPr>
        <w:tblStyle w:val="57"/>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3"/>
        <w:gridCol w:w="1524"/>
        <w:gridCol w:w="1692"/>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34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bCs/>
                <w:kern w:val="0"/>
                <w:szCs w:val="28"/>
                <w:highlight w:val="none"/>
              </w:rPr>
            </w:pPr>
            <w:r>
              <w:rPr>
                <w:rFonts w:hint="eastAsia" w:ascii="宋体" w:hAnsi="宋体" w:cs="宋体"/>
                <w:bCs/>
                <w:kern w:val="0"/>
                <w:szCs w:val="28"/>
                <w:highlight w:val="none"/>
              </w:rPr>
              <w:t>项目名称</w:t>
            </w:r>
          </w:p>
        </w:tc>
        <w:tc>
          <w:tcPr>
            <w:tcW w:w="15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bCs/>
                <w:kern w:val="0"/>
                <w:szCs w:val="28"/>
                <w:highlight w:val="none"/>
              </w:rPr>
            </w:pPr>
            <w:r>
              <w:rPr>
                <w:rFonts w:hint="eastAsia" w:ascii="宋体" w:hAnsi="宋体" w:cs="宋体"/>
                <w:bCs/>
                <w:kern w:val="0"/>
                <w:szCs w:val="28"/>
                <w:highlight w:val="none"/>
              </w:rPr>
              <w:t>最高限价（万元）</w:t>
            </w:r>
          </w:p>
        </w:tc>
        <w:tc>
          <w:tcPr>
            <w:tcW w:w="169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bCs/>
                <w:kern w:val="0"/>
                <w:szCs w:val="28"/>
                <w:highlight w:val="none"/>
              </w:rPr>
            </w:pPr>
            <w:r>
              <w:rPr>
                <w:rFonts w:hint="eastAsia" w:ascii="宋体" w:hAnsi="宋体" w:cs="宋体"/>
                <w:bCs/>
                <w:kern w:val="0"/>
                <w:szCs w:val="28"/>
                <w:highlight w:val="none"/>
              </w:rPr>
              <w:t>保证金</w:t>
            </w:r>
          </w:p>
          <w:p>
            <w:pPr>
              <w:spacing w:line="560" w:lineRule="exact"/>
              <w:jc w:val="center"/>
              <w:rPr>
                <w:rFonts w:ascii="宋体" w:hAnsi="宋体" w:cs="宋体"/>
                <w:bCs/>
                <w:kern w:val="0"/>
                <w:szCs w:val="28"/>
                <w:highlight w:val="none"/>
              </w:rPr>
            </w:pPr>
            <w:r>
              <w:rPr>
                <w:rFonts w:hint="eastAsia" w:ascii="宋体" w:hAnsi="宋体" w:cs="宋体"/>
                <w:bCs/>
                <w:kern w:val="0"/>
                <w:szCs w:val="28"/>
                <w:highlight w:val="none"/>
              </w:rPr>
              <w:t>（万元）</w:t>
            </w:r>
          </w:p>
        </w:tc>
        <w:tc>
          <w:tcPr>
            <w:tcW w:w="143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kern w:val="0"/>
                <w:szCs w:val="28"/>
                <w:highlight w:val="none"/>
              </w:rPr>
            </w:pPr>
            <w:r>
              <w:rPr>
                <w:rFonts w:hint="eastAsia" w:ascii="宋体" w:hAnsi="宋体" w:cs="宋体"/>
                <w:bCs/>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434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Cs w:val="28"/>
                <w:highlight w:val="none"/>
              </w:rPr>
            </w:pPr>
            <w:bookmarkStart w:id="9" w:name="_Hlk344477914"/>
            <w:r>
              <w:rPr>
                <w:rFonts w:hint="eastAsia" w:ascii="宋体" w:hAnsi="宋体" w:cs="宋体"/>
                <w:szCs w:val="28"/>
                <w:highlight w:val="none"/>
              </w:rPr>
              <w:t>重庆医科大学基础医学院采购高性能服务器及传感器</w:t>
            </w:r>
          </w:p>
        </w:tc>
        <w:tc>
          <w:tcPr>
            <w:tcW w:w="15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15</w:t>
            </w:r>
          </w:p>
        </w:tc>
        <w:tc>
          <w:tcPr>
            <w:tcW w:w="16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0.3</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kern w:val="0"/>
                <w:szCs w:val="28"/>
                <w:highlight w:val="none"/>
              </w:rPr>
            </w:pPr>
          </w:p>
        </w:tc>
      </w:tr>
      <w:bookmarkEnd w:id="9"/>
    </w:tbl>
    <w:p>
      <w:pPr>
        <w:pStyle w:val="4"/>
        <w:spacing w:before="0" w:after="0" w:line="560" w:lineRule="exact"/>
        <w:ind w:firstLine="560" w:firstLineChars="200"/>
        <w:rPr>
          <w:rFonts w:ascii="宋体" w:hAnsi="宋体" w:cs="宋体"/>
          <w:b w:val="0"/>
          <w:sz w:val="28"/>
          <w:szCs w:val="28"/>
          <w:highlight w:val="none"/>
        </w:rPr>
      </w:pPr>
      <w:bookmarkStart w:id="10" w:name="_Toc17493"/>
      <w:r>
        <w:rPr>
          <w:rFonts w:hint="eastAsia" w:ascii="宋体" w:hAnsi="宋体" w:cs="宋体"/>
          <w:b w:val="0"/>
          <w:sz w:val="28"/>
          <w:szCs w:val="28"/>
          <w:highlight w:val="none"/>
        </w:rPr>
        <w:t>二、资金来源</w:t>
      </w:r>
      <w:bookmarkEnd w:id="10"/>
    </w:p>
    <w:p>
      <w:pPr>
        <w:spacing w:line="560" w:lineRule="exact"/>
        <w:ind w:firstLine="560" w:firstLineChars="200"/>
        <w:rPr>
          <w:rFonts w:ascii="宋体" w:hAnsi="宋体" w:cs="宋体"/>
          <w:bCs/>
          <w:szCs w:val="28"/>
          <w:highlight w:val="none"/>
        </w:rPr>
      </w:pPr>
      <w:r>
        <w:rPr>
          <w:rFonts w:hint="eastAsia" w:ascii="宋体" w:hAnsi="宋体" w:cs="宋体"/>
          <w:bCs/>
          <w:szCs w:val="28"/>
          <w:highlight w:val="none"/>
        </w:rPr>
        <w:t>学校自筹，资金已到位。</w:t>
      </w:r>
    </w:p>
    <w:p>
      <w:pPr>
        <w:pStyle w:val="4"/>
        <w:spacing w:before="0" w:after="0" w:line="560" w:lineRule="exact"/>
        <w:ind w:firstLine="560" w:firstLineChars="200"/>
        <w:rPr>
          <w:rFonts w:ascii="宋体" w:hAnsi="宋体" w:cs="宋体"/>
          <w:b w:val="0"/>
          <w:sz w:val="28"/>
          <w:szCs w:val="28"/>
          <w:highlight w:val="none"/>
        </w:rPr>
      </w:pPr>
      <w:bookmarkStart w:id="11" w:name="_Toc17220"/>
      <w:r>
        <w:rPr>
          <w:rFonts w:hint="eastAsia" w:ascii="宋体" w:hAnsi="宋体" w:cs="宋体"/>
          <w:b w:val="0"/>
          <w:sz w:val="28"/>
          <w:szCs w:val="28"/>
          <w:highlight w:val="none"/>
        </w:rPr>
        <w:t>三、谈判资格</w:t>
      </w:r>
      <w:bookmarkEnd w:id="11"/>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（一）一般资格条件</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1.具有独立承担民事责任的能力；</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2.具有良好的商业信誉和健全的财务会计制度；</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3.具有履行合同所必需的设备和专业技术能力；</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4.有依法缴纳税收和社会保障资金的良好记录；</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5.参加政府采购活动前三年内，在经营活动中没有重大违法记录；</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6.法律、行政法规规定的其他条件。</w:t>
      </w:r>
    </w:p>
    <w:p>
      <w:pPr>
        <w:pStyle w:val="4"/>
        <w:spacing w:before="0" w:after="0" w:line="560" w:lineRule="exact"/>
        <w:ind w:firstLine="560" w:firstLineChars="200"/>
        <w:rPr>
          <w:rFonts w:ascii="宋体" w:hAnsi="宋体" w:cs="宋体"/>
          <w:b w:val="0"/>
          <w:sz w:val="28"/>
          <w:szCs w:val="28"/>
          <w:highlight w:val="none"/>
        </w:rPr>
      </w:pPr>
      <w:bookmarkStart w:id="12" w:name="_Toc32692"/>
      <w:r>
        <w:rPr>
          <w:rFonts w:hint="eastAsia" w:ascii="宋体" w:hAnsi="宋体" w:cs="宋体"/>
          <w:b w:val="0"/>
          <w:sz w:val="28"/>
          <w:szCs w:val="28"/>
          <w:highlight w:val="none"/>
        </w:rPr>
        <w:t>四、谈判有关说明</w:t>
      </w:r>
      <w:bookmarkEnd w:id="3"/>
      <w:bookmarkEnd w:id="12"/>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一）根据《重庆市财政局关于印发〈重庆市政府采购供应商注册及诚信管理暂行办法〉的通知》（渝财采购〔2015〕45号）规定，供应商应按要求进行注册，“行采家”平台（www.gec123.com），登记加入“行采家供应商库”。</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（二）凡有意参加谈判的供应商，请于公告发布之日（2024年</w:t>
      </w:r>
      <w:r>
        <w:rPr>
          <w:rFonts w:hint="eastAsia" w:ascii="宋体" w:hAnsi="宋体" w:cs="宋体"/>
          <w:szCs w:val="28"/>
          <w:highlight w:val="none"/>
          <w:lang w:val="en-US" w:eastAsia="zh-CN"/>
        </w:rPr>
        <w:t>3</w:t>
      </w:r>
      <w:r>
        <w:rPr>
          <w:rFonts w:hint="eastAsia" w:ascii="宋体" w:hAnsi="宋体" w:cs="宋体"/>
          <w:szCs w:val="28"/>
          <w:highlight w:val="none"/>
        </w:rPr>
        <w:t>月</w:t>
      </w:r>
      <w:r>
        <w:rPr>
          <w:rFonts w:hint="eastAsia" w:ascii="宋体" w:hAnsi="宋体" w:cs="宋体"/>
          <w:szCs w:val="28"/>
          <w:highlight w:val="none"/>
          <w:lang w:val="en-US" w:eastAsia="zh-CN"/>
        </w:rPr>
        <w:t>28</w:t>
      </w:r>
      <w:r>
        <w:rPr>
          <w:rFonts w:hint="eastAsia" w:ascii="宋体" w:hAnsi="宋体" w:cs="宋体"/>
          <w:szCs w:val="28"/>
          <w:highlight w:val="none"/>
        </w:rPr>
        <w:t>日）起至提交首次响应文件截止时间之前，在重庆医科大学校园网上（主页-服务大厅-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（三）报名方式</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1.报名期限：2024年</w:t>
      </w:r>
      <w:r>
        <w:rPr>
          <w:rFonts w:hint="eastAsia" w:ascii="宋体" w:hAnsi="宋体" w:cs="宋体"/>
          <w:szCs w:val="28"/>
          <w:highlight w:val="none"/>
          <w:lang w:val="en-US" w:eastAsia="zh-CN"/>
        </w:rPr>
        <w:t>3</w:t>
      </w:r>
      <w:r>
        <w:rPr>
          <w:rFonts w:hint="eastAsia" w:ascii="宋体" w:hAnsi="宋体" w:cs="宋体"/>
          <w:szCs w:val="28"/>
          <w:highlight w:val="none"/>
        </w:rPr>
        <w:t>月</w:t>
      </w:r>
      <w:r>
        <w:rPr>
          <w:rFonts w:hint="eastAsia" w:ascii="宋体" w:hAnsi="宋体" w:cs="宋体"/>
          <w:szCs w:val="28"/>
          <w:highlight w:val="none"/>
          <w:lang w:val="en-US" w:eastAsia="zh-CN"/>
        </w:rPr>
        <w:t>28</w:t>
      </w:r>
      <w:r>
        <w:rPr>
          <w:rFonts w:hint="eastAsia" w:ascii="宋体" w:hAnsi="宋体" w:cs="宋体"/>
          <w:szCs w:val="28"/>
          <w:highlight w:val="none"/>
        </w:rPr>
        <w:t>日9：00至2024年</w:t>
      </w:r>
      <w:r>
        <w:rPr>
          <w:rFonts w:hint="eastAsia" w:ascii="宋体" w:hAnsi="宋体" w:cs="宋体"/>
          <w:szCs w:val="28"/>
          <w:highlight w:val="none"/>
          <w:lang w:val="en-US" w:eastAsia="zh-CN"/>
        </w:rPr>
        <w:t>4</w:t>
      </w:r>
      <w:r>
        <w:rPr>
          <w:rFonts w:hint="eastAsia" w:ascii="宋体" w:hAnsi="宋体" w:cs="宋体"/>
          <w:szCs w:val="28"/>
          <w:highlight w:val="none"/>
        </w:rPr>
        <w:t>月3日17:00（法定公休日、法定节假日除外）</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2.在报名期限内，投标人将保证金汇款凭证（注明采购计划编号、采购项目名称）、供应商名称及地址、联系人姓名及联系方式、电子邮箱地址等相关信息，</w:t>
      </w:r>
      <w:r>
        <w:rPr>
          <w:highlight w:val="none"/>
        </w:rPr>
        <w:fldChar w:fldCharType="begin"/>
      </w:r>
      <w:r>
        <w:rPr>
          <w:highlight w:val="none"/>
        </w:rPr>
        <w:instrText xml:space="preserve"> HYPERLINK "mailto:在报名截止时间前发送至359781294@qq.com" </w:instrText>
      </w:r>
      <w:r>
        <w:rPr>
          <w:highlight w:val="none"/>
        </w:rPr>
        <w:fldChar w:fldCharType="separate"/>
      </w:r>
      <w:r>
        <w:rPr>
          <w:rStyle w:val="63"/>
          <w:rFonts w:hint="eastAsia" w:ascii="宋体" w:hAnsi="宋体" w:cs="宋体"/>
          <w:color w:val="auto"/>
          <w:szCs w:val="28"/>
          <w:highlight w:val="none"/>
        </w:rPr>
        <w:t>在报名截止时间前发送至359781294@qq.com</w:t>
      </w:r>
      <w:r>
        <w:rPr>
          <w:rStyle w:val="63"/>
          <w:rFonts w:hint="eastAsia" w:ascii="宋体" w:hAnsi="宋体" w:cs="宋体"/>
          <w:color w:val="auto"/>
          <w:szCs w:val="28"/>
          <w:highlight w:val="none"/>
        </w:rPr>
        <w:fldChar w:fldCharType="end"/>
      </w:r>
      <w:r>
        <w:rPr>
          <w:rFonts w:hint="eastAsia" w:ascii="宋体" w:hAnsi="宋体" w:cs="宋体"/>
          <w:szCs w:val="28"/>
          <w:highlight w:val="none"/>
        </w:rPr>
        <w:t>邮箱。只有在规定时间内发送了报名信息的供应商的响应文件才被接收。</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3.收到报名信息后，我校将为其办理进校备案，只有办理了备案的人员才能进入学校。</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（四）供应商须满足以下三种要件，其响应文件才被接受：</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1、按时递交了响应文件；</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2、按时报名签到；</w:t>
      </w:r>
    </w:p>
    <w:p>
      <w:pPr>
        <w:spacing w:line="560" w:lineRule="exact"/>
        <w:ind w:firstLine="560" w:firstLineChars="200"/>
        <w:rPr>
          <w:rFonts w:hint="eastAsia" w:ascii="宋体" w:hAnsi="宋体" w:cs="宋体"/>
          <w:szCs w:val="28"/>
          <w:highlight w:val="none"/>
        </w:rPr>
      </w:pPr>
      <w:r>
        <w:rPr>
          <w:rFonts w:hint="eastAsia" w:ascii="宋体" w:hAnsi="宋体" w:cs="宋体"/>
          <w:szCs w:val="28"/>
          <w:highlight w:val="none"/>
        </w:rPr>
        <w:t>3、缴纳了“重庆医科大学基础医学院采购高性能服务器及传感器”项目保证金；</w:t>
      </w:r>
    </w:p>
    <w:p>
      <w:pPr>
        <w:spacing w:line="560" w:lineRule="exact"/>
        <w:ind w:firstLine="560" w:firstLineChars="200"/>
        <w:rPr>
          <w:rFonts w:ascii="宋体" w:hAnsi="宋体" w:cs="宋体"/>
          <w:sz w:val="24"/>
          <w:szCs w:val="24"/>
          <w:highlight w:val="none"/>
          <w:shd w:val="clear" w:color="auto" w:fill="FFFFFF"/>
        </w:rPr>
      </w:pPr>
      <w:r>
        <w:rPr>
          <w:rFonts w:hint="eastAsia" w:ascii="宋体" w:hAnsi="宋体" w:cs="宋体"/>
          <w:szCs w:val="28"/>
          <w:highlight w:val="none"/>
        </w:rPr>
        <w:t>（五）谈判地点：重庆医科大学博士后公寓二楼212室（医学院路1号）</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（六）提交响应文件开始时间：2024年</w:t>
      </w:r>
      <w:r>
        <w:rPr>
          <w:rFonts w:hint="eastAsia" w:ascii="宋体" w:hAnsi="宋体" w:cs="宋体"/>
          <w:szCs w:val="28"/>
          <w:highlight w:val="none"/>
          <w:lang w:val="en-US" w:eastAsia="zh-CN"/>
        </w:rPr>
        <w:t>4</w:t>
      </w:r>
      <w:r>
        <w:rPr>
          <w:rFonts w:hint="eastAsia" w:ascii="宋体" w:hAnsi="宋体" w:cs="宋体"/>
          <w:szCs w:val="28"/>
          <w:highlight w:val="none"/>
        </w:rPr>
        <w:t>月</w:t>
      </w:r>
      <w:r>
        <w:rPr>
          <w:rFonts w:hint="eastAsia" w:ascii="宋体" w:hAnsi="宋体" w:cs="宋体"/>
          <w:szCs w:val="28"/>
          <w:highlight w:val="none"/>
          <w:lang w:val="en-US" w:eastAsia="zh-CN"/>
        </w:rPr>
        <w:t>8</w:t>
      </w:r>
      <w:r>
        <w:rPr>
          <w:rFonts w:hint="eastAsia" w:ascii="宋体" w:hAnsi="宋体" w:cs="宋体"/>
          <w:szCs w:val="28"/>
          <w:highlight w:val="none"/>
        </w:rPr>
        <w:t>日北京时间上午</w:t>
      </w:r>
      <w:r>
        <w:rPr>
          <w:rFonts w:hint="eastAsia" w:ascii="宋体" w:hAnsi="宋体" w:cs="宋体"/>
          <w:szCs w:val="28"/>
          <w:highlight w:val="none"/>
          <w:lang w:val="en-US" w:eastAsia="zh-CN"/>
        </w:rPr>
        <w:t>9</w:t>
      </w:r>
      <w:r>
        <w:rPr>
          <w:rFonts w:hint="eastAsia" w:ascii="宋体" w:hAnsi="宋体" w:cs="宋体"/>
          <w:szCs w:val="28"/>
          <w:highlight w:val="none"/>
        </w:rPr>
        <w:t>:00</w:t>
      </w:r>
    </w:p>
    <w:p>
      <w:pPr>
        <w:spacing w:line="560" w:lineRule="exact"/>
        <w:ind w:left="560" w:leftChars="200"/>
        <w:rPr>
          <w:rFonts w:ascii="宋体" w:hAnsi="宋体" w:cs="宋体"/>
          <w:szCs w:val="28"/>
          <w:highlight w:val="none"/>
        </w:rPr>
      </w:pPr>
      <w:r>
        <w:rPr>
          <w:rFonts w:hint="eastAsia" w:ascii="宋体" w:hAnsi="宋体" w:cs="宋体"/>
          <w:szCs w:val="28"/>
          <w:highlight w:val="none"/>
        </w:rPr>
        <w:t>（七）提交响应文件截止时间：2023年</w:t>
      </w:r>
      <w:r>
        <w:rPr>
          <w:rFonts w:hint="eastAsia" w:ascii="宋体" w:hAnsi="宋体" w:cs="宋体"/>
          <w:szCs w:val="28"/>
          <w:highlight w:val="none"/>
          <w:lang w:val="en-US" w:eastAsia="zh-CN"/>
        </w:rPr>
        <w:t>4</w:t>
      </w:r>
      <w:r>
        <w:rPr>
          <w:rFonts w:hint="eastAsia" w:ascii="宋体" w:hAnsi="宋体" w:cs="宋体"/>
          <w:szCs w:val="28"/>
          <w:highlight w:val="none"/>
        </w:rPr>
        <w:t>月</w:t>
      </w:r>
      <w:r>
        <w:rPr>
          <w:rFonts w:hint="eastAsia" w:ascii="宋体" w:hAnsi="宋体" w:cs="宋体"/>
          <w:szCs w:val="28"/>
          <w:highlight w:val="none"/>
          <w:lang w:val="en-US" w:eastAsia="zh-CN"/>
        </w:rPr>
        <w:t>8</w:t>
      </w:r>
      <w:r>
        <w:rPr>
          <w:rFonts w:hint="eastAsia" w:ascii="宋体" w:hAnsi="宋体" w:cs="宋体"/>
          <w:szCs w:val="28"/>
          <w:highlight w:val="none"/>
        </w:rPr>
        <w:t>日北京时间上午</w:t>
      </w:r>
      <w:r>
        <w:rPr>
          <w:rFonts w:hint="eastAsia" w:ascii="宋体" w:hAnsi="宋体" w:cs="宋体"/>
          <w:szCs w:val="28"/>
          <w:highlight w:val="none"/>
          <w:lang w:val="en-US" w:eastAsia="zh-CN"/>
        </w:rPr>
        <w:t>9</w:t>
      </w:r>
      <w:r>
        <w:rPr>
          <w:rFonts w:hint="eastAsia" w:ascii="宋体" w:hAnsi="宋体" w:cs="宋体"/>
          <w:szCs w:val="28"/>
          <w:highlight w:val="none"/>
        </w:rPr>
        <w:t>:30</w:t>
      </w:r>
    </w:p>
    <w:p>
      <w:pPr>
        <w:spacing w:line="560" w:lineRule="exact"/>
        <w:ind w:left="560" w:leftChars="200"/>
        <w:rPr>
          <w:rFonts w:ascii="宋体" w:hAnsi="宋体" w:cs="宋体"/>
          <w:szCs w:val="28"/>
          <w:highlight w:val="none"/>
        </w:rPr>
      </w:pPr>
      <w:r>
        <w:rPr>
          <w:rFonts w:hint="eastAsia" w:ascii="宋体" w:hAnsi="宋体" w:cs="宋体"/>
          <w:szCs w:val="28"/>
          <w:highlight w:val="none"/>
        </w:rPr>
        <w:t>（八）谈判开始时间：</w:t>
      </w:r>
      <w:bookmarkEnd w:id="4"/>
      <w:bookmarkStart w:id="13" w:name="_Toc373860294"/>
      <w:bookmarkStart w:id="14" w:name="_Toc521053053"/>
      <w:bookmarkStart w:id="15" w:name="_Toc525047161"/>
      <w:r>
        <w:rPr>
          <w:rFonts w:hint="eastAsia" w:ascii="宋体" w:hAnsi="宋体" w:cs="宋体"/>
          <w:szCs w:val="28"/>
          <w:highlight w:val="none"/>
        </w:rPr>
        <w:t>2023年</w:t>
      </w:r>
      <w:r>
        <w:rPr>
          <w:rFonts w:hint="eastAsia" w:ascii="宋体" w:hAnsi="宋体" w:cs="宋体"/>
          <w:szCs w:val="28"/>
          <w:highlight w:val="none"/>
          <w:lang w:val="en-US" w:eastAsia="zh-CN"/>
        </w:rPr>
        <w:t>4</w:t>
      </w:r>
      <w:r>
        <w:rPr>
          <w:rFonts w:hint="eastAsia" w:ascii="宋体" w:hAnsi="宋体" w:cs="宋体"/>
          <w:szCs w:val="28"/>
          <w:highlight w:val="none"/>
        </w:rPr>
        <w:t>月</w:t>
      </w:r>
      <w:r>
        <w:rPr>
          <w:rFonts w:hint="eastAsia" w:ascii="宋体" w:hAnsi="宋体" w:cs="宋体"/>
          <w:szCs w:val="28"/>
          <w:highlight w:val="none"/>
          <w:lang w:val="en-US" w:eastAsia="zh-CN"/>
        </w:rPr>
        <w:t>8</w:t>
      </w:r>
      <w:r>
        <w:rPr>
          <w:rFonts w:hint="eastAsia" w:ascii="宋体" w:hAnsi="宋体" w:cs="宋体"/>
          <w:szCs w:val="28"/>
          <w:highlight w:val="none"/>
        </w:rPr>
        <w:t>日北京时间上午</w:t>
      </w:r>
      <w:r>
        <w:rPr>
          <w:rFonts w:hint="eastAsia" w:ascii="宋体" w:hAnsi="宋体" w:cs="宋体"/>
          <w:szCs w:val="28"/>
          <w:highlight w:val="none"/>
          <w:lang w:val="en-US" w:eastAsia="zh-CN"/>
        </w:rPr>
        <w:t>9</w:t>
      </w:r>
      <w:r>
        <w:rPr>
          <w:rFonts w:hint="eastAsia" w:ascii="宋体" w:hAnsi="宋体" w:cs="宋体"/>
          <w:szCs w:val="28"/>
          <w:highlight w:val="none"/>
        </w:rPr>
        <w:t>:30</w:t>
      </w:r>
    </w:p>
    <w:p>
      <w:pPr>
        <w:pStyle w:val="4"/>
        <w:spacing w:before="0" w:after="0" w:line="560" w:lineRule="exact"/>
        <w:ind w:firstLine="560" w:firstLineChars="200"/>
        <w:rPr>
          <w:rFonts w:ascii="宋体" w:hAnsi="宋体" w:cs="宋体"/>
          <w:b w:val="0"/>
          <w:sz w:val="28"/>
          <w:szCs w:val="28"/>
          <w:highlight w:val="none"/>
        </w:rPr>
      </w:pPr>
      <w:bookmarkStart w:id="16" w:name="_Toc7132"/>
      <w:r>
        <w:rPr>
          <w:rFonts w:hint="eastAsia" w:ascii="宋体" w:hAnsi="宋体" w:cs="宋体"/>
          <w:b w:val="0"/>
          <w:sz w:val="28"/>
          <w:szCs w:val="28"/>
          <w:highlight w:val="none"/>
        </w:rPr>
        <w:t>五、保证金</w:t>
      </w:r>
      <w:bookmarkEnd w:id="13"/>
      <w:bookmarkEnd w:id="14"/>
      <w:bookmarkEnd w:id="15"/>
      <w:bookmarkEnd w:id="16"/>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（一）缴纳保证金方式</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1、按《重庆市财政局关于进一步规范投标报名及保证金缴纳的通知》的规定，具体缴纳方式如下：</w:t>
      </w:r>
    </w:p>
    <w:p>
      <w:pPr>
        <w:spacing w:line="560" w:lineRule="exact"/>
        <w:ind w:firstLine="560" w:firstLineChars="200"/>
        <w:rPr>
          <w:rFonts w:hint="eastAsia" w:ascii="宋体" w:hAnsi="宋体" w:cs="宋体"/>
          <w:szCs w:val="28"/>
          <w:highlight w:val="none"/>
        </w:rPr>
      </w:pPr>
      <w:r>
        <w:rPr>
          <w:rFonts w:hint="eastAsia" w:ascii="宋体" w:hAnsi="宋体" w:cs="宋体"/>
          <w:szCs w:val="28"/>
          <w:highlight w:val="none"/>
        </w:rPr>
        <w:t>（1）分项目单次递交的供应商，须按本项目规定的保证金数额进行缴纳，由供应商从其基本账户将保证金汇至重庆医科大学的账号上，同时在进账凭证上明确“重庆医科大学基础医学院采购高性能服务器及传感器”的采购计划编号，保证金的到账截止时间为谈判当天上午8:30。供应商须在投标前到学校财务处（第二教学楼110室）凭汇款凭证（原件或复印件）领取投标保证金的单据，以备投标时查验。投标人须充分考虑银行工作的时间差风险。</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递交保证金账号信息如下：</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户  名：重庆医科大学</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账  号：5000 1033 6000 5000 8726</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开户行：中国建设银行股份有限公司重庆高新区分行</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供应商也可以通过微信公众号缴纳投标保证金，并在备注栏中注明拟投标的采购计划编号及项目名称。微信公众号缴纳步骤如下：关注“重庆医科大学财务处”公众号--服务大厅--校外服务平台--缴投标保证金。通过微信公众号缴纳保证金的供应商，需自行打印由学校财务处开具的投标保证金电子票据，以备投标时查验。保证金的到账截止时间为谈判当天上午8:30。</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财务处联系电话：023-68486151  </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2、缴纳保证金需注意事项：</w:t>
      </w:r>
    </w:p>
    <w:p>
      <w:pPr>
        <w:snapToGrid w:val="0"/>
        <w:spacing w:line="560" w:lineRule="exact"/>
        <w:ind w:firstLine="560" w:firstLineChars="200"/>
        <w:rPr>
          <w:rFonts w:hint="eastAsia" w:ascii="宋体" w:hAnsi="宋体" w:cs="宋体"/>
          <w:szCs w:val="28"/>
          <w:highlight w:val="none"/>
        </w:rPr>
      </w:pPr>
      <w:r>
        <w:rPr>
          <w:rFonts w:hint="eastAsia" w:ascii="宋体" w:hAnsi="宋体" w:cs="宋体"/>
          <w:szCs w:val="28"/>
          <w:highlight w:val="none"/>
        </w:rPr>
        <w:t>（1）供应商必须在付款凭证备注栏中注明“重庆医科大学基础医学院采购高性能服务器及传感器”的采购计划编号；</w:t>
      </w:r>
    </w:p>
    <w:p>
      <w:pPr>
        <w:snapToGrid w:val="0"/>
        <w:spacing w:line="560" w:lineRule="exact"/>
        <w:ind w:firstLine="560" w:firstLineChars="200"/>
        <w:rPr>
          <w:rFonts w:hint="eastAsia" w:ascii="宋体" w:hAnsi="宋体" w:cs="宋体"/>
          <w:szCs w:val="28"/>
          <w:highlight w:val="none"/>
        </w:rPr>
      </w:pPr>
      <w:r>
        <w:rPr>
          <w:rFonts w:hint="eastAsia" w:ascii="宋体" w:hAnsi="宋体" w:cs="宋体"/>
          <w:szCs w:val="28"/>
          <w:highlight w:val="none"/>
        </w:rPr>
        <w:t>（2）各供应商在银行转账（电汇）时，须充分考虑银行转账（电汇）的时间差风险，如同城转账、异地转账或汇款、跨行转账或电汇的时间要求。</w:t>
      </w:r>
    </w:p>
    <w:p>
      <w:pPr>
        <w:snapToGrid w:val="0"/>
        <w:spacing w:line="560" w:lineRule="exact"/>
        <w:ind w:firstLine="560" w:firstLineChars="200"/>
        <w:rPr>
          <w:rFonts w:hint="eastAsia" w:ascii="宋体" w:hAnsi="宋体" w:cs="宋体"/>
          <w:szCs w:val="28"/>
          <w:highlight w:val="none"/>
        </w:rPr>
      </w:pPr>
      <w:r>
        <w:rPr>
          <w:rFonts w:hint="eastAsia" w:ascii="宋体" w:hAnsi="宋体" w:cs="宋体"/>
          <w:szCs w:val="28"/>
          <w:highlight w:val="none"/>
        </w:rPr>
        <w:t>（3）各供应商在递交保证金时，到款账户为上述指定的保证金专用账户。来款账户必须为本公司基本账户，否则，投标无效。</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（4）投标查验时，请出具由学校财务处开具的投标保证金电子票据。</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3、保证金数额不超过采购预算的2%。</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（二）保证金退还方式</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1、分项目单次递交的保证金</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1.1分项目单次递交的未成交供应商的保证金，在成交通知书发放后，由投标公司持投标保证金收据到重庆医科大学基础医学院办理退款手续。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1.2成交供应商的保证金，在成交供应商与采购人签订合同后，持投标保证金收据到重庆医科大学基础医学院办理退款手续。</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1.3保证金退还办理时间为每周四下午2:30时到5:00时。</w:t>
      </w:r>
    </w:p>
    <w:p>
      <w:pPr>
        <w:pStyle w:val="4"/>
        <w:spacing w:before="0" w:after="0" w:line="560" w:lineRule="exact"/>
        <w:ind w:firstLine="560" w:firstLineChars="200"/>
        <w:rPr>
          <w:rFonts w:ascii="宋体" w:hAnsi="宋体" w:cs="宋体"/>
          <w:b w:val="0"/>
          <w:bCs/>
          <w:sz w:val="28"/>
          <w:szCs w:val="28"/>
          <w:highlight w:val="none"/>
        </w:rPr>
      </w:pPr>
      <w:bookmarkStart w:id="17" w:name="_Toc7022"/>
      <w:r>
        <w:rPr>
          <w:rFonts w:hint="eastAsia" w:ascii="宋体" w:hAnsi="宋体" w:cs="宋体"/>
          <w:b w:val="0"/>
          <w:bCs/>
          <w:sz w:val="28"/>
          <w:szCs w:val="28"/>
          <w:highlight w:val="none"/>
        </w:rPr>
        <w:t>六、采购项目需落实的政府采购政策</w:t>
      </w:r>
      <w:bookmarkEnd w:id="17"/>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一）按照《财政部生态环境部关于印发环境标志产品政府采购品目清单的通知》（财库〔2019〕18号）和《财政部发展改革委关于印发节能产品政府采购品目清单的通知》（财库〔2019〕19号）的规定，落实国家节能环保政策。</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（二）按照《财政部工业和信息化部关于印发≥政府采购促进中小企业发展暂行办法≥的通知》（财库〔2011〕181号）的规定，落实促进中小企业发展政策。</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（三）按照《财政部、司法部关于政府采购支持监狱企业发展有关问题的通知》（财库〔2014〕68号）的规定，落实支持监狱企业发展政策。</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（四）按照《三部门联合发布关于促进残疾人就业政府采购政策的通知》（财库〔2017〕141号）的规定，落实支持残疾人福利性单位发展政策。</w:t>
      </w:r>
    </w:p>
    <w:p>
      <w:pPr>
        <w:pStyle w:val="4"/>
        <w:spacing w:before="0" w:after="0" w:line="560" w:lineRule="exact"/>
        <w:ind w:firstLine="560" w:firstLineChars="200"/>
        <w:rPr>
          <w:rFonts w:ascii="宋体" w:hAnsi="宋体" w:cs="宋体"/>
          <w:b w:val="0"/>
          <w:bCs/>
          <w:sz w:val="28"/>
          <w:szCs w:val="28"/>
          <w:highlight w:val="none"/>
        </w:rPr>
      </w:pPr>
      <w:bookmarkStart w:id="18" w:name="_Toc1865"/>
      <w:r>
        <w:rPr>
          <w:rFonts w:hint="eastAsia" w:ascii="宋体" w:hAnsi="宋体" w:cs="宋体"/>
          <w:b w:val="0"/>
          <w:bCs/>
          <w:sz w:val="28"/>
          <w:szCs w:val="28"/>
          <w:highlight w:val="none"/>
        </w:rPr>
        <w:t>七、其它有关规定</w:t>
      </w:r>
      <w:bookmarkEnd w:id="18"/>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3、同一分包的货物，制造商参与谈判的，不得再委托代理商参与谈判，否则为无效谈判。</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4、为采购项目提供整体设计、规范编制或者项目管理、监理、检测等服务的供应商，不得再参加该采购项目的其他采购活动。</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5、本项目在响应文件提交截止时间前发布的竞争性谈判文件及补遗文件在重庆医科大学校园网上（主页-服务大厅-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6、超过响应文件截止时间递交的响应文件，恕不接收。</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7、谈判费用：无论谈判结果如何，供应商参与本项目谈判的所有费用均应由供应商自行承担。</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8、列入失信被执行人、重大税收违法案件当事人名单、政府采购严重违法失信行为记录名单等及其他不符合《中华人民共和国政府采购法》第二十二条规定条件的供应商，将拒绝其参与政府采购活动。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8.1 供应商可通过信用中国网站（www.creditchina.gov.cn）查询以下内容</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8.1.1“失信被执行人”；</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8.1.2“重大税收违法案件当事人名单”；</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8.1.3“政府采购严重违法失信行为记录名单”</w:t>
      </w:r>
    </w:p>
    <w:p>
      <w:pPr>
        <w:pStyle w:val="4"/>
        <w:spacing w:before="0" w:after="0" w:line="560" w:lineRule="exact"/>
        <w:ind w:firstLine="560" w:firstLineChars="200"/>
        <w:rPr>
          <w:rFonts w:ascii="宋体" w:hAnsi="宋体" w:cs="宋体"/>
          <w:b w:val="0"/>
          <w:bCs/>
          <w:sz w:val="28"/>
          <w:szCs w:val="28"/>
          <w:highlight w:val="none"/>
        </w:rPr>
      </w:pPr>
      <w:bookmarkStart w:id="19" w:name="_Toc4083"/>
      <w:r>
        <w:rPr>
          <w:rFonts w:hint="eastAsia" w:ascii="宋体" w:hAnsi="宋体" w:cs="宋体"/>
          <w:b w:val="0"/>
          <w:bCs/>
          <w:sz w:val="28"/>
          <w:szCs w:val="28"/>
          <w:highlight w:val="none"/>
        </w:rPr>
        <w:t>八、联系方式</w:t>
      </w:r>
      <w:bookmarkEnd w:id="19"/>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采购人：重庆医科大学基础医学院</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联系人：彭老师</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电话：（023）68486679</w:t>
      </w:r>
    </w:p>
    <w:p>
      <w:pPr>
        <w:snapToGrid w:val="0"/>
        <w:spacing w:line="560" w:lineRule="exact"/>
        <w:ind w:firstLine="560" w:firstLineChars="200"/>
        <w:rPr>
          <w:rFonts w:ascii="宋体" w:hAnsi="宋体" w:cs="宋体"/>
          <w:szCs w:val="28"/>
          <w:highlight w:val="none"/>
        </w:rPr>
        <w:sectPr>
          <w:pgSz w:w="11907" w:h="16840"/>
          <w:pgMar w:top="1418" w:right="1304" w:bottom="1134" w:left="1304" w:header="964" w:footer="992" w:gutter="0"/>
          <w:pgNumType w:fmt="numberInDash"/>
          <w:cols w:space="720" w:num="1"/>
          <w:docGrid w:linePitch="312" w:charSpace="0"/>
        </w:sectPr>
      </w:pPr>
      <w:r>
        <w:rPr>
          <w:rFonts w:hint="eastAsia" w:ascii="宋体" w:hAnsi="宋体" w:cs="宋体"/>
          <w:szCs w:val="28"/>
          <w:highlight w:val="none"/>
        </w:rPr>
        <w:t>地址：重庆市渝中区医学院路1号博士后公寓一楼</w:t>
      </w:r>
    </w:p>
    <w:p>
      <w:pPr>
        <w:pStyle w:val="3"/>
        <w:spacing w:before="0" w:after="0" w:line="560" w:lineRule="exact"/>
        <w:jc w:val="center"/>
        <w:rPr>
          <w:rFonts w:ascii="宋体" w:hAnsi="宋体" w:eastAsia="宋体" w:cs="宋体"/>
          <w:b w:val="0"/>
          <w:sz w:val="44"/>
          <w:szCs w:val="44"/>
          <w:highlight w:val="none"/>
        </w:rPr>
      </w:pPr>
      <w:bookmarkStart w:id="20" w:name="_Toc11640"/>
      <w:bookmarkStart w:id="21" w:name="_Toc102227313"/>
      <w:r>
        <w:rPr>
          <w:rFonts w:hint="eastAsia" w:ascii="宋体" w:hAnsi="宋体" w:eastAsia="宋体" w:cs="宋体"/>
          <w:b w:val="0"/>
          <w:sz w:val="44"/>
          <w:szCs w:val="44"/>
          <w:highlight w:val="none"/>
        </w:rPr>
        <w:t>第二篇供应商须知</w:t>
      </w:r>
      <w:bookmarkEnd w:id="20"/>
      <w:bookmarkEnd w:id="21"/>
    </w:p>
    <w:p>
      <w:pPr>
        <w:pStyle w:val="4"/>
        <w:spacing w:before="0" w:after="0" w:line="560" w:lineRule="exact"/>
        <w:ind w:firstLine="560" w:firstLineChars="200"/>
        <w:rPr>
          <w:rFonts w:ascii="宋体" w:hAnsi="宋体" w:cs="宋体"/>
          <w:b w:val="0"/>
          <w:sz w:val="28"/>
          <w:szCs w:val="28"/>
          <w:highlight w:val="none"/>
        </w:rPr>
      </w:pPr>
      <w:bookmarkStart w:id="22" w:name="_Toc6605"/>
      <w:bookmarkStart w:id="23" w:name="_Toc342913389"/>
      <w:r>
        <w:rPr>
          <w:rFonts w:hint="eastAsia" w:ascii="宋体" w:hAnsi="宋体" w:cs="宋体"/>
          <w:b w:val="0"/>
          <w:sz w:val="28"/>
          <w:szCs w:val="28"/>
          <w:highlight w:val="none"/>
        </w:rPr>
        <w:t>一、谈判费用</w:t>
      </w:r>
      <w:bookmarkEnd w:id="22"/>
      <w:bookmarkEnd w:id="23"/>
    </w:p>
    <w:p>
      <w:pPr>
        <w:pStyle w:val="172"/>
        <w:spacing w:line="560" w:lineRule="exact"/>
        <w:ind w:firstLine="560" w:firstLineChars="200"/>
        <w:rPr>
          <w:rFonts w:hAnsi="宋体" w:cs="宋体"/>
          <w:sz w:val="28"/>
          <w:szCs w:val="28"/>
          <w:highlight w:val="none"/>
        </w:rPr>
      </w:pPr>
      <w:r>
        <w:rPr>
          <w:rFonts w:hint="eastAsia" w:hAnsi="宋体" w:cs="宋体"/>
          <w:sz w:val="28"/>
          <w:szCs w:val="28"/>
          <w:highlight w:val="none"/>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560" w:lineRule="exact"/>
        <w:ind w:firstLine="560" w:firstLineChars="200"/>
        <w:rPr>
          <w:rFonts w:ascii="宋体" w:hAnsi="宋体" w:cs="宋体"/>
          <w:b w:val="0"/>
          <w:sz w:val="28"/>
          <w:szCs w:val="28"/>
          <w:highlight w:val="none"/>
        </w:rPr>
      </w:pPr>
      <w:bookmarkStart w:id="24" w:name="_Toc977"/>
      <w:bookmarkStart w:id="25" w:name="_Toc342913391"/>
      <w:r>
        <w:rPr>
          <w:rFonts w:hint="eastAsia" w:ascii="宋体" w:hAnsi="宋体" w:cs="宋体"/>
          <w:b w:val="0"/>
          <w:sz w:val="28"/>
          <w:szCs w:val="28"/>
          <w:highlight w:val="none"/>
        </w:rPr>
        <w:t>二、竞争性谈判文件</w:t>
      </w:r>
      <w:bookmarkEnd w:id="24"/>
      <w:bookmarkEnd w:id="25"/>
      <w:r>
        <w:rPr>
          <w:rFonts w:hint="eastAsia" w:ascii="宋体" w:hAnsi="宋体" w:cs="宋体"/>
          <w:b w:val="0"/>
          <w:sz w:val="28"/>
          <w:szCs w:val="28"/>
          <w:highlight w:val="none"/>
        </w:rPr>
        <w:tab/>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（二）采购人（或采购代理机构）所作的一切有效的书面通知、修改及补充，都是竞争性谈判文件不可分割的部分。</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（三）</w:t>
      </w:r>
      <w:bookmarkStart w:id="26" w:name="_Toc318159349"/>
      <w:bookmarkStart w:id="27" w:name="_Toc318159780"/>
      <w:bookmarkStart w:id="28" w:name="_Toc318166429"/>
      <w:bookmarkStart w:id="29" w:name="_Toc318159160"/>
      <w:r>
        <w:rPr>
          <w:rFonts w:hint="eastAsia" w:ascii="宋体" w:hAnsi="宋体" w:cs="宋体"/>
          <w:szCs w:val="28"/>
          <w:highlight w:val="none"/>
        </w:rPr>
        <w:t>本竞争性谈判文件中，谈判小组根据与供应商谈判情况可能实质性变动的内容为竞争性谈判文件第三、四、五篇全部内容。</w:t>
      </w:r>
    </w:p>
    <w:bookmarkEnd w:id="26"/>
    <w:bookmarkEnd w:id="27"/>
    <w:bookmarkEnd w:id="28"/>
    <w:bookmarkEnd w:id="29"/>
    <w:p>
      <w:pPr>
        <w:pStyle w:val="4"/>
        <w:spacing w:before="0" w:after="0" w:line="560" w:lineRule="exact"/>
        <w:ind w:firstLine="560" w:firstLineChars="200"/>
        <w:rPr>
          <w:rFonts w:ascii="宋体" w:hAnsi="宋体" w:cs="宋体"/>
          <w:b w:val="0"/>
          <w:sz w:val="28"/>
          <w:szCs w:val="28"/>
          <w:highlight w:val="none"/>
        </w:rPr>
      </w:pPr>
      <w:bookmarkStart w:id="30" w:name="_Toc102227318"/>
      <w:bookmarkStart w:id="31" w:name="_Toc342913392"/>
      <w:bookmarkStart w:id="32" w:name="_Toc179714297"/>
      <w:bookmarkStart w:id="33" w:name="_Toc32678"/>
      <w:r>
        <w:rPr>
          <w:rFonts w:hint="eastAsia" w:ascii="宋体" w:hAnsi="宋体" w:cs="宋体"/>
          <w:b w:val="0"/>
          <w:sz w:val="28"/>
          <w:szCs w:val="28"/>
          <w:highlight w:val="none"/>
        </w:rPr>
        <w:t>三、谈判要求</w:t>
      </w:r>
      <w:bookmarkEnd w:id="30"/>
      <w:bookmarkEnd w:id="31"/>
      <w:bookmarkEnd w:id="32"/>
      <w:bookmarkEnd w:id="33"/>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（一）响应文件</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1.响应文件组成</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2.谈判有效期：响应文件及有关承诺文件有效期为谈判开始时间起90天。</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（二）保证金：</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1.供应商提交保证金金额和方式详见“</w:t>
      </w:r>
      <w:r>
        <w:rPr>
          <w:rFonts w:hint="eastAsia" w:ascii="宋体" w:hAnsi="宋体" w:cs="宋体"/>
          <w:szCs w:val="28"/>
          <w:highlight w:val="none"/>
          <w:u w:val="single"/>
        </w:rPr>
        <w:t>第一篇五、保证金”</w:t>
      </w:r>
      <w:r>
        <w:rPr>
          <w:rFonts w:hint="eastAsia" w:ascii="宋体" w:hAnsi="宋体" w:cs="宋体"/>
          <w:szCs w:val="28"/>
          <w:highlight w:val="none"/>
        </w:rPr>
        <w:t>；</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2.发生以下情况之一者，保证金不予退还：</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2.1供应商在提交响应文件截止时间后撤回响应文件的；</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2.2供应商在响应文件中提供虚假材料的；</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2.3除因不可抗力或竞争性谈判文件认可的情形以外，成交供应商不与采购人签订合同的；</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2.4供应商与采购人、其他供应商或者采购代理机构恶意串通的；</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2.5成交供应商不按规定的时间或拒绝按成交状态签订合同（即不按照采购文件确定的合同文本以及采购标的、规格型号、采购金额、采购数量、技术和服务要求等事项签订政府采购合同的）。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（三）修正错误</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若供应商所递交的响应文件或最后报价中的价格出现大写金额和小写金额不一致的错误，以大写金额修正为准。</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（四）报价要求</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 本次报价须为人民币报价。若为进口设备，其投标报价为免税价（免关税及增值税）,包含（但不限于）：产品价、运输费（含装卸费）、0.6%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 本次报价须为人民币报价。若为国产设备,报价包含：产品价、运输费（含装卸费）、保险费、安装调试费、税费、培训费等货到重庆医科大学采购人指定地点的所有费用。</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3. 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（五）提交响应文件的份数和签署</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2.在响应文件正本中，竞争性谈判文件第六篇响应文件格式中规定签字、盖章的地方必须按其规定签字、盖章。</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3.若供应商对响应文件的错处作必要修改，则应在修改处加盖供应商公章或由法定代表人或法定代表人授权代表签字确认。</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4.电报、电话、传真形式的响应文件概不接受。</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（六）响应文件的递交</w:t>
      </w:r>
    </w:p>
    <w:p>
      <w:pPr>
        <w:pStyle w:val="30"/>
        <w:spacing w:line="560" w:lineRule="exact"/>
        <w:ind w:firstLine="560" w:firstLineChars="200"/>
        <w:rPr>
          <w:rFonts w:hAnsi="宋体" w:cs="宋体"/>
          <w:sz w:val="28"/>
          <w:szCs w:val="28"/>
          <w:highlight w:val="none"/>
        </w:rPr>
      </w:pPr>
      <w:r>
        <w:rPr>
          <w:rFonts w:hint="eastAsia" w:hAnsi="宋体" w:cs="宋体"/>
          <w:sz w:val="28"/>
          <w:szCs w:val="28"/>
          <w:highlight w:val="none"/>
        </w:rPr>
        <w:t>1.响应文件的密封与标记</w:t>
      </w:r>
    </w:p>
    <w:p>
      <w:pPr>
        <w:pStyle w:val="30"/>
        <w:spacing w:line="560" w:lineRule="exact"/>
        <w:ind w:firstLine="560" w:firstLineChars="200"/>
        <w:rPr>
          <w:rFonts w:hAnsi="宋体" w:cs="宋体"/>
          <w:sz w:val="28"/>
          <w:szCs w:val="28"/>
          <w:highlight w:val="none"/>
        </w:rPr>
      </w:pPr>
      <w:r>
        <w:rPr>
          <w:rFonts w:hint="eastAsia" w:hAnsi="宋体" w:cs="宋体"/>
          <w:sz w:val="28"/>
          <w:szCs w:val="28"/>
          <w:highlight w:val="none"/>
        </w:rPr>
        <w:t>1.1响应文件的正本、副本以及电子文档均应密封送达谈判地点，应在封套上注明项目名称、供应商名称。若正本、副本以及电子文档分别进行密封的，还应在封套上注明“正本”、“副本”、“电子文档”字样。</w:t>
      </w:r>
    </w:p>
    <w:p>
      <w:pPr>
        <w:pStyle w:val="30"/>
        <w:spacing w:line="560" w:lineRule="exact"/>
        <w:ind w:firstLine="560" w:firstLineChars="200"/>
        <w:rPr>
          <w:rFonts w:hAnsi="宋体" w:cs="宋体"/>
          <w:sz w:val="28"/>
          <w:szCs w:val="28"/>
          <w:highlight w:val="none"/>
        </w:rPr>
      </w:pPr>
      <w:r>
        <w:rPr>
          <w:rFonts w:hint="eastAsia" w:hAnsi="宋体" w:cs="宋体"/>
          <w:sz w:val="28"/>
          <w:szCs w:val="28"/>
          <w:highlight w:val="none"/>
        </w:rPr>
        <w:t>1.2封套的封口处应加盖供应商公章或由法定代表人授权代表签字。</w:t>
      </w:r>
    </w:p>
    <w:p>
      <w:pPr>
        <w:pStyle w:val="30"/>
        <w:spacing w:line="560" w:lineRule="exact"/>
        <w:ind w:firstLine="560" w:firstLineChars="200"/>
        <w:rPr>
          <w:rFonts w:hAnsi="宋体" w:cs="宋体"/>
          <w:sz w:val="28"/>
          <w:szCs w:val="28"/>
          <w:highlight w:val="none"/>
        </w:rPr>
      </w:pPr>
      <w:r>
        <w:rPr>
          <w:rFonts w:hint="eastAsia" w:hAnsi="宋体" w:cs="宋体"/>
          <w:sz w:val="28"/>
          <w:szCs w:val="28"/>
          <w:highlight w:val="none"/>
        </w:rPr>
        <w:t>2.如果响应文件通过邮寄递交，供应商应将响应文件用内、外两层封套密封。</w:t>
      </w:r>
    </w:p>
    <w:p>
      <w:pPr>
        <w:pStyle w:val="30"/>
        <w:spacing w:line="560" w:lineRule="exact"/>
        <w:ind w:firstLine="560" w:firstLineChars="200"/>
        <w:rPr>
          <w:rFonts w:hAnsi="宋体" w:cs="宋体"/>
          <w:sz w:val="28"/>
          <w:szCs w:val="28"/>
          <w:highlight w:val="none"/>
        </w:rPr>
      </w:pPr>
      <w:r>
        <w:rPr>
          <w:rFonts w:hint="eastAsia" w:hAnsi="宋体" w:cs="宋体"/>
          <w:sz w:val="28"/>
          <w:szCs w:val="28"/>
          <w:highlight w:val="none"/>
        </w:rPr>
        <w:t>2.1内层封套的封装与标记同“1.”款规定。</w:t>
      </w:r>
    </w:p>
    <w:p>
      <w:pPr>
        <w:pStyle w:val="30"/>
        <w:spacing w:line="560" w:lineRule="exact"/>
        <w:ind w:firstLine="560" w:firstLineChars="200"/>
        <w:rPr>
          <w:rFonts w:hAnsi="宋体" w:cs="宋体"/>
          <w:sz w:val="28"/>
          <w:szCs w:val="28"/>
          <w:highlight w:val="none"/>
        </w:rPr>
      </w:pPr>
      <w:r>
        <w:rPr>
          <w:rFonts w:hint="eastAsia" w:hAnsi="宋体" w:cs="宋体"/>
          <w:sz w:val="28"/>
          <w:szCs w:val="28"/>
          <w:highlight w:val="none"/>
        </w:rPr>
        <w:t>2.2外层封套装入“1.”款所述全部内封资料，并注明谈判项目编号、项目名称、采购代理机构名称及地址。同时应写明供应商的名称、地址，以便将迟交的响应文件原封退还。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3.如果未按上述规定进行密封和标记，采购代理机构对响应文件误投、丢失或提前拆封不负责任。</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（七）响应文件语言：简体中文</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（八）供应商参与人员</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各供应商应当派1-2名代表参与谈判，至少1人应为法定代表人或具有法定代表人授权委托书的授权代表。</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（九）无效谈判</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供应商发生以下条款情况之一者，视为无效谈判，其响应文件将被拒绝：</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1.供应商不符合规定的基本资格条件或特定资格条件的；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2.供应商未按谈判文件规定购买谈判文件的；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3.供应商的法定代表人或其授权代表未参加谈判；</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4.供应商未在保证金到账截止时间前提交足额保证金的；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5.供应商所提交的响应文件不按规定签字、盖章的；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6.供应商的最后报价超过采购预算或最高限价的；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7.供应商响应文件内容有与国家现行法律法规相违背的内容，或附有采购人无法接受条件的。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8.单位负责人为同一人或者存在直接控股、管理关系的不同供应商，参加同一合同项（分包）下政府采购活动的；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9.为采购项目提供整体设计、规范编制或者项目管理、监理、检测等服务的供应商再参加该采购项目的其他采购活动的；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10.同一合同项（分包）下的货物，制造商参与谈判的，再委托代理商参与谈判的.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11.供应商以联合体形式参与谈判的。</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12.供应商如会上不能解答谈判文件的技术问题，视为无效谈判。</w:t>
      </w:r>
    </w:p>
    <w:p>
      <w:pPr>
        <w:pStyle w:val="4"/>
        <w:spacing w:before="0" w:after="0" w:line="560" w:lineRule="exact"/>
        <w:ind w:firstLine="560" w:firstLineChars="200"/>
        <w:rPr>
          <w:rFonts w:ascii="宋体" w:hAnsi="宋体" w:cs="宋体"/>
          <w:b w:val="0"/>
          <w:sz w:val="28"/>
          <w:szCs w:val="28"/>
          <w:highlight w:val="none"/>
        </w:rPr>
      </w:pPr>
      <w:bookmarkStart w:id="34" w:name="_Toc102227319"/>
      <w:bookmarkStart w:id="35" w:name="_Toc342913393"/>
      <w:bookmarkStart w:id="36" w:name="_Toc18868"/>
      <w:bookmarkStart w:id="37" w:name="_Toc179714298"/>
      <w:r>
        <w:rPr>
          <w:rFonts w:hint="eastAsia" w:ascii="宋体" w:hAnsi="宋体" w:cs="宋体"/>
          <w:b w:val="0"/>
          <w:sz w:val="28"/>
          <w:szCs w:val="28"/>
          <w:highlight w:val="none"/>
        </w:rPr>
        <w:t>四、谈判程序</w:t>
      </w:r>
      <w:bookmarkEnd w:id="34"/>
      <w:bookmarkEnd w:id="35"/>
      <w:bookmarkEnd w:id="36"/>
      <w:bookmarkEnd w:id="37"/>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（一）谈判按竞争性谈判文件规定的时间和地点进行。供应商须有法定代表人或其授权代表参加并签到。</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pPr>
        <w:snapToGrid w:val="0"/>
        <w:spacing w:line="560" w:lineRule="exact"/>
        <w:ind w:firstLine="560" w:firstLineChars="200"/>
        <w:rPr>
          <w:rFonts w:ascii="宋体" w:hAnsi="宋体" w:cs="宋体"/>
          <w:kern w:val="0"/>
          <w:szCs w:val="28"/>
          <w:highlight w:val="none"/>
        </w:rPr>
      </w:pPr>
      <w:r>
        <w:rPr>
          <w:rFonts w:hint="eastAsia" w:ascii="宋体" w:hAnsi="宋体" w:cs="宋体"/>
          <w:kern w:val="0"/>
          <w:szCs w:val="28"/>
          <w:highlight w:val="none"/>
        </w:rPr>
        <w:t>1.资格性检查。依据法律法规和竞争性谈判文件的规定，对响应文件中的资格证明、保证金等进行审查，以确定供应商是否具备谈判资格。资格性检查资料表如下：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供</w:t>
            </w:r>
          </w:p>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应</w:t>
            </w:r>
          </w:p>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商</w:t>
            </w:r>
          </w:p>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基</w:t>
            </w:r>
          </w:p>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本</w:t>
            </w:r>
          </w:p>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资</w:t>
            </w:r>
          </w:p>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格</w:t>
            </w:r>
          </w:p>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条</w:t>
            </w:r>
          </w:p>
          <w:p>
            <w:pPr>
              <w:spacing w:line="560" w:lineRule="exact"/>
              <w:jc w:val="center"/>
              <w:rPr>
                <w:rFonts w:ascii="宋体" w:hAnsi="宋体" w:cs="宋体"/>
                <w:szCs w:val="28"/>
                <w:highlight w:val="none"/>
                <w:lang w:val="zh-CN"/>
              </w:rPr>
            </w:pPr>
            <w:r>
              <w:rPr>
                <w:rFonts w:hint="eastAsia" w:ascii="宋体" w:hAnsi="宋体" w:cs="宋体"/>
                <w:szCs w:val="28"/>
                <w:highlight w:val="none"/>
                <w:lang w:val="zh-CN"/>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（1）具有独立承担民事责任的能力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①供应商法人营业执照（副本）或事业单位法人证书（副本）或个体工商户营业执照或有效的自然人身份证明、组织机构代码证复印件（注</w:t>
            </w:r>
            <w:r>
              <w:rPr>
                <w:rFonts w:hint="eastAsia" w:ascii="宋体" w:hAnsi="宋体" w:cs="宋体"/>
                <w:kern w:val="0"/>
                <w:szCs w:val="28"/>
                <w:highlight w:val="none"/>
              </w:rPr>
              <w:t>1</w:t>
            </w:r>
            <w:r>
              <w:rPr>
                <w:rFonts w:hint="eastAsia" w:ascii="宋体" w:hAnsi="宋体" w:cs="宋体"/>
                <w:szCs w:val="28"/>
                <w:highlight w:val="none"/>
              </w:rPr>
              <w:t>）；</w:t>
            </w:r>
          </w:p>
          <w:p>
            <w:pPr>
              <w:spacing w:line="560" w:lineRule="exact"/>
              <w:rPr>
                <w:rFonts w:ascii="宋体" w:hAnsi="宋体" w:cs="宋体"/>
                <w:szCs w:val="28"/>
                <w:highlight w:val="none"/>
              </w:rPr>
            </w:pPr>
            <w:r>
              <w:rPr>
                <w:rFonts w:hint="eastAsia" w:ascii="宋体" w:hAnsi="宋体" w:cs="宋体"/>
                <w:szCs w:val="28"/>
                <w:highlight w:val="none"/>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lang w:val="zh-CN"/>
              </w:rPr>
              <w:t>（2）</w:t>
            </w:r>
            <w:r>
              <w:rPr>
                <w:rFonts w:hint="eastAsia" w:ascii="宋体" w:hAnsi="宋体" w:cs="宋体"/>
                <w:szCs w:val="28"/>
                <w:highlight w:val="none"/>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①提供2022或2023年度财务状况报告（表）或其基本开户银行出具的资信证明复印件，本年度新成立或成立不满一年的组织和自然人无法提供财务状况报告（表）的，可提供银行出具的资信证明复印件。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r>
              <w:rPr>
                <w:rFonts w:hint="eastAsia" w:ascii="宋体" w:hAnsi="宋体" w:cs="宋体"/>
                <w:szCs w:val="28"/>
                <w:highlight w:val="none"/>
                <w:lang w:val="zh-CN"/>
              </w:rPr>
              <w:t>（3）具有履行合同所必需的设备和专业技术能力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r>
              <w:rPr>
                <w:rFonts w:hint="eastAsia" w:ascii="宋体" w:hAnsi="宋体" w:cs="宋体"/>
                <w:szCs w:val="28"/>
                <w:highlight w:val="none"/>
                <w:lang w:val="zh-CN"/>
              </w:rPr>
              <w:t>（4）有依法缴纳税收和社会保障金的良好记录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①税务登记证（副本）复印件（注</w:t>
            </w:r>
            <w:r>
              <w:rPr>
                <w:rFonts w:hint="eastAsia" w:ascii="宋体" w:hAnsi="宋体" w:cs="宋体"/>
                <w:kern w:val="0"/>
                <w:szCs w:val="28"/>
                <w:highlight w:val="none"/>
              </w:rPr>
              <w:t>2</w:t>
            </w:r>
            <w:r>
              <w:rPr>
                <w:rFonts w:hint="eastAsia" w:ascii="宋体" w:hAnsi="宋体" w:cs="宋体"/>
                <w:szCs w:val="28"/>
                <w:highlight w:val="none"/>
              </w:rPr>
              <w:t>）</w:t>
            </w:r>
          </w:p>
          <w:p>
            <w:pPr>
              <w:spacing w:line="560" w:lineRule="exact"/>
              <w:rPr>
                <w:rFonts w:ascii="宋体" w:hAnsi="宋体" w:cs="宋体"/>
                <w:szCs w:val="28"/>
                <w:highlight w:val="none"/>
              </w:rPr>
            </w:pPr>
            <w:r>
              <w:rPr>
                <w:rFonts w:hint="eastAsia" w:ascii="宋体" w:hAnsi="宋体" w:cs="宋体"/>
                <w:szCs w:val="28"/>
                <w:highlight w:val="none"/>
              </w:rPr>
              <w:t>②缴纳社会保障金的证明材料复印件（缴纳社会保障金的证明材料指：社会保险登记证（注2）或缴纳社会保险的凭据（专用收据或社会保险缴纳清单）。</w:t>
            </w:r>
          </w:p>
          <w:p>
            <w:pPr>
              <w:spacing w:line="560" w:lineRule="exact"/>
              <w:rPr>
                <w:rFonts w:ascii="宋体" w:hAnsi="宋体" w:cs="宋体"/>
                <w:szCs w:val="28"/>
                <w:highlight w:val="none"/>
              </w:rPr>
            </w:pPr>
            <w:r>
              <w:rPr>
                <w:rFonts w:hint="eastAsia" w:ascii="宋体" w:hAnsi="宋体" w:cs="宋体"/>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r>
              <w:rPr>
                <w:rFonts w:hint="eastAsia" w:ascii="宋体" w:hAnsi="宋体" w:cs="宋体"/>
                <w:szCs w:val="28"/>
                <w:highlight w:val="none"/>
              </w:rPr>
              <w:t>（5）参加政府采购活动前三年内，在经营活动中没有重大违法记录（注</w:t>
            </w:r>
            <w:r>
              <w:rPr>
                <w:rFonts w:hint="eastAsia" w:ascii="宋体" w:hAnsi="宋体" w:cs="宋体"/>
                <w:kern w:val="0"/>
                <w:szCs w:val="28"/>
                <w:highlight w:val="none"/>
              </w:rPr>
              <w:t>2</w:t>
            </w:r>
            <w:r>
              <w:rPr>
                <w:rFonts w:hint="eastAsia" w:ascii="宋体" w:hAnsi="宋体" w:cs="宋体"/>
                <w:szCs w:val="28"/>
                <w:highlight w:val="none"/>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①供应商提供书面声明（见格式文件）；</w:t>
            </w:r>
          </w:p>
          <w:p>
            <w:pPr>
              <w:spacing w:line="560" w:lineRule="exact"/>
              <w:rPr>
                <w:rFonts w:ascii="宋体" w:hAnsi="宋体" w:cs="宋体"/>
                <w:szCs w:val="28"/>
                <w:highlight w:val="none"/>
              </w:rPr>
            </w:pPr>
            <w:r>
              <w:rPr>
                <w:rFonts w:hint="eastAsia" w:ascii="宋体" w:hAnsi="宋体" w:cs="宋体"/>
                <w:szCs w:val="28"/>
                <w:highlight w:val="none"/>
              </w:rPr>
              <w:t>②采购人或采购代理机构将通过“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（6）法律、行政法规规定的其他条件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按照竞争性谈判文件要求足额缴纳保证金</w:t>
            </w:r>
          </w:p>
        </w:tc>
      </w:tr>
    </w:tbl>
    <w:p>
      <w:pPr>
        <w:snapToGrid w:val="0"/>
        <w:spacing w:line="560" w:lineRule="exact"/>
        <w:ind w:firstLine="560" w:firstLineChars="200"/>
        <w:rPr>
          <w:rFonts w:ascii="宋体" w:hAnsi="宋体" w:cs="宋体"/>
          <w:kern w:val="0"/>
          <w:szCs w:val="28"/>
          <w:highlight w:val="none"/>
        </w:rPr>
      </w:pPr>
      <w:r>
        <w:rPr>
          <w:rFonts w:hint="eastAsia" w:ascii="宋体" w:hAnsi="宋体" w:cs="宋体"/>
          <w:kern w:val="0"/>
          <w:szCs w:val="28"/>
          <w:highlight w:val="none"/>
        </w:rPr>
        <w:t>注1：供应商按“多证合一”登记制度办理营业执照的，组织机构代码证、税务登记证（副本）和社会保险登记证以供应商所提供的营业执照（副本）复印件为准。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宋体" w:hAnsi="宋体" w:cs="宋体"/>
          <w:kern w:val="0"/>
          <w:szCs w:val="28"/>
          <w:highlight w:val="none"/>
        </w:rPr>
      </w:pPr>
      <w:r>
        <w:rPr>
          <w:rFonts w:hint="eastAsia" w:ascii="宋体" w:hAnsi="宋体" w:cs="宋体"/>
          <w:kern w:val="0"/>
          <w:szCs w:val="28"/>
          <w:highlight w:val="none"/>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宋体" w:hAnsi="宋体" w:cs="宋体"/>
          <w:kern w:val="0"/>
          <w:szCs w:val="28"/>
          <w:highlight w:val="none"/>
        </w:rPr>
      </w:pPr>
      <w:r>
        <w:rPr>
          <w:rFonts w:hint="eastAsia" w:ascii="宋体" w:hAnsi="宋体" w:cs="宋体"/>
          <w:kern w:val="0"/>
          <w:szCs w:val="28"/>
          <w:highlight w:val="none"/>
        </w:rPr>
        <w:t>2.符合性检查。依据竞争性谈判文件的规定，谈判小组从响应文件的有效性、完整性和对竞争性谈判文件的响应程度进行审查，以确定是否对竞争性谈判文件的实质性要求作出响应。符合性检查资料表如下：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kern w:val="0"/>
                <w:szCs w:val="28"/>
                <w:highlight w:val="none"/>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szCs w:val="28"/>
                <w:highlight w:val="none"/>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rPr>
            </w:pPr>
            <w:r>
              <w:rPr>
                <w:rFonts w:hint="eastAsia" w:ascii="宋体" w:hAnsi="宋体" w:cs="宋体"/>
                <w:szCs w:val="28"/>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r>
              <w:rPr>
                <w:rFonts w:hint="eastAsia" w:ascii="宋体" w:hAnsi="宋体" w:cs="宋体"/>
                <w:szCs w:val="28"/>
                <w:highlight w:val="none"/>
              </w:rPr>
              <w:t>响应</w:t>
            </w:r>
            <w:r>
              <w:rPr>
                <w:rFonts w:hint="eastAsia" w:ascii="宋体" w:hAnsi="宋体" w:cs="宋体"/>
                <w:szCs w:val="28"/>
                <w:highlight w:val="none"/>
                <w:lang w:val="zh-CN"/>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szCs w:val="28"/>
                <w:highlight w:val="none"/>
                <w:lang w:val="zh-CN"/>
              </w:rPr>
              <w:t>只能有一个</w:t>
            </w:r>
            <w:r>
              <w:rPr>
                <w:rFonts w:hint="eastAsia" w:ascii="宋体" w:hAnsi="宋体" w:cs="宋体"/>
                <w:szCs w:val="28"/>
                <w:highlight w:val="none"/>
              </w:rPr>
              <w:t>响应</w:t>
            </w:r>
            <w:r>
              <w:rPr>
                <w:rFonts w:hint="eastAsia" w:ascii="宋体" w:hAnsi="宋体" w:cs="宋体"/>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r>
              <w:rPr>
                <w:rFonts w:hint="eastAsia" w:ascii="宋体" w:hAnsi="宋体" w:cs="宋体"/>
                <w:szCs w:val="28"/>
                <w:highlight w:val="none"/>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kern w:val="0"/>
                <w:szCs w:val="28"/>
                <w:highlight w:val="none"/>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szCs w:val="28"/>
                <w:highlight w:val="none"/>
              </w:rPr>
              <w:t>响应</w:t>
            </w:r>
            <w:r>
              <w:rPr>
                <w:rFonts w:hint="eastAsia" w:ascii="宋体" w:hAnsi="宋体" w:cs="宋体"/>
                <w:szCs w:val="28"/>
                <w:highlight w:val="none"/>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szCs w:val="28"/>
                <w:highlight w:val="none"/>
              </w:rPr>
              <w:t>响应</w:t>
            </w:r>
            <w:r>
              <w:rPr>
                <w:rFonts w:hint="eastAsia" w:ascii="宋体" w:hAnsi="宋体" w:cs="宋体"/>
                <w:szCs w:val="28"/>
                <w:highlight w:val="none"/>
                <w:lang w:val="zh-CN"/>
              </w:rPr>
              <w:t>文件正、副本数量（含电子文档）符合</w:t>
            </w:r>
            <w:r>
              <w:rPr>
                <w:rFonts w:hint="eastAsia" w:ascii="宋体" w:hAnsi="宋体" w:cs="宋体"/>
                <w:szCs w:val="28"/>
                <w:highlight w:val="none"/>
              </w:rPr>
              <w:t>竞争性谈判</w:t>
            </w:r>
            <w:r>
              <w:rPr>
                <w:rFonts w:hint="eastAsia" w:ascii="宋体" w:hAnsi="宋体" w:cs="宋体"/>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r>
              <w:rPr>
                <w:rFonts w:hint="eastAsia" w:ascii="宋体" w:hAnsi="宋体" w:cs="宋体"/>
                <w:kern w:val="0"/>
                <w:szCs w:val="28"/>
                <w:highlight w:val="none"/>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r>
              <w:rPr>
                <w:rFonts w:hint="eastAsia" w:ascii="宋体" w:hAnsi="宋体" w:cs="宋体"/>
                <w:kern w:val="0"/>
                <w:szCs w:val="28"/>
                <w:highlight w:val="none"/>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kern w:val="0"/>
                <w:szCs w:val="28"/>
                <w:highlight w:val="none"/>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rPr>
                <w:rFonts w:ascii="宋体" w:hAnsi="宋体" w:cs="宋体"/>
                <w:kern w:val="0"/>
                <w:szCs w:val="28"/>
                <w:highlight w:val="none"/>
              </w:rPr>
            </w:pPr>
            <w:r>
              <w:rPr>
                <w:rFonts w:hint="eastAsia" w:ascii="宋体" w:hAnsi="宋体" w:cs="宋体"/>
                <w:kern w:val="0"/>
                <w:szCs w:val="28"/>
                <w:highlight w:val="none"/>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szCs w:val="28"/>
                <w:highlight w:val="none"/>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kern w:val="0"/>
                <w:szCs w:val="28"/>
                <w:highlight w:val="none"/>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kern w:val="0"/>
                <w:szCs w:val="28"/>
                <w:highlight w:val="none"/>
              </w:rPr>
            </w:pPr>
            <w:r>
              <w:rPr>
                <w:rFonts w:hint="eastAsia" w:ascii="宋体" w:hAnsi="宋体" w:cs="宋体"/>
                <w:kern w:val="0"/>
                <w:szCs w:val="28"/>
                <w:highlight w:val="none"/>
              </w:rPr>
              <w:t>满足谈判文件</w:t>
            </w:r>
            <w:r>
              <w:rPr>
                <w:rFonts w:hint="eastAsia" w:ascii="宋体" w:hAnsi="宋体" w:cs="宋体"/>
                <w:szCs w:val="28"/>
                <w:highlight w:val="none"/>
                <w:lang w:val="zh-CN"/>
              </w:rPr>
              <w:t>规定。</w:t>
            </w:r>
          </w:p>
        </w:tc>
      </w:tr>
    </w:tbl>
    <w:p>
      <w:pPr>
        <w:spacing w:line="560" w:lineRule="exact"/>
        <w:ind w:firstLine="420" w:firstLineChars="150"/>
        <w:rPr>
          <w:rFonts w:ascii="宋体" w:hAnsi="宋体" w:cs="宋体"/>
          <w:szCs w:val="28"/>
          <w:highlight w:val="none"/>
        </w:rPr>
      </w:pPr>
      <w:r>
        <w:rPr>
          <w:rFonts w:hint="eastAsia" w:ascii="宋体" w:hAnsi="宋体" w:cs="宋体"/>
          <w:szCs w:val="28"/>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（五）在谈判过程中谈判的任何一方不得向他人透露与谈判有关的技术资料、价格或其他信息。</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（七）供应商在谈判时作出的所有书面承诺须由法定代表人或其授权代表签字。</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4"/>
        <w:spacing w:before="0" w:after="0" w:line="560" w:lineRule="exact"/>
        <w:ind w:firstLine="560" w:firstLineChars="200"/>
        <w:rPr>
          <w:rFonts w:ascii="宋体" w:hAnsi="宋体" w:cs="宋体"/>
          <w:b w:val="0"/>
          <w:sz w:val="28"/>
          <w:szCs w:val="28"/>
          <w:highlight w:val="none"/>
        </w:rPr>
      </w:pPr>
      <w:bookmarkStart w:id="38" w:name="_Toc12627"/>
      <w:bookmarkStart w:id="39" w:name="_Toc102227320"/>
      <w:bookmarkStart w:id="40" w:name="_Toc342913394"/>
      <w:r>
        <w:rPr>
          <w:rFonts w:hint="eastAsia" w:ascii="宋体" w:hAnsi="宋体" w:cs="宋体"/>
          <w:b w:val="0"/>
          <w:sz w:val="28"/>
          <w:szCs w:val="28"/>
          <w:highlight w:val="none"/>
        </w:rPr>
        <w:t>五、评审依据</w:t>
      </w:r>
      <w:bookmarkEnd w:id="38"/>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评审的依据为竞争性谈判文件和响应文件（含有效的补充文件）。谈判小组判断响应文件对竞争性谈判文件的响应，仅基于响应文件本身而不靠外部证据。</w:t>
      </w:r>
    </w:p>
    <w:p>
      <w:pPr>
        <w:pStyle w:val="4"/>
        <w:spacing w:before="0" w:after="0" w:line="560" w:lineRule="exact"/>
        <w:ind w:firstLine="560" w:firstLineChars="200"/>
        <w:rPr>
          <w:rFonts w:ascii="宋体" w:hAnsi="宋体" w:cs="宋体"/>
          <w:b w:val="0"/>
          <w:sz w:val="28"/>
          <w:szCs w:val="28"/>
          <w:highlight w:val="none"/>
        </w:rPr>
      </w:pPr>
      <w:bookmarkStart w:id="41" w:name="_Toc28106"/>
      <w:r>
        <w:rPr>
          <w:rFonts w:hint="eastAsia" w:ascii="宋体" w:hAnsi="宋体" w:cs="宋体"/>
          <w:b w:val="0"/>
          <w:sz w:val="28"/>
          <w:szCs w:val="28"/>
          <w:highlight w:val="none"/>
        </w:rPr>
        <w:t>六、成交</w:t>
      </w:r>
      <w:bookmarkEnd w:id="39"/>
      <w:r>
        <w:rPr>
          <w:rFonts w:hint="eastAsia" w:ascii="宋体" w:hAnsi="宋体" w:cs="宋体"/>
          <w:b w:val="0"/>
          <w:sz w:val="28"/>
          <w:szCs w:val="28"/>
          <w:highlight w:val="none"/>
        </w:rPr>
        <w:t>原则</w:t>
      </w:r>
      <w:bookmarkEnd w:id="40"/>
      <w:bookmarkEnd w:id="41"/>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（一）评审办法</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2.若供应商的最后报价经扣减后价格相同，按技术参数（条款）的优劣顺序排列；以上都相同的，按服务条款的优劣顺序排列。</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3.成交价格=成交供应商的最后报价</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（二）评审细则</w:t>
      </w:r>
    </w:p>
    <w:p>
      <w:pPr>
        <w:tabs>
          <w:tab w:val="left" w:pos="36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1.资格符合性检查</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依据法律法规和竞争性谈判文件的规定，对供应商的资格证明、保证金等进行审查，以确定供应商是否具备谈判资格。</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2.对响应文件的有效性、完整性和响应程度检查</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3.关于政策性扣减</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3.1政策性扣减范围</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供应商符合小型、微型企业或监狱企业条件、残疾人福利性单位的，其最后报价将按相应比例进行扣减。</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3.2  政策性扣减方式</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3.2.1供应商为非联合体参与谈判的，对小型企业给予6%的扣除，微型企业给予8%的扣除（注册资金十五万及以下的微型企业给予10%的扣除），以扣除后的报价参与评审。</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3.2.2供应商为联合体参与谈判的，在联合协议中小型企业、微型企业的协议合同金额占到联合体协议合同总金额30％以上的，与小型企业联合的可给予联合体2%的报价扣除，与微型企业联合的可给予联合体3%的报价扣除。</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3.2.3监狱企业、残疾人福利性单位属于微型企业的，应提供企业所在地的县级以上中小企业主管部门本年度出具的证明文件复印件和微型企业承诺书（详见第六篇五、其他“微型企业承诺书”）。未提供以上资料的监狱企业、残疾人福利性单位视同小型企业。</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4.成交供应商的确定：</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4.1“第三篇谈判项目技术需求”有一条及以上不能满足竞争性谈判文件要求的供应商将失去成为成交供应商的资格。</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4.2“第四篇谈判项目服务需求”有一条及以上不能满足竞争性谈判文件要求的供应商将失去成为成交供应商的资格。</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4.4谈判小组将依照评审办法提出成交候选人。</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4.6成交供应商的变更</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4.6.1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4.6.2成交供应商无充分理由放弃成交的，采购人将会同采购代理机构把相关情况报财政部门，财政部门将根据相关法律法规的规定对违规供应商进行处罚。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5.出现下列情形之一的，采购人或者采购代理机构应当终止竞争性谈判采购活动，发布项目终止公告并说明原因，重新开展采购活动：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5.1因情况变化，不再符合规定的竞争性谈判采购方式适用情形的；</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5.2出现影响采购公正的违法、违规行为的；</w:t>
      </w:r>
    </w:p>
    <w:p>
      <w:pPr>
        <w:snapToGrid w:val="0"/>
        <w:spacing w:line="560" w:lineRule="exact"/>
        <w:ind w:firstLine="420" w:firstLineChars="150"/>
        <w:rPr>
          <w:rFonts w:ascii="宋体" w:hAnsi="宋体" w:cs="宋体"/>
          <w:szCs w:val="28"/>
          <w:highlight w:val="none"/>
        </w:rPr>
      </w:pPr>
      <w:r>
        <w:rPr>
          <w:rFonts w:hint="eastAsia" w:ascii="宋体" w:hAnsi="宋体" w:cs="宋体"/>
          <w:szCs w:val="28"/>
          <w:highlight w:val="none"/>
        </w:rPr>
        <w:t>5.3在采购过程中符合竞争要求的供应商或者报价未超过采购预算的供应商不足3家的，但《政府采购非招标采购方式管理办法》第二十七条第二款规定的情形除外。</w:t>
      </w:r>
    </w:p>
    <w:p>
      <w:pPr>
        <w:pStyle w:val="4"/>
        <w:spacing w:before="0" w:after="0" w:line="560" w:lineRule="exact"/>
        <w:ind w:firstLine="560" w:firstLineChars="200"/>
        <w:rPr>
          <w:rFonts w:ascii="宋体" w:hAnsi="宋体" w:cs="宋体"/>
          <w:b w:val="0"/>
          <w:sz w:val="28"/>
          <w:szCs w:val="28"/>
          <w:highlight w:val="none"/>
        </w:rPr>
      </w:pPr>
      <w:bookmarkStart w:id="42" w:name="_Toc102227321"/>
      <w:bookmarkStart w:id="43" w:name="_Toc342913395"/>
      <w:bookmarkStart w:id="44" w:name="_Toc20570"/>
      <w:r>
        <w:rPr>
          <w:rFonts w:hint="eastAsia" w:ascii="宋体" w:hAnsi="宋体" w:cs="宋体"/>
          <w:b w:val="0"/>
          <w:sz w:val="28"/>
          <w:szCs w:val="28"/>
          <w:highlight w:val="none"/>
        </w:rPr>
        <w:t>七、成交通知</w:t>
      </w:r>
      <w:bookmarkEnd w:id="42"/>
      <w:bookmarkEnd w:id="43"/>
      <w:bookmarkEnd w:id="44"/>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（一）成交供应商确定后，采购人将在重庆医科大学校园网上（主页-服务大厅-招投标信息）上发布成交结果公告。</w:t>
      </w:r>
    </w:p>
    <w:p>
      <w:pPr>
        <w:spacing w:line="400" w:lineRule="exact"/>
        <w:ind w:firstLine="560" w:firstLineChars="200"/>
        <w:rPr>
          <w:rFonts w:ascii="宋体" w:hAnsi="宋体" w:cs="宋体"/>
          <w:szCs w:val="28"/>
          <w:highlight w:val="none"/>
        </w:rPr>
      </w:pPr>
      <w:r>
        <w:rPr>
          <w:rFonts w:hint="eastAsia" w:ascii="宋体" w:hAnsi="宋体" w:cs="宋体"/>
          <w:szCs w:val="28"/>
          <w:highlight w:val="none"/>
        </w:rPr>
        <w:t>（二）网上成交结果公告将作为签订合同的依据。</w:t>
      </w:r>
    </w:p>
    <w:p>
      <w:pPr>
        <w:pStyle w:val="4"/>
        <w:spacing w:before="0" w:after="0" w:line="560" w:lineRule="exact"/>
        <w:ind w:firstLine="560" w:firstLineChars="200"/>
        <w:rPr>
          <w:rFonts w:ascii="宋体" w:hAnsi="宋体" w:cs="宋体"/>
          <w:b w:val="0"/>
          <w:sz w:val="28"/>
          <w:szCs w:val="28"/>
          <w:highlight w:val="none"/>
        </w:rPr>
      </w:pPr>
      <w:bookmarkStart w:id="45" w:name="_Toc19196"/>
      <w:r>
        <w:rPr>
          <w:rFonts w:hint="eastAsia" w:ascii="宋体" w:hAnsi="宋体" w:cs="宋体"/>
          <w:b w:val="0"/>
          <w:sz w:val="28"/>
          <w:szCs w:val="28"/>
          <w:highlight w:val="none"/>
        </w:rPr>
        <w:t>八、关于质疑和投诉</w:t>
      </w:r>
      <w:bookmarkEnd w:id="45"/>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（一）质疑</w:t>
      </w:r>
    </w:p>
    <w:p>
      <w:pPr>
        <w:spacing w:line="560" w:lineRule="exact"/>
        <w:ind w:firstLine="480"/>
        <w:rPr>
          <w:rFonts w:ascii="宋体" w:hAnsi="宋体" w:cs="宋体"/>
          <w:szCs w:val="28"/>
          <w:highlight w:val="none"/>
        </w:rPr>
      </w:pPr>
      <w:r>
        <w:rPr>
          <w:rFonts w:hint="eastAsia" w:ascii="宋体" w:hAnsi="宋体" w:cs="宋体"/>
          <w:szCs w:val="28"/>
          <w:highlight w:val="none"/>
        </w:rPr>
        <w:t>供应商认为采购文件、采购过程和成交结果使自己的权益收到伤害的，可向采购人或采购代理机构以书面形式提出质疑。</w:t>
      </w:r>
    </w:p>
    <w:p>
      <w:pPr>
        <w:spacing w:line="560" w:lineRule="exact"/>
        <w:ind w:firstLine="480"/>
        <w:rPr>
          <w:rFonts w:ascii="宋体" w:hAnsi="宋体" w:cs="宋体"/>
          <w:szCs w:val="28"/>
          <w:highlight w:val="none"/>
        </w:rPr>
      </w:pPr>
      <w:r>
        <w:rPr>
          <w:rFonts w:hint="eastAsia" w:ascii="宋体" w:hAnsi="宋体" w:cs="宋体"/>
          <w:szCs w:val="28"/>
          <w:highlight w:val="none"/>
        </w:rPr>
        <w:t>提出质疑的应当是参与所质疑项目采购活动的供应商。</w:t>
      </w:r>
    </w:p>
    <w:p>
      <w:pPr>
        <w:spacing w:line="560" w:lineRule="exact"/>
        <w:ind w:firstLine="480"/>
        <w:rPr>
          <w:rFonts w:ascii="宋体" w:hAnsi="宋体" w:cs="宋体"/>
          <w:szCs w:val="28"/>
          <w:highlight w:val="none"/>
        </w:rPr>
      </w:pPr>
      <w:r>
        <w:rPr>
          <w:rFonts w:hint="eastAsia" w:ascii="宋体" w:hAnsi="宋体" w:cs="宋体"/>
          <w:szCs w:val="28"/>
          <w:highlight w:val="none"/>
        </w:rPr>
        <w:t>1.质疑时限、内容</w:t>
      </w:r>
    </w:p>
    <w:p>
      <w:pPr>
        <w:spacing w:line="560" w:lineRule="exact"/>
        <w:ind w:firstLine="480"/>
        <w:rPr>
          <w:rFonts w:ascii="宋体" w:hAnsi="宋体" w:cs="宋体"/>
          <w:szCs w:val="28"/>
          <w:highlight w:val="none"/>
        </w:rPr>
      </w:pPr>
      <w:r>
        <w:rPr>
          <w:rFonts w:hint="eastAsia" w:ascii="宋体" w:hAnsi="宋体" w:cs="宋体"/>
          <w:szCs w:val="28"/>
          <w:highlight w:val="none"/>
        </w:rPr>
        <w:t>1.1供应商认为采购文件、采购过程、成交结果使自己的权益受到损害的，可以在知道或者应知其权益受到损害之日起1个工作日内，以书面形式向采购人、采购代理机构提出质疑。</w:t>
      </w:r>
    </w:p>
    <w:p>
      <w:pPr>
        <w:spacing w:line="560" w:lineRule="exact"/>
        <w:ind w:firstLine="480"/>
        <w:rPr>
          <w:rFonts w:ascii="宋体" w:hAnsi="宋体" w:cs="宋体"/>
          <w:szCs w:val="28"/>
          <w:highlight w:val="none"/>
        </w:rPr>
      </w:pPr>
      <w:r>
        <w:rPr>
          <w:rFonts w:hint="eastAsia" w:ascii="宋体" w:hAnsi="宋体" w:cs="宋体"/>
          <w:szCs w:val="28"/>
          <w:highlight w:val="none"/>
        </w:rPr>
        <w:t>1.2供应商提出质疑应当提交质疑函和必要的证明材料，质疑函应当包括下列内容：</w:t>
      </w:r>
    </w:p>
    <w:p>
      <w:pPr>
        <w:spacing w:line="560" w:lineRule="exact"/>
        <w:ind w:firstLine="480"/>
        <w:rPr>
          <w:rFonts w:ascii="宋体" w:hAnsi="宋体" w:cs="宋体"/>
          <w:szCs w:val="28"/>
          <w:highlight w:val="none"/>
        </w:rPr>
      </w:pPr>
      <w:r>
        <w:rPr>
          <w:rFonts w:hint="eastAsia" w:ascii="宋体" w:hAnsi="宋体" w:cs="宋体"/>
          <w:szCs w:val="28"/>
          <w:highlight w:val="none"/>
        </w:rPr>
        <w:t>1.2.1供应商的姓名或者名称、地址、邮编、联系人及联系电话；</w:t>
      </w:r>
    </w:p>
    <w:p>
      <w:pPr>
        <w:spacing w:line="560" w:lineRule="exact"/>
        <w:ind w:firstLine="480"/>
        <w:rPr>
          <w:rFonts w:ascii="宋体" w:hAnsi="宋体" w:cs="宋体"/>
          <w:szCs w:val="28"/>
          <w:highlight w:val="none"/>
        </w:rPr>
      </w:pPr>
      <w:r>
        <w:rPr>
          <w:rFonts w:hint="eastAsia" w:ascii="宋体" w:hAnsi="宋体" w:cs="宋体"/>
          <w:szCs w:val="28"/>
          <w:highlight w:val="none"/>
        </w:rPr>
        <w:t>1.2.2质疑项目的名称、项目号以及谈判项目编号；</w:t>
      </w:r>
    </w:p>
    <w:p>
      <w:pPr>
        <w:spacing w:line="560" w:lineRule="exact"/>
        <w:ind w:firstLine="480"/>
        <w:rPr>
          <w:rFonts w:ascii="宋体" w:hAnsi="宋体" w:cs="宋体"/>
          <w:szCs w:val="28"/>
          <w:highlight w:val="none"/>
        </w:rPr>
      </w:pPr>
      <w:r>
        <w:rPr>
          <w:rFonts w:hint="eastAsia" w:ascii="宋体" w:hAnsi="宋体" w:cs="宋体"/>
          <w:szCs w:val="28"/>
          <w:highlight w:val="none"/>
        </w:rPr>
        <w:t>1.2.3具体、明确的质疑事项和与质疑事项相关的请求；</w:t>
      </w:r>
    </w:p>
    <w:p>
      <w:pPr>
        <w:spacing w:line="560" w:lineRule="exact"/>
        <w:ind w:firstLine="480"/>
        <w:rPr>
          <w:rFonts w:ascii="宋体" w:hAnsi="宋体" w:cs="宋体"/>
          <w:szCs w:val="28"/>
          <w:highlight w:val="none"/>
        </w:rPr>
      </w:pPr>
      <w:r>
        <w:rPr>
          <w:rFonts w:hint="eastAsia" w:ascii="宋体" w:hAnsi="宋体" w:cs="宋体"/>
          <w:szCs w:val="28"/>
          <w:highlight w:val="none"/>
        </w:rPr>
        <w:t>1.2.4事实依据；</w:t>
      </w:r>
    </w:p>
    <w:p>
      <w:pPr>
        <w:spacing w:line="560" w:lineRule="exact"/>
        <w:ind w:firstLine="480"/>
        <w:rPr>
          <w:rFonts w:ascii="宋体" w:hAnsi="宋体" w:cs="宋体"/>
          <w:szCs w:val="28"/>
          <w:highlight w:val="none"/>
        </w:rPr>
      </w:pPr>
      <w:r>
        <w:rPr>
          <w:rFonts w:hint="eastAsia" w:ascii="宋体" w:hAnsi="宋体" w:cs="宋体"/>
          <w:szCs w:val="28"/>
          <w:highlight w:val="none"/>
        </w:rPr>
        <w:t>1.2.5必要的法律依据；</w:t>
      </w:r>
    </w:p>
    <w:p>
      <w:pPr>
        <w:spacing w:line="560" w:lineRule="exact"/>
        <w:ind w:firstLine="480"/>
        <w:rPr>
          <w:rFonts w:ascii="宋体" w:hAnsi="宋体" w:cs="宋体"/>
          <w:szCs w:val="28"/>
          <w:highlight w:val="none"/>
        </w:rPr>
      </w:pPr>
      <w:r>
        <w:rPr>
          <w:rFonts w:hint="eastAsia" w:ascii="宋体" w:hAnsi="宋体" w:cs="宋体"/>
          <w:szCs w:val="28"/>
          <w:highlight w:val="none"/>
        </w:rPr>
        <w:t>1.2.6提出质疑的日期；</w:t>
      </w:r>
    </w:p>
    <w:p>
      <w:pPr>
        <w:spacing w:line="560" w:lineRule="exact"/>
        <w:ind w:firstLine="480"/>
        <w:rPr>
          <w:rFonts w:ascii="宋体" w:hAnsi="宋体" w:cs="宋体"/>
          <w:szCs w:val="28"/>
          <w:highlight w:val="none"/>
        </w:rPr>
      </w:pPr>
      <w:r>
        <w:rPr>
          <w:rFonts w:hint="eastAsia" w:ascii="宋体" w:hAnsi="宋体" w:cs="宋体"/>
          <w:szCs w:val="28"/>
          <w:highlight w:val="none"/>
        </w:rPr>
        <w:t>1.2.7营业执照（或事业单位法人证书，或个体工商户营业执照或有效的自然人身份证明、组织机构代码证）复印件；</w:t>
      </w:r>
    </w:p>
    <w:p>
      <w:pPr>
        <w:spacing w:line="560" w:lineRule="exact"/>
        <w:ind w:firstLine="480"/>
        <w:rPr>
          <w:rFonts w:ascii="宋体" w:hAnsi="宋体" w:cs="宋体"/>
          <w:szCs w:val="28"/>
          <w:highlight w:val="none"/>
        </w:rPr>
      </w:pPr>
      <w:r>
        <w:rPr>
          <w:rFonts w:hint="eastAsia" w:ascii="宋体" w:hAnsi="宋体" w:cs="宋体"/>
          <w:szCs w:val="28"/>
          <w:highlight w:val="none"/>
        </w:rPr>
        <w:t>1.2.8法定代表人授权委托书原件、法定代表人身份证复印件和其授权代表的身份证复印件（供应商为自然人的提供自然人身份证复印件）；</w:t>
      </w:r>
    </w:p>
    <w:p>
      <w:pPr>
        <w:spacing w:line="560" w:lineRule="exact"/>
        <w:ind w:firstLine="480"/>
        <w:rPr>
          <w:rFonts w:ascii="宋体" w:hAnsi="宋体" w:cs="宋体"/>
          <w:szCs w:val="28"/>
          <w:highlight w:val="none"/>
        </w:rPr>
      </w:pPr>
      <w:r>
        <w:rPr>
          <w:rFonts w:hint="eastAsia" w:ascii="宋体" w:hAnsi="宋体" w:cs="宋体"/>
          <w:szCs w:val="28"/>
          <w:highlight w:val="none"/>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宋体" w:hAnsi="宋体" w:cs="宋体"/>
          <w:szCs w:val="28"/>
          <w:highlight w:val="none"/>
        </w:rPr>
      </w:pPr>
      <w:r>
        <w:rPr>
          <w:rFonts w:hint="eastAsia" w:ascii="宋体" w:hAnsi="宋体" w:cs="宋体"/>
          <w:szCs w:val="28"/>
          <w:highlight w:val="none"/>
        </w:rPr>
        <w:t>2.质疑答复</w:t>
      </w:r>
    </w:p>
    <w:p>
      <w:pPr>
        <w:spacing w:line="560" w:lineRule="exact"/>
        <w:ind w:firstLine="480"/>
        <w:rPr>
          <w:rFonts w:ascii="宋体" w:hAnsi="宋体" w:cs="宋体"/>
          <w:szCs w:val="28"/>
          <w:highlight w:val="none"/>
        </w:rPr>
      </w:pPr>
      <w:r>
        <w:rPr>
          <w:rFonts w:hint="eastAsia" w:ascii="宋体" w:hAnsi="宋体" w:cs="宋体"/>
          <w:szCs w:val="28"/>
          <w:highlight w:val="none"/>
        </w:rPr>
        <w:t>采购人、采购代理机构应当在收到供应商的书面质疑后3个工作日内作出答复，并以书面形式通知质疑供应商和其他有关供应商。</w:t>
      </w:r>
    </w:p>
    <w:p>
      <w:pPr>
        <w:spacing w:line="560" w:lineRule="exact"/>
        <w:ind w:firstLine="480"/>
        <w:rPr>
          <w:rFonts w:ascii="宋体" w:hAnsi="宋体" w:cs="宋体"/>
          <w:szCs w:val="28"/>
          <w:highlight w:val="none"/>
        </w:rPr>
      </w:pPr>
      <w:r>
        <w:rPr>
          <w:rFonts w:hint="eastAsia" w:ascii="宋体" w:hAnsi="宋体" w:cs="宋体"/>
          <w:szCs w:val="28"/>
          <w:highlight w:val="none"/>
        </w:rPr>
        <w:t>3.其他</w:t>
      </w:r>
    </w:p>
    <w:p>
      <w:pPr>
        <w:spacing w:line="560" w:lineRule="exact"/>
        <w:ind w:firstLine="480"/>
        <w:rPr>
          <w:rFonts w:ascii="宋体" w:hAnsi="宋体" w:cs="宋体"/>
          <w:szCs w:val="28"/>
          <w:highlight w:val="none"/>
        </w:rPr>
      </w:pPr>
      <w:r>
        <w:rPr>
          <w:rFonts w:hint="eastAsia" w:ascii="宋体" w:hAnsi="宋体" w:cs="宋体"/>
          <w:szCs w:val="28"/>
          <w:highlight w:val="none"/>
        </w:rPr>
        <w:t>3.1供应商应按照《政府采购质疑和投诉办法》（财政部令第94号）及相关法律法规要求，在法定质疑期内一次性提出针对同一采购程序环节的质疑。</w:t>
      </w:r>
    </w:p>
    <w:p>
      <w:pPr>
        <w:spacing w:line="560" w:lineRule="exact"/>
        <w:ind w:firstLine="480"/>
        <w:rPr>
          <w:rFonts w:ascii="宋体" w:hAnsi="宋体" w:cs="宋体"/>
          <w:szCs w:val="28"/>
          <w:highlight w:val="none"/>
        </w:rPr>
      </w:pPr>
      <w:r>
        <w:rPr>
          <w:rFonts w:hint="eastAsia" w:ascii="宋体" w:hAnsi="宋体" w:cs="宋体"/>
          <w:szCs w:val="28"/>
          <w:highlight w:val="none"/>
        </w:rPr>
        <w:t>3.2质疑函范本可在财政部门户网站和中国政府采购网下载。</w:t>
      </w:r>
    </w:p>
    <w:p>
      <w:pPr>
        <w:spacing w:line="560" w:lineRule="exact"/>
        <w:ind w:firstLine="480"/>
        <w:rPr>
          <w:rFonts w:ascii="宋体" w:hAnsi="宋体" w:cs="宋体"/>
          <w:szCs w:val="28"/>
          <w:highlight w:val="none"/>
        </w:rPr>
      </w:pPr>
      <w:r>
        <w:rPr>
          <w:rFonts w:hint="eastAsia" w:ascii="宋体" w:hAnsi="宋体" w:cs="宋体"/>
          <w:szCs w:val="28"/>
          <w:highlight w:val="none"/>
        </w:rPr>
        <w:t>（二）投诉</w:t>
      </w:r>
    </w:p>
    <w:p>
      <w:pPr>
        <w:spacing w:line="560" w:lineRule="exact"/>
        <w:ind w:firstLine="480"/>
        <w:rPr>
          <w:rFonts w:ascii="宋体" w:hAnsi="宋体" w:cs="宋体"/>
          <w:szCs w:val="28"/>
          <w:highlight w:val="none"/>
        </w:rPr>
      </w:pPr>
      <w:r>
        <w:rPr>
          <w:rFonts w:hint="eastAsia" w:ascii="宋体" w:hAnsi="宋体" w:cs="宋体"/>
          <w:szCs w:val="28"/>
          <w:highlight w:val="none"/>
        </w:rPr>
        <w:t>1.供应商对采购人、采购代理机构的答复不满意，或者采购人、采购代理机构未在规定时间内作出答复的，可以在答复期满后15个工作日内按照相关法律法规向财政部门提起投诉。</w:t>
      </w:r>
    </w:p>
    <w:p>
      <w:pPr>
        <w:spacing w:line="560" w:lineRule="exact"/>
        <w:ind w:firstLine="480"/>
        <w:rPr>
          <w:rFonts w:ascii="宋体" w:hAnsi="宋体" w:cs="宋体"/>
          <w:szCs w:val="28"/>
          <w:highlight w:val="none"/>
        </w:rPr>
      </w:pPr>
      <w:r>
        <w:rPr>
          <w:rFonts w:hint="eastAsia" w:ascii="宋体" w:hAnsi="宋体" w:cs="宋体"/>
          <w:szCs w:val="28"/>
          <w:highlight w:val="none"/>
        </w:rPr>
        <w:t>2.供应商应按照《政府采购质疑和投诉办法》（财政部令第94号）及相关法律法规要求递交投诉书和必要的证明材料。投诉书范本可在财政部门户网站和中国政府采购网下载。</w:t>
      </w:r>
    </w:p>
    <w:p>
      <w:pPr>
        <w:spacing w:line="560" w:lineRule="exact"/>
        <w:ind w:firstLine="480"/>
        <w:rPr>
          <w:rFonts w:ascii="宋体" w:hAnsi="宋体" w:cs="宋体"/>
          <w:szCs w:val="28"/>
          <w:highlight w:val="none"/>
        </w:rPr>
      </w:pPr>
      <w:r>
        <w:rPr>
          <w:rFonts w:hint="eastAsia" w:ascii="宋体" w:hAnsi="宋体" w:cs="宋体"/>
          <w:szCs w:val="28"/>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4"/>
        <w:spacing w:before="0" w:after="0" w:line="560" w:lineRule="exact"/>
        <w:ind w:firstLine="560" w:firstLineChars="200"/>
        <w:rPr>
          <w:rFonts w:ascii="宋体" w:hAnsi="宋体" w:cs="宋体"/>
          <w:b w:val="0"/>
          <w:sz w:val="28"/>
          <w:szCs w:val="28"/>
          <w:highlight w:val="none"/>
        </w:rPr>
      </w:pPr>
      <w:bookmarkStart w:id="46" w:name="_Toc30097"/>
      <w:bookmarkStart w:id="47" w:name="_Toc102227322"/>
      <w:bookmarkStart w:id="48" w:name="_Toc342913396"/>
      <w:r>
        <w:rPr>
          <w:rFonts w:hint="eastAsia" w:ascii="宋体" w:hAnsi="宋体" w:cs="宋体"/>
          <w:b w:val="0"/>
          <w:sz w:val="28"/>
          <w:szCs w:val="28"/>
          <w:highlight w:val="none"/>
        </w:rPr>
        <w:t>九、签订合同</w:t>
      </w:r>
      <w:bookmarkEnd w:id="46"/>
    </w:p>
    <w:bookmarkEnd w:id="47"/>
    <w:bookmarkEnd w:id="48"/>
    <w:p>
      <w:pPr>
        <w:spacing w:line="560" w:lineRule="exact"/>
        <w:ind w:firstLine="420" w:firstLineChars="150"/>
        <w:rPr>
          <w:rFonts w:ascii="宋体" w:hAnsi="宋体" w:cs="宋体"/>
          <w:szCs w:val="28"/>
          <w:highlight w:val="none"/>
        </w:rPr>
      </w:pPr>
      <w:r>
        <w:rPr>
          <w:rFonts w:hint="eastAsia" w:ascii="宋体" w:hAnsi="宋体" w:cs="宋体"/>
          <w:szCs w:val="28"/>
          <w:highlight w:val="none"/>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（二）竞争性谈判文件、供应商的响应文件及澄清文件等，均为签订采购合同的依据。</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（三）合同生效条款由供需双方约定，法律、行政法规规定应当办理批准、登记等手续后生效的合同，依照其规定。</w:t>
      </w: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（四）合同原则上应按照《重庆医科大学经济合同》签订，相关单位要求适用合同通用格式版本的，应按其要求另行签订其他合同。</w:t>
      </w:r>
    </w:p>
    <w:p>
      <w:pPr>
        <w:spacing w:line="560" w:lineRule="exact"/>
        <w:ind w:firstLine="425" w:firstLineChars="152"/>
        <w:rPr>
          <w:rFonts w:ascii="宋体" w:hAnsi="宋体" w:cs="宋体"/>
          <w:szCs w:val="28"/>
          <w:highlight w:val="none"/>
        </w:rPr>
      </w:pPr>
      <w:r>
        <w:rPr>
          <w:rFonts w:hint="eastAsia" w:ascii="宋体" w:hAnsi="宋体" w:cs="宋体"/>
          <w:szCs w:val="28"/>
          <w:highlight w:val="none"/>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宋体" w:hAnsi="宋体" w:cs="宋体"/>
          <w:szCs w:val="28"/>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宋体" w:hAnsi="宋体" w:eastAsia="宋体" w:cs="宋体"/>
          <w:b w:val="0"/>
          <w:sz w:val="44"/>
          <w:szCs w:val="44"/>
          <w:highlight w:val="none"/>
        </w:rPr>
      </w:pPr>
      <w:bookmarkStart w:id="49" w:name="_Toc535312149"/>
      <w:bookmarkStart w:id="50" w:name="_Toc25106"/>
      <w:bookmarkStart w:id="51" w:name="_Toc12789058"/>
      <w:r>
        <w:rPr>
          <w:rFonts w:hint="eastAsia" w:ascii="宋体" w:hAnsi="宋体" w:eastAsia="宋体" w:cs="宋体"/>
          <w:b w:val="0"/>
          <w:sz w:val="44"/>
          <w:szCs w:val="44"/>
          <w:highlight w:val="none"/>
        </w:rPr>
        <w:t>第三篇谈判项目技术需求</w:t>
      </w:r>
      <w:bookmarkEnd w:id="49"/>
      <w:bookmarkEnd w:id="50"/>
    </w:p>
    <w:p>
      <w:pPr>
        <w:pStyle w:val="4"/>
        <w:numPr>
          <w:ilvl w:val="0"/>
          <w:numId w:val="1"/>
        </w:numPr>
        <w:spacing w:before="0" w:after="0" w:line="560" w:lineRule="exact"/>
        <w:rPr>
          <w:rFonts w:ascii="宋体" w:hAnsi="宋体" w:cs="宋体"/>
          <w:sz w:val="28"/>
          <w:szCs w:val="28"/>
          <w:highlight w:val="none"/>
        </w:rPr>
      </w:pPr>
      <w:bookmarkStart w:id="52" w:name="_Toc535312150"/>
      <w:bookmarkStart w:id="53" w:name="_Toc25796"/>
      <w:r>
        <w:rPr>
          <w:rFonts w:hint="eastAsia" w:ascii="宋体" w:hAnsi="宋体" w:cs="宋体"/>
          <w:sz w:val="28"/>
          <w:szCs w:val="28"/>
          <w:highlight w:val="none"/>
        </w:rPr>
        <w:t>项目一览表</w:t>
      </w:r>
      <w:bookmarkEnd w:id="52"/>
      <w:bookmarkEnd w:id="53"/>
    </w:p>
    <w:p>
      <w:pPr>
        <w:jc w:val="center"/>
        <w:rPr>
          <w:rFonts w:ascii="宋体" w:hAnsi="宋体" w:cs="宋体"/>
          <w:b/>
          <w:highlight w:val="none"/>
        </w:rPr>
      </w:pPr>
    </w:p>
    <w:tbl>
      <w:tblPr>
        <w:tblStyle w:val="57"/>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highlight w:val="none"/>
              </w:rPr>
            </w:pPr>
            <w:bookmarkStart w:id="54" w:name="_Toc535312151"/>
            <w:bookmarkStart w:id="55" w:name="_Toc313536013"/>
            <w:bookmarkStart w:id="56" w:name="_Toc344475116"/>
            <w:r>
              <w:rPr>
                <w:rFonts w:hint="eastAsia" w:ascii="宋体" w:hAnsi="宋体" w:cs="宋体"/>
                <w:b/>
                <w:bCs/>
                <w:sz w:val="21"/>
                <w:szCs w:val="21"/>
                <w:highlight w:val="none"/>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1"/>
                <w:szCs w:val="21"/>
                <w:highlight w:val="none"/>
              </w:rPr>
            </w:pPr>
            <w:r>
              <w:rPr>
                <w:rFonts w:hint="eastAsia" w:ascii="宋体" w:hAnsi="宋体" w:cs="宋体"/>
                <w:b/>
                <w:bCs/>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4837" w:type="dxa"/>
            <w:tcBorders>
              <w:top w:val="single" w:color="auto" w:sz="4" w:space="0"/>
              <w:left w:val="single" w:color="auto" w:sz="4" w:space="0"/>
              <w:bottom w:val="single" w:color="auto" w:sz="4" w:space="0"/>
              <w:right w:val="single" w:color="auto" w:sz="4" w:space="0"/>
            </w:tcBorders>
            <w:vAlign w:val="center"/>
          </w:tcPr>
          <w:p>
            <w:pPr>
              <w:spacing w:line="760" w:lineRule="exact"/>
              <w:ind w:left="1960" w:hanging="1680" w:hangingChars="700"/>
              <w:jc w:val="center"/>
              <w:rPr>
                <w:rFonts w:ascii="宋体" w:hAnsi="宋体" w:cs="宋体"/>
                <w:color w:val="auto"/>
                <w:sz w:val="24"/>
                <w:szCs w:val="24"/>
                <w:highlight w:val="none"/>
              </w:rPr>
            </w:pPr>
            <w:r>
              <w:rPr>
                <w:rFonts w:hint="eastAsia" w:ascii="宋体" w:hAnsi="宋体" w:cs="宋体"/>
                <w:color w:val="auto"/>
                <w:kern w:val="0"/>
                <w:sz w:val="24"/>
                <w:szCs w:val="24"/>
                <w:highlight w:val="none"/>
              </w:rPr>
              <w:t>重庆医科大学基础医学院采购高性能服务器</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highlight w:val="none"/>
              </w:rPr>
            </w:pPr>
            <w:r>
              <w:rPr>
                <w:rFonts w:hint="eastAsia" w:ascii="宋体" w:hAnsi="宋体" w:cs="宋体"/>
                <w:sz w:val="21"/>
                <w:szCs w:val="21"/>
                <w:highlight w:val="none"/>
              </w:rPr>
              <w:t>1/套</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4837" w:type="dxa"/>
            <w:tcBorders>
              <w:top w:val="single" w:color="auto" w:sz="4" w:space="0"/>
              <w:left w:val="single" w:color="auto" w:sz="4" w:space="0"/>
              <w:bottom w:val="single" w:color="auto" w:sz="4" w:space="0"/>
              <w:right w:val="single" w:color="auto" w:sz="4" w:space="0"/>
            </w:tcBorders>
            <w:vAlign w:val="center"/>
          </w:tcPr>
          <w:p>
            <w:pPr>
              <w:spacing w:line="760" w:lineRule="exact"/>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一次</w:t>
            </w:r>
            <w:r>
              <w:rPr>
                <w:rFonts w:hint="eastAsia" w:ascii="宋体" w:hAnsi="宋体" w:cs="宋体"/>
                <w:color w:val="auto"/>
                <w:kern w:val="0"/>
                <w:sz w:val="24"/>
                <w:szCs w:val="24"/>
                <w:highlight w:val="none"/>
                <w:lang w:val="en-US" w:eastAsia="zh-CN"/>
              </w:rPr>
              <w:t>性使</w:t>
            </w:r>
            <w:r>
              <w:rPr>
                <w:rFonts w:hint="eastAsia" w:ascii="宋体" w:hAnsi="宋体" w:cs="宋体"/>
                <w:color w:val="auto"/>
                <w:kern w:val="0"/>
                <w:sz w:val="24"/>
                <w:szCs w:val="24"/>
                <w:highlight w:val="none"/>
              </w:rPr>
              <w:t>用脑电传感器</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1"/>
                <w:szCs w:val="21"/>
                <w:highlight w:val="none"/>
              </w:rPr>
            </w:pPr>
            <w:r>
              <w:rPr>
                <w:rFonts w:hint="eastAsia" w:ascii="宋体" w:hAnsi="宋体" w:cs="宋体"/>
                <w:sz w:val="21"/>
                <w:szCs w:val="21"/>
                <w:highlight w:val="none"/>
              </w:rPr>
              <w:t>10/套</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szCs w:val="21"/>
                <w:highlight w:val="none"/>
              </w:rPr>
            </w:pPr>
          </w:p>
        </w:tc>
      </w:tr>
    </w:tbl>
    <w:p>
      <w:pPr>
        <w:pStyle w:val="4"/>
        <w:spacing w:before="0" w:afterLines="50" w:line="560" w:lineRule="exact"/>
        <w:rPr>
          <w:rFonts w:ascii="宋体" w:hAnsi="宋体" w:cs="宋体"/>
          <w:sz w:val="28"/>
          <w:szCs w:val="28"/>
          <w:highlight w:val="none"/>
        </w:rPr>
      </w:pPr>
    </w:p>
    <w:p>
      <w:pPr>
        <w:pStyle w:val="4"/>
        <w:spacing w:before="0" w:afterLines="50" w:line="560" w:lineRule="exact"/>
        <w:rPr>
          <w:rFonts w:ascii="宋体" w:hAnsi="宋体" w:cs="宋体"/>
          <w:szCs w:val="28"/>
          <w:highlight w:val="none"/>
        </w:rPr>
      </w:pPr>
      <w:bookmarkStart w:id="57" w:name="_Toc7486"/>
      <w:r>
        <w:rPr>
          <w:rFonts w:hint="eastAsia" w:ascii="宋体" w:hAnsi="宋体" w:cs="宋体"/>
          <w:sz w:val="28"/>
          <w:szCs w:val="28"/>
          <w:highlight w:val="none"/>
        </w:rPr>
        <w:t>二、技术规格及质量要求</w:t>
      </w:r>
      <w:bookmarkEnd w:id="54"/>
      <w:bookmarkEnd w:id="55"/>
      <w:bookmarkEnd w:id="56"/>
      <w:bookmarkEnd w:id="57"/>
    </w:p>
    <w:tbl>
      <w:tblPr>
        <w:tblStyle w:val="57"/>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310"/>
        <w:gridCol w:w="7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68" w:type="dxa"/>
            <w:tcBorders>
              <w:bottom w:val="single" w:color="auto" w:sz="4" w:space="0"/>
              <w:right w:val="single" w:color="auto" w:sz="4" w:space="0"/>
            </w:tcBorders>
            <w:shd w:val="clear" w:color="000000" w:fill="D9D9D9"/>
            <w:noWrap/>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rPr>
              <w:t>序号</w:t>
            </w:r>
          </w:p>
        </w:tc>
        <w:tc>
          <w:tcPr>
            <w:tcW w:w="1310" w:type="dxa"/>
            <w:tcBorders>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rPr>
              <w:t>名称</w:t>
            </w:r>
          </w:p>
        </w:tc>
        <w:tc>
          <w:tcPr>
            <w:tcW w:w="7717" w:type="dxa"/>
            <w:tcBorders>
              <w:left w:val="single" w:color="auto" w:sz="4" w:space="0"/>
              <w:bottom w:val="single" w:color="auto" w:sz="4" w:space="0"/>
              <w:right w:val="single" w:color="auto" w:sz="4" w:space="0"/>
            </w:tcBorders>
            <w:shd w:val="clear" w:color="000000" w:fill="D9D9D9"/>
            <w:noWrap/>
            <w:vAlign w:val="center"/>
          </w:tcPr>
          <w:p>
            <w:pPr>
              <w:widowControl/>
              <w:jc w:val="center"/>
              <w:rPr>
                <w:rFonts w:ascii="宋体" w:hAnsi="宋体" w:cs="宋体"/>
                <w:b/>
                <w:bCs/>
                <w:kern w:val="0"/>
                <w:sz w:val="21"/>
                <w:szCs w:val="21"/>
                <w:highlight w:val="none"/>
              </w:rPr>
            </w:pPr>
            <w:r>
              <w:rPr>
                <w:rFonts w:hint="eastAsia" w:ascii="宋体" w:hAnsi="宋体" w:cs="宋体"/>
                <w:b/>
                <w:bCs/>
                <w:kern w:val="0"/>
                <w:sz w:val="21"/>
                <w:szCs w:val="21"/>
                <w:highlight w:val="none"/>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1"/>
                <w:szCs w:val="21"/>
                <w:highlight w:val="none"/>
              </w:rPr>
            </w:pPr>
            <w:r>
              <w:rPr>
                <w:rFonts w:hint="eastAsia" w:ascii="宋体" w:hAnsi="宋体" w:cs="宋体"/>
                <w:color w:val="auto"/>
                <w:szCs w:val="36"/>
                <w:highlight w:val="none"/>
              </w:rPr>
              <w:t>高性能服务器</w:t>
            </w:r>
          </w:p>
        </w:tc>
        <w:tc>
          <w:tcPr>
            <w:tcW w:w="7717"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1.CPU:  AMD EPYC  MILAN霄龙处理器（核心数≥128核心,默认频率≥2.25G,256M L3 TOP 225W；</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2.内存: ≥64G ECC DDR4 频率≥3200Mhz；</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ascii="宋体" w:hAnsi="宋体" w:cs="宋体"/>
                <w:color w:val="auto"/>
                <w:sz w:val="21"/>
                <w:szCs w:val="21"/>
                <w:highlight w:val="none"/>
              </w:rPr>
            </w:pPr>
            <w:r>
              <w:rPr>
                <w:rFonts w:hint="eastAsia" w:ascii="宋体" w:hAnsi="宋体" w:cs="宋体"/>
                <w:color w:val="auto"/>
                <w:sz w:val="21"/>
                <w:szCs w:val="21"/>
                <w:highlight w:val="none"/>
              </w:rPr>
              <w:t>3.硬盘：系统盘热拔插U.2 PCI-E4.0 NVME SSD RAID1容量≥2T，单盘顺序读取速度7500MB/S,顺序写入速度≥6500MB/S，数据盘热拔插U.2 PCI-E4.0 NVME SSD RAID1容量≥3.84</w:t>
            </w:r>
            <w:bookmarkStart w:id="100" w:name="_GoBack"/>
            <w:bookmarkEnd w:id="100"/>
            <w:r>
              <w:rPr>
                <w:rFonts w:hint="eastAsia" w:ascii="宋体" w:hAnsi="宋体" w:cs="宋体"/>
                <w:color w:val="auto"/>
                <w:sz w:val="21"/>
                <w:szCs w:val="21"/>
                <w:highlight w:val="none"/>
              </w:rPr>
              <w:t>T，顺序读取速度≥7500MB/S,顺序写入速度≥6500MB/S；</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4.平台：机塔互换PANYAO TAEPYC-G4平台/EPYC芯片组/支持8块2.5/3.5寸热拔插NVME/SAS/SATA硬盘&amp;8GU.2Raid0,1,5,10/10GRJ45*1/IPMI2.0*1/AST2500BMCVGA*1，11PCI扩展/≥1300W CPRS 1+1；</w:t>
            </w:r>
          </w:p>
          <w:p>
            <w:pPr>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5.双变换在线式UPS，塔式结构；</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6.额定功率≥3KVA,输出功率因数≥1.0，切换时间≤0ms；</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7.整机效率：节能环保，整机效率达到≥94%以上；</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8.通讯接口：RS232、USB、EPO端子；智能通讯卡选配件可选;</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9.单进单出主机;（输入电压208/220/230/240VAC，输出电压208/220/230/240VAC);</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10.输入频率范围：50/60HZ（默认），</w:t>
            </w:r>
            <w:r>
              <w:rPr>
                <w:rFonts w:ascii="Calibri" w:hAnsi="Calibri" w:cs="Calibri"/>
                <w:color w:val="auto"/>
                <w:sz w:val="21"/>
                <w:szCs w:val="21"/>
                <w:highlight w:val="none"/>
              </w:rPr>
              <w:t>±</w:t>
            </w:r>
            <w:r>
              <w:rPr>
                <w:rFonts w:hint="eastAsia" w:ascii="宋体" w:hAnsi="宋体" w:cs="宋体"/>
                <w:color w:val="auto"/>
                <w:sz w:val="21"/>
                <w:szCs w:val="21"/>
                <w:highlight w:val="none"/>
              </w:rPr>
              <w:t>10HZ(可设）；</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11.输出频率：在线模式：跟随市电频率，电池模式：50/60HZ</w:t>
            </w:r>
            <w:r>
              <w:rPr>
                <w:rFonts w:ascii="Calibri" w:hAnsi="Calibri" w:cs="Calibri"/>
                <w:color w:val="auto"/>
                <w:sz w:val="21"/>
                <w:szCs w:val="21"/>
                <w:highlight w:val="none"/>
              </w:rPr>
              <w:t>±</w:t>
            </w:r>
            <w:r>
              <w:rPr>
                <w:rFonts w:hint="eastAsia" w:ascii="宋体" w:hAnsi="宋体" w:cs="宋体"/>
                <w:color w:val="auto"/>
                <w:sz w:val="21"/>
                <w:szCs w:val="21"/>
                <w:highlight w:val="none"/>
              </w:rPr>
              <w:t>1%；</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12.运行湿温度：≤20%-95%且温度-15--40°C（不结露）；</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13.电池电压：≥96V;</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14.输出电压208V、220V、230V、240V可调;</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15.充电电流≥5.0A（默认），1-12A可调；</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16.机器尺寸：≤410*190*325mm；</w:t>
            </w:r>
          </w:p>
          <w:p>
            <w:pPr>
              <w:spacing w:line="420" w:lineRule="exact"/>
              <w:rPr>
                <w:rFonts w:ascii="宋体" w:hAnsi="宋体" w:cs="宋体"/>
                <w:color w:val="auto"/>
                <w:sz w:val="21"/>
                <w:szCs w:val="21"/>
                <w:highlight w:val="none"/>
              </w:rPr>
            </w:pPr>
            <w:r>
              <w:rPr>
                <w:rFonts w:hint="eastAsia" w:ascii="宋体" w:hAnsi="宋体" w:cs="宋体"/>
                <w:color w:val="auto"/>
                <w:sz w:val="21"/>
                <w:szCs w:val="21"/>
                <w:highlight w:val="none"/>
              </w:rPr>
              <w:t>17.电池与主机为同品牌，≥延时1小时;</w:t>
            </w:r>
          </w:p>
          <w:p>
            <w:pPr>
              <w:spacing w:line="42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18.电话支持:7x24小时;质保期限:≥2年;响应时间:2小时，8小时上门，投标厂商需要提供本地化服务，需要送货上门及现场安装调试服务，为保障整机的使用效果，请严格按照本方案报价。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jc w:val="center"/>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auto"/>
                <w:szCs w:val="36"/>
                <w:highlight w:val="none"/>
              </w:rPr>
            </w:pPr>
            <w:r>
              <w:rPr>
                <w:rFonts w:hint="eastAsia" w:ascii="宋体" w:hAnsi="宋体" w:cs="宋体"/>
                <w:color w:val="auto"/>
                <w:szCs w:val="36"/>
                <w:highlight w:val="none"/>
              </w:rPr>
              <w:t>一次用脑电传感器</w:t>
            </w:r>
          </w:p>
        </w:tc>
        <w:tc>
          <w:tcPr>
            <w:tcW w:w="771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1"/>
                <w:szCs w:val="21"/>
                <w:highlight w:val="none"/>
              </w:rPr>
            </w:pPr>
            <w:r>
              <w:rPr>
                <w:rFonts w:hint="eastAsia" w:ascii="宋体" w:hAnsi="宋体" w:cs="宋体"/>
                <w:color w:val="auto"/>
                <w:sz w:val="21"/>
                <w:szCs w:val="21"/>
                <w:highlight w:val="none"/>
              </w:rPr>
              <w:t>1.无创医用传感器十套，用于采集患者脑电信号</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2.产品能与ConView 系列麻醉深度监测仪配合使用。</w:t>
            </w:r>
          </w:p>
          <w:p>
            <w:pPr>
              <w:rPr>
                <w:rFonts w:ascii="宋体" w:hAnsi="宋体" w:cs="宋体"/>
                <w:color w:val="auto"/>
                <w:sz w:val="21"/>
                <w:szCs w:val="21"/>
                <w:highlight w:val="none"/>
              </w:rPr>
            </w:pPr>
            <w:r>
              <w:rPr>
                <w:rFonts w:hint="eastAsia" w:ascii="宋体" w:hAnsi="宋体" w:cs="宋体"/>
                <w:color w:val="auto"/>
                <w:sz w:val="21"/>
                <w:szCs w:val="21"/>
                <w:highlight w:val="none"/>
              </w:rPr>
              <w:t>3.</w:t>
            </w:r>
            <w:r>
              <w:rPr>
                <w:rFonts w:ascii="宋体" w:hAnsi="宋体" w:cs="宋体"/>
                <w:color w:val="auto"/>
                <w:sz w:val="21"/>
                <w:szCs w:val="21"/>
                <w:highlight w:val="none"/>
              </w:rPr>
              <w:t>一次性使用脑电传感器电极脱落后的响应时间</w:t>
            </w:r>
            <w:r>
              <w:rPr>
                <w:rFonts w:hint="eastAsia" w:ascii="宋体" w:hAnsi="宋体" w:cs="宋体"/>
                <w:color w:val="auto"/>
                <w:sz w:val="21"/>
                <w:szCs w:val="21"/>
                <w:highlight w:val="none"/>
              </w:rPr>
              <w:t>≤</w:t>
            </w:r>
            <w:r>
              <w:rPr>
                <w:rFonts w:ascii="宋体" w:hAnsi="宋体" w:cs="宋体"/>
                <w:color w:val="auto"/>
                <w:sz w:val="21"/>
                <w:szCs w:val="21"/>
                <w:highlight w:val="none"/>
              </w:rPr>
              <w:t>3s。</w:t>
            </w:r>
          </w:p>
          <w:p>
            <w:pPr>
              <w:rPr>
                <w:rFonts w:ascii="宋体" w:hAnsi="宋体" w:cs="宋体"/>
                <w:color w:val="auto"/>
                <w:sz w:val="21"/>
                <w:szCs w:val="21"/>
                <w:highlight w:val="none"/>
              </w:rPr>
            </w:pPr>
            <w:r>
              <w:rPr>
                <w:rFonts w:hint="eastAsia" w:ascii="宋体" w:hAnsi="宋体" w:cs="宋体"/>
                <w:color w:val="auto"/>
                <w:sz w:val="21"/>
                <w:szCs w:val="21"/>
                <w:highlight w:val="none"/>
              </w:rPr>
              <w:t>4.</w:t>
            </w:r>
            <w:r>
              <w:rPr>
                <w:rFonts w:ascii="宋体" w:hAnsi="宋体" w:cs="宋体"/>
                <w:color w:val="auto"/>
                <w:sz w:val="21"/>
                <w:szCs w:val="21"/>
                <w:highlight w:val="none"/>
              </w:rPr>
              <w:t>一次性使用脑电传感器自检功能：自动提示检测传感器的实时信息。</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5.</w:t>
            </w:r>
            <w:r>
              <w:rPr>
                <w:rFonts w:ascii="宋体" w:hAnsi="宋体" w:cs="宋体"/>
                <w:color w:val="auto"/>
                <w:sz w:val="21"/>
                <w:szCs w:val="21"/>
                <w:highlight w:val="none"/>
              </w:rPr>
              <w:t>一次性使用脑电传感器数据显示功能：显示传感器上每一编号电极的电阻值。</w:t>
            </w:r>
          </w:p>
        </w:tc>
      </w:tr>
    </w:tbl>
    <w:p>
      <w:pPr>
        <w:pStyle w:val="3"/>
        <w:spacing w:before="0" w:after="0" w:line="560" w:lineRule="exact"/>
        <w:jc w:val="center"/>
        <w:rPr>
          <w:rFonts w:ascii="宋体" w:hAnsi="宋体" w:eastAsia="宋体" w:cs="宋体"/>
          <w:b w:val="0"/>
          <w:sz w:val="44"/>
          <w:szCs w:val="44"/>
          <w:highlight w:val="none"/>
        </w:rPr>
      </w:pPr>
    </w:p>
    <w:p>
      <w:pPr>
        <w:rPr>
          <w:rFonts w:ascii="宋体" w:hAnsi="宋体" w:cs="宋体"/>
          <w:sz w:val="44"/>
          <w:szCs w:val="44"/>
          <w:highlight w:val="none"/>
        </w:rPr>
      </w:pPr>
    </w:p>
    <w:p>
      <w:pPr>
        <w:pStyle w:val="3"/>
        <w:spacing w:before="0" w:after="0" w:line="560" w:lineRule="exact"/>
        <w:jc w:val="center"/>
        <w:rPr>
          <w:rFonts w:ascii="宋体" w:hAnsi="宋体" w:eastAsia="宋体" w:cs="宋体"/>
          <w:b w:val="0"/>
          <w:sz w:val="44"/>
          <w:szCs w:val="44"/>
          <w:highlight w:val="none"/>
        </w:rPr>
        <w:sectPr>
          <w:footerReference r:id="rId14" w:type="default"/>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宋体" w:hAnsi="宋体" w:eastAsia="宋体" w:cs="宋体"/>
          <w:b w:val="0"/>
          <w:sz w:val="44"/>
          <w:szCs w:val="44"/>
          <w:highlight w:val="none"/>
        </w:rPr>
      </w:pPr>
      <w:bookmarkStart w:id="58" w:name="_Toc9866"/>
      <w:r>
        <w:rPr>
          <w:rFonts w:hint="eastAsia" w:ascii="宋体" w:hAnsi="宋体" w:eastAsia="宋体" w:cs="宋体"/>
          <w:b w:val="0"/>
          <w:sz w:val="44"/>
          <w:szCs w:val="44"/>
          <w:highlight w:val="none"/>
        </w:rPr>
        <w:t>第四篇谈判项目服务需求</w:t>
      </w:r>
      <w:bookmarkEnd w:id="58"/>
    </w:p>
    <w:bookmarkEnd w:id="51"/>
    <w:p>
      <w:pPr>
        <w:jc w:val="center"/>
        <w:rPr>
          <w:rFonts w:ascii="宋体" w:hAnsi="宋体" w:cs="宋体"/>
          <w:highlight w:val="none"/>
        </w:rPr>
      </w:pPr>
    </w:p>
    <w:p>
      <w:pPr>
        <w:pStyle w:val="4"/>
        <w:spacing w:before="0" w:after="0" w:line="560" w:lineRule="exact"/>
        <w:ind w:firstLine="560" w:firstLineChars="200"/>
        <w:rPr>
          <w:rFonts w:ascii="宋体" w:hAnsi="宋体" w:cs="宋体"/>
          <w:b w:val="0"/>
          <w:sz w:val="28"/>
          <w:szCs w:val="28"/>
          <w:highlight w:val="none"/>
        </w:rPr>
      </w:pPr>
      <w:bookmarkStart w:id="59" w:name="_Toc21803"/>
      <w:bookmarkStart w:id="60" w:name="_Toc344475120"/>
      <w:bookmarkStart w:id="61" w:name="_Toc535312153"/>
      <w:bookmarkStart w:id="62" w:name="_Toc12789059"/>
      <w:bookmarkStart w:id="63" w:name="_Toc11641055"/>
      <w:r>
        <w:rPr>
          <w:rFonts w:hint="eastAsia" w:ascii="宋体" w:hAnsi="宋体" w:cs="宋体"/>
          <w:b w:val="0"/>
          <w:sz w:val="28"/>
          <w:szCs w:val="28"/>
          <w:highlight w:val="none"/>
        </w:rPr>
        <w:t>一、交货时间、地点及验收方式</w:t>
      </w:r>
      <w:bookmarkEnd w:id="59"/>
      <w:bookmarkEnd w:id="60"/>
      <w:bookmarkEnd w:id="61"/>
    </w:p>
    <w:p>
      <w:pPr>
        <w:pStyle w:val="33"/>
        <w:spacing w:line="560" w:lineRule="exact"/>
        <w:ind w:firstLine="420" w:firstLineChars="150"/>
        <w:rPr>
          <w:rFonts w:ascii="宋体" w:hAnsi="宋体" w:cs="宋体"/>
          <w:szCs w:val="28"/>
          <w:highlight w:val="none"/>
        </w:rPr>
      </w:pPr>
      <w:r>
        <w:rPr>
          <w:rFonts w:hint="eastAsia" w:ascii="宋体" w:hAnsi="宋体" w:cs="宋体"/>
          <w:szCs w:val="28"/>
          <w:highlight w:val="none"/>
        </w:rPr>
        <w:t>（一）交货时间</w:t>
      </w:r>
    </w:p>
    <w:p>
      <w:pPr>
        <w:pStyle w:val="33"/>
        <w:spacing w:line="560" w:lineRule="exact"/>
        <w:ind w:firstLine="560" w:firstLineChars="200"/>
        <w:rPr>
          <w:rFonts w:ascii="宋体" w:hAnsi="宋体" w:cs="宋体"/>
          <w:szCs w:val="28"/>
          <w:highlight w:val="none"/>
        </w:rPr>
      </w:pPr>
      <w:r>
        <w:rPr>
          <w:rFonts w:hint="eastAsia" w:ascii="宋体" w:hAnsi="宋体" w:cs="宋体"/>
          <w:szCs w:val="28"/>
          <w:highlight w:val="none"/>
        </w:rPr>
        <w:t>中标人应在发布中标通知后30个日历日内交货，并完成安装调试。</w:t>
      </w:r>
    </w:p>
    <w:p>
      <w:pPr>
        <w:pStyle w:val="33"/>
        <w:spacing w:line="560" w:lineRule="exact"/>
        <w:ind w:firstLine="420" w:firstLineChars="150"/>
        <w:rPr>
          <w:rFonts w:ascii="宋体" w:hAnsi="宋体" w:cs="宋体"/>
          <w:szCs w:val="28"/>
          <w:highlight w:val="none"/>
        </w:rPr>
      </w:pPr>
      <w:r>
        <w:rPr>
          <w:rFonts w:hint="eastAsia" w:ascii="宋体" w:hAnsi="宋体" w:cs="宋体"/>
          <w:szCs w:val="28"/>
          <w:highlight w:val="none"/>
        </w:rPr>
        <w:t>（二）交货地点</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交货地点：重庆医科大学，采购人指定地点。</w:t>
      </w:r>
    </w:p>
    <w:p>
      <w:pPr>
        <w:pStyle w:val="33"/>
        <w:spacing w:line="560" w:lineRule="exact"/>
        <w:ind w:firstLine="420" w:firstLineChars="150"/>
        <w:rPr>
          <w:rFonts w:ascii="宋体" w:hAnsi="宋体" w:cs="宋体"/>
          <w:szCs w:val="28"/>
          <w:highlight w:val="none"/>
        </w:rPr>
      </w:pPr>
      <w:r>
        <w:rPr>
          <w:rFonts w:hint="eastAsia" w:ascii="宋体" w:hAnsi="宋体" w:cs="宋体"/>
          <w:szCs w:val="28"/>
          <w:highlight w:val="none"/>
        </w:rPr>
        <w:t>（三）验收方式</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1.货物到达现场后，供应商应经采购人或其指定验收单位清点品名、规格、数量；检查外观，作出验收记录，双方签字确认。</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2.供应商应保证货物到达用户所在地完好无损，如有缺漏、损坏，由供应商负责调换、补齐或赔偿。</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3.供应商应提供完备的技术资料、装箱单和合格证等，并派遣专业技术人员进行现场安装调试。验收合格条件如下：</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3.1设备品种、规格、数量、技术参数以及商品品牌、制造商等与采购合同一致，性能指标达到规定的标准。</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3.2货物技术资料、装箱单、合格证等资料齐全。</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3.3在规定时间内完成交货并验收，并经采购人确认。</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4.供应商提供的货物未达到竞争性谈判规定要求，且对采购人造成损失的，由供应商承担一切责任，并赔偿所造成的损失。</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5.大型或者复杂的政府采购产品项目，采购人可邀请国家认可的质量检测机构参加验收工作。</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6.采购人需要制造商对成交供应商交付的产品（包括质量、技术参数等）进行确认的，制造商应予以配合，并出具书面意见。</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7.产品包装材料归采购人所有。</w:t>
      </w:r>
    </w:p>
    <w:p>
      <w:pPr>
        <w:pStyle w:val="4"/>
        <w:spacing w:before="0" w:after="0" w:line="560" w:lineRule="exact"/>
        <w:ind w:firstLine="560" w:firstLineChars="200"/>
        <w:rPr>
          <w:rFonts w:ascii="宋体" w:hAnsi="宋体" w:cs="宋体"/>
          <w:b w:val="0"/>
          <w:sz w:val="28"/>
          <w:szCs w:val="28"/>
          <w:highlight w:val="none"/>
        </w:rPr>
      </w:pPr>
      <w:bookmarkStart w:id="64" w:name="_Toc424"/>
      <w:bookmarkStart w:id="65" w:name="_Toc344475121"/>
      <w:r>
        <w:rPr>
          <w:rFonts w:hint="eastAsia" w:ascii="宋体" w:hAnsi="宋体" w:cs="宋体"/>
          <w:b w:val="0"/>
          <w:sz w:val="28"/>
          <w:szCs w:val="28"/>
          <w:highlight w:val="none"/>
        </w:rPr>
        <w:t>二、质量保证及售后服务</w:t>
      </w:r>
      <w:bookmarkEnd w:id="64"/>
      <w:bookmarkEnd w:id="65"/>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（一）产品质量保证期</w:t>
      </w:r>
    </w:p>
    <w:p>
      <w:pPr>
        <w:spacing w:line="560" w:lineRule="exact"/>
        <w:ind w:firstLine="560" w:firstLineChars="200"/>
        <w:rPr>
          <w:rFonts w:hint="eastAsia" w:ascii="宋体" w:hAnsi="宋体" w:cs="宋体"/>
          <w:szCs w:val="28"/>
          <w:highlight w:val="none"/>
        </w:rPr>
      </w:pPr>
      <w:r>
        <w:rPr>
          <w:rFonts w:hint="eastAsia" w:ascii="宋体" w:hAnsi="宋体" w:cs="宋体"/>
          <w:szCs w:val="28"/>
          <w:highlight w:val="none"/>
        </w:rPr>
        <w:t>1.</w:t>
      </w:r>
      <w:r>
        <w:rPr>
          <w:rFonts w:hint="eastAsia" w:ascii="宋体" w:hAnsi="宋体" w:cs="宋体"/>
          <w:szCs w:val="28"/>
          <w:highlight w:val="none"/>
          <w:lang w:val="en-US" w:eastAsia="zh-CN"/>
        </w:rPr>
        <w:t>该项目</w:t>
      </w:r>
      <w:r>
        <w:rPr>
          <w:rFonts w:hint="eastAsia" w:ascii="宋体" w:hAnsi="宋体" w:cs="宋体"/>
          <w:szCs w:val="28"/>
          <w:highlight w:val="none"/>
        </w:rPr>
        <w:t>自合同签订之日起，提供叁年的质保期。</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2.采购货物属于国家规定“三包”范围的，其产品质量保证期不得低于“三包”规定。</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3.供应商的质量保证期承诺优于国家“三包”规定的，按供应商实际承诺执行。</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4.采购货物由产品制造商（指产品生产制造商以下同）负责标准售后服务，应当在响应文件中予以明确说明，并提供相关文件。</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（二）售后服务内容</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供应商和制造商在质量保证期内应当为采购人提供以下技术支持服务：</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1.质量保证期内服务要求</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1.1电话咨询</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成交供应商和制造商应当为用户提供技术援助电话，解答用户在使用中遇到的问题，及时为用户提出解决问题的建议。</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1.2现场响应</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用户遇到使用及技术问题，电话咨询不能解决的，成交供应商或制造商应在接到电话后，2小时响应，12小时内到位，重大紧急情况3小时内应到位，及时提供技术支持，保障设备正常运行。</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1.3技术升级</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2.质保期外服务要求</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2.1质量保证期过后，成交供应商和制造商应同样提供免费电话咨询服务，并应承诺提供产品上门维护服务。</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2.2质量保证期过后，采购人需要继续由原成交供应商和制造商提供售后服务的，成交供应商和制造商应以优惠价格提供售后服务。</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（三）故障响应时间要求</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供应商接到使用方产品出现问题的通知后，2小时响应，12小时内到位，重大紧急情况3小时内应到位，及时排除故障，保障设备安全运行。</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（四）维修配件</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成交供应商或制造商应提供备品备件，保证用户应急所需。使用的维修零配件应为原厂配件，未经用户同意不得使用非原厂配件。</w:t>
      </w:r>
    </w:p>
    <w:p>
      <w:pPr>
        <w:pStyle w:val="4"/>
        <w:spacing w:before="0" w:after="0" w:line="560" w:lineRule="exact"/>
        <w:ind w:firstLine="560" w:firstLineChars="200"/>
        <w:rPr>
          <w:rFonts w:ascii="宋体" w:hAnsi="宋体" w:cs="宋体"/>
          <w:b w:val="0"/>
          <w:sz w:val="28"/>
          <w:szCs w:val="28"/>
          <w:highlight w:val="none"/>
        </w:rPr>
      </w:pPr>
      <w:bookmarkStart w:id="66" w:name="_Toc19265"/>
      <w:bookmarkStart w:id="67" w:name="_Toc344475122"/>
      <w:r>
        <w:rPr>
          <w:rFonts w:hint="eastAsia" w:ascii="宋体" w:hAnsi="宋体" w:cs="宋体"/>
          <w:b w:val="0"/>
          <w:sz w:val="28"/>
          <w:szCs w:val="28"/>
          <w:highlight w:val="none"/>
        </w:rPr>
        <w:t>三、报价要求</w:t>
      </w:r>
      <w:bookmarkEnd w:id="66"/>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谈判报价</w:t>
      </w:r>
      <w:r>
        <w:rPr>
          <w:rFonts w:hint="eastAsia" w:ascii="宋体" w:hAnsi="宋体" w:cs="宋体"/>
          <w:kern w:val="0"/>
          <w:szCs w:val="28"/>
          <w:highlight w:val="none"/>
        </w:rPr>
        <w:t>须为人民币报价</w:t>
      </w:r>
      <w:r>
        <w:rPr>
          <w:rFonts w:hint="eastAsia" w:ascii="宋体" w:hAnsi="宋体" w:cs="宋体"/>
          <w:szCs w:val="28"/>
          <w:highlight w:val="none"/>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四、付款方式</w:t>
      </w:r>
      <w:bookmarkEnd w:id="67"/>
    </w:p>
    <w:p>
      <w:pPr>
        <w:spacing w:line="560" w:lineRule="exact"/>
        <w:ind w:firstLine="560" w:firstLineChars="200"/>
        <w:rPr>
          <w:rFonts w:ascii="宋体" w:hAnsi="宋体" w:cs="宋体"/>
          <w:szCs w:val="28"/>
          <w:highlight w:val="none"/>
        </w:rPr>
      </w:pPr>
      <w:bookmarkStart w:id="68" w:name="_Toc344475123"/>
      <w:r>
        <w:rPr>
          <w:rFonts w:hint="eastAsia" w:ascii="宋体" w:hAnsi="宋体" w:cs="宋体"/>
          <w:szCs w:val="28"/>
          <w:highlight w:val="none"/>
        </w:rPr>
        <w:t>（一）合同签订前，中标人向采购人缴纳合同金额5%的履约保证金；</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（二）中标人按合同约定交货，经验收合格后，采购人出具项目验收报告；</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（三）中标人向采购人开具发票，采购人以转账方式向中标人支付合同全款。</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（四）履约保证金在质保期届满后，无廉政、无质量及售后服务问题时，无息退还。</w:t>
      </w:r>
    </w:p>
    <w:p>
      <w:pPr>
        <w:pStyle w:val="4"/>
        <w:spacing w:before="0" w:after="0" w:line="560" w:lineRule="exact"/>
        <w:ind w:firstLine="560" w:firstLineChars="200"/>
        <w:rPr>
          <w:rFonts w:ascii="宋体" w:hAnsi="宋体" w:cs="宋体"/>
          <w:b w:val="0"/>
          <w:sz w:val="28"/>
          <w:szCs w:val="28"/>
          <w:highlight w:val="none"/>
        </w:rPr>
      </w:pPr>
      <w:bookmarkStart w:id="69" w:name="_Toc22714"/>
      <w:r>
        <w:rPr>
          <w:rFonts w:hint="eastAsia" w:ascii="宋体" w:hAnsi="宋体" w:cs="宋体"/>
          <w:b w:val="0"/>
          <w:sz w:val="28"/>
          <w:szCs w:val="28"/>
          <w:highlight w:val="none"/>
        </w:rPr>
        <w:t>五、知识产权</w:t>
      </w:r>
      <w:bookmarkEnd w:id="68"/>
      <w:bookmarkEnd w:id="69"/>
    </w:p>
    <w:p>
      <w:pPr>
        <w:snapToGrid w:val="0"/>
        <w:spacing w:line="560" w:lineRule="exact"/>
        <w:ind w:firstLine="540"/>
        <w:rPr>
          <w:rFonts w:ascii="宋体" w:hAnsi="宋体" w:cs="宋体"/>
          <w:szCs w:val="28"/>
          <w:highlight w:val="none"/>
        </w:rPr>
      </w:pPr>
      <w:r>
        <w:rPr>
          <w:rFonts w:hint="eastAsia" w:ascii="宋体" w:hAnsi="宋体" w:cs="宋体"/>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宋体" w:hAnsi="宋体" w:cs="宋体"/>
          <w:szCs w:val="28"/>
          <w:highlight w:val="none"/>
        </w:rPr>
      </w:pPr>
      <w:r>
        <w:rPr>
          <w:rFonts w:hint="eastAsia" w:ascii="宋体" w:hAnsi="宋体" w:cs="宋体"/>
          <w:szCs w:val="28"/>
          <w:highlight w:val="none"/>
        </w:rPr>
        <w:t>注：（若涉及软件开发等服务类项目知识产权的，知识产权归采购人所有）。</w:t>
      </w:r>
    </w:p>
    <w:p>
      <w:pPr>
        <w:pStyle w:val="4"/>
        <w:spacing w:before="0" w:after="0" w:line="560" w:lineRule="exact"/>
        <w:ind w:firstLine="560" w:firstLineChars="200"/>
        <w:rPr>
          <w:rFonts w:ascii="宋体" w:hAnsi="宋体" w:cs="宋体"/>
          <w:b w:val="0"/>
          <w:sz w:val="28"/>
          <w:szCs w:val="28"/>
          <w:highlight w:val="none"/>
        </w:rPr>
      </w:pPr>
      <w:bookmarkStart w:id="70" w:name="_Toc344475124"/>
      <w:bookmarkStart w:id="71" w:name="_Toc11062"/>
      <w:r>
        <w:rPr>
          <w:rFonts w:hint="eastAsia" w:ascii="宋体" w:hAnsi="宋体" w:cs="宋体"/>
          <w:b w:val="0"/>
          <w:sz w:val="28"/>
          <w:szCs w:val="28"/>
          <w:highlight w:val="none"/>
        </w:rPr>
        <w:t>六、培训</w:t>
      </w:r>
      <w:bookmarkEnd w:id="70"/>
      <w:bookmarkEnd w:id="71"/>
    </w:p>
    <w:p>
      <w:pPr>
        <w:snapToGrid w:val="0"/>
        <w:spacing w:line="560" w:lineRule="exact"/>
        <w:ind w:firstLine="540"/>
        <w:rPr>
          <w:rFonts w:ascii="宋体" w:hAnsi="宋体" w:cs="宋体"/>
          <w:szCs w:val="28"/>
          <w:highlight w:val="none"/>
        </w:rPr>
      </w:pPr>
      <w:r>
        <w:rPr>
          <w:rFonts w:hint="eastAsia" w:ascii="宋体" w:hAnsi="宋体" w:cs="宋体"/>
          <w:szCs w:val="28"/>
          <w:highlight w:val="none"/>
        </w:rPr>
        <w:t>成交供应商须提供对设备的操作培训，使相关使用人员能够正常操作相关设备。</w:t>
      </w:r>
    </w:p>
    <w:p>
      <w:pPr>
        <w:pStyle w:val="4"/>
        <w:spacing w:before="0" w:after="0" w:line="560" w:lineRule="exact"/>
        <w:ind w:firstLine="560" w:firstLineChars="200"/>
        <w:rPr>
          <w:rFonts w:ascii="宋体" w:hAnsi="宋体" w:cs="宋体"/>
          <w:b w:val="0"/>
          <w:sz w:val="28"/>
          <w:szCs w:val="28"/>
          <w:highlight w:val="none"/>
        </w:rPr>
      </w:pPr>
      <w:bookmarkStart w:id="72" w:name="_Toc22010"/>
      <w:r>
        <w:rPr>
          <w:rFonts w:hint="eastAsia" w:ascii="宋体" w:hAnsi="宋体" w:cs="宋体"/>
          <w:b w:val="0"/>
          <w:sz w:val="28"/>
          <w:szCs w:val="28"/>
          <w:highlight w:val="none"/>
        </w:rPr>
        <w:t>七、</w:t>
      </w:r>
      <w:bookmarkStart w:id="73" w:name="_Toc344475125"/>
      <w:r>
        <w:rPr>
          <w:rFonts w:hint="eastAsia" w:ascii="宋体" w:hAnsi="宋体" w:cs="宋体"/>
          <w:b w:val="0"/>
          <w:sz w:val="28"/>
          <w:szCs w:val="28"/>
          <w:highlight w:val="none"/>
        </w:rPr>
        <w:t>其他</w:t>
      </w:r>
      <w:bookmarkEnd w:id="72"/>
    </w:p>
    <w:bookmarkEnd w:id="73"/>
    <w:p>
      <w:pPr>
        <w:snapToGrid w:val="0"/>
        <w:spacing w:line="560" w:lineRule="exact"/>
        <w:ind w:firstLine="540"/>
        <w:rPr>
          <w:rFonts w:ascii="宋体" w:hAnsi="宋体" w:cs="宋体"/>
          <w:szCs w:val="28"/>
          <w:highlight w:val="none"/>
        </w:rPr>
      </w:pPr>
      <w:r>
        <w:rPr>
          <w:rFonts w:hint="eastAsia" w:ascii="宋体" w:hAnsi="宋体" w:cs="宋体"/>
          <w:szCs w:val="28"/>
          <w:highlight w:val="none"/>
        </w:rPr>
        <w:t>（一）供应商必须在响应文件中对以上条款和服务承诺明确列出，承诺内容必须达到本篇及竞争性谈判其他条款的要求。</w:t>
      </w:r>
    </w:p>
    <w:p>
      <w:pPr>
        <w:snapToGrid w:val="0"/>
        <w:spacing w:line="560" w:lineRule="exact"/>
        <w:ind w:firstLine="540"/>
        <w:rPr>
          <w:rFonts w:ascii="宋体" w:hAnsi="宋体" w:cs="宋体"/>
          <w:szCs w:val="28"/>
          <w:highlight w:val="none"/>
        </w:rPr>
      </w:pPr>
      <w:r>
        <w:rPr>
          <w:rFonts w:hint="eastAsia" w:ascii="宋体" w:hAnsi="宋体" w:cs="宋体"/>
          <w:szCs w:val="28"/>
          <w:highlight w:val="none"/>
        </w:rPr>
        <w:t>（二）其他未尽事宜由供需双方在采购合同中详细约定。</w:t>
      </w:r>
    </w:p>
    <w:p>
      <w:pPr>
        <w:pStyle w:val="3"/>
        <w:spacing w:before="0" w:after="0" w:line="560" w:lineRule="exact"/>
        <w:jc w:val="center"/>
        <w:rPr>
          <w:rFonts w:ascii="宋体" w:hAnsi="宋体" w:eastAsia="宋体" w:cs="宋体"/>
          <w:b w:val="0"/>
          <w:sz w:val="44"/>
          <w:szCs w:val="44"/>
          <w:highlight w:val="none"/>
        </w:rPr>
      </w:pPr>
      <w:r>
        <w:rPr>
          <w:rFonts w:hint="eastAsia" w:ascii="宋体" w:hAnsi="宋体" w:eastAsia="宋体" w:cs="宋体"/>
          <w:b w:val="0"/>
          <w:sz w:val="28"/>
          <w:szCs w:val="28"/>
          <w:highlight w:val="none"/>
        </w:rPr>
        <w:br w:type="page"/>
      </w:r>
      <w:bookmarkStart w:id="74" w:name="_Toc30263"/>
      <w:r>
        <w:rPr>
          <w:rFonts w:hint="eastAsia" w:ascii="宋体" w:hAnsi="宋体" w:eastAsia="宋体" w:cs="宋体"/>
          <w:b w:val="0"/>
          <w:sz w:val="44"/>
          <w:szCs w:val="44"/>
          <w:highlight w:val="none"/>
        </w:rPr>
        <w:t>第五篇</w:t>
      </w:r>
      <w:bookmarkEnd w:id="62"/>
      <w:bookmarkEnd w:id="63"/>
      <w:r>
        <w:rPr>
          <w:rFonts w:hint="eastAsia" w:ascii="宋体" w:hAnsi="宋体" w:eastAsia="宋体" w:cs="宋体"/>
          <w:b w:val="0"/>
          <w:sz w:val="44"/>
          <w:szCs w:val="44"/>
          <w:highlight w:val="none"/>
        </w:rPr>
        <w:t>合同草案条款</w:t>
      </w:r>
      <w:bookmarkEnd w:id="74"/>
    </w:p>
    <w:p>
      <w:pPr>
        <w:snapToGrid w:val="0"/>
        <w:spacing w:line="560" w:lineRule="exact"/>
        <w:ind w:firstLine="420" w:firstLineChars="150"/>
        <w:rPr>
          <w:rFonts w:ascii="宋体" w:hAnsi="宋体" w:cs="宋体"/>
          <w:bCs/>
          <w:szCs w:val="28"/>
          <w:highlight w:val="none"/>
        </w:rPr>
      </w:pP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一、定义</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（二）乙方（供方）即成交供应商，是指成交后提供合同货物和服务的自然人、法人及其他组织。</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（四）合同价格指以成交价格为依据，在供方全面履行合同义务后，需方（或财政部门）应支付给供方的金额。</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（五）技术资料是指合同货物及其相关的设计、制造、监造、检验、验收等文件（包括图纸、各种文字说明、标准）。</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二、货物内容</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合同包括以下内容：货物名称、型号规格、技术参数、数量（单位）等内容。</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三、合同价格</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（一）合同价格即合同总价。</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（三）合同货物单价为不变价。</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四、转包或分包</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（一）本合同范围的货物，应由乙方直接供应，不得转让他人供应；</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（二）非经甲方书面同意，乙方不得将本合同范围的货物全部或部分分包给他人供应；</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（三）如有转让和未经甲方同意的分包行为，甲方有权解除合同，没收履约保证金并追究乙方的违约责任。</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五、质量保证及售后服务</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（一）乙方应按竞争性谈判文件规定的货物性能、技术要求、质量标准向甲方提供未经使用的全新产品。</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宋体" w:hAnsi="宋体" w:cs="宋体"/>
          <w:bCs/>
          <w:szCs w:val="28"/>
          <w:highlight w:val="none"/>
        </w:rPr>
      </w:pPr>
      <w:r>
        <w:rPr>
          <w:rFonts w:hint="eastAsia" w:ascii="宋体" w:hAnsi="宋体" w:cs="宋体"/>
          <w:bCs/>
          <w:szCs w:val="28"/>
          <w:highlight w:val="none"/>
        </w:rPr>
        <w:t>1.更换：由乙方承担所发生的全部费用。</w:t>
      </w:r>
    </w:p>
    <w:p>
      <w:pPr>
        <w:snapToGrid w:val="0"/>
        <w:spacing w:line="560" w:lineRule="exact"/>
        <w:ind w:firstLine="560" w:firstLineChars="200"/>
        <w:outlineLvl w:val="0"/>
        <w:rPr>
          <w:rFonts w:ascii="宋体" w:hAnsi="宋体" w:cs="宋体"/>
          <w:bCs/>
          <w:szCs w:val="28"/>
          <w:highlight w:val="none"/>
        </w:rPr>
      </w:pPr>
      <w:r>
        <w:rPr>
          <w:rFonts w:hint="eastAsia" w:ascii="宋体" w:hAnsi="宋体" w:cs="宋体"/>
          <w:bCs/>
          <w:szCs w:val="28"/>
          <w:highlight w:val="none"/>
        </w:rPr>
        <w:t>2.贬值处理：由甲乙双方合议定价。</w:t>
      </w:r>
    </w:p>
    <w:p>
      <w:pPr>
        <w:snapToGrid w:val="0"/>
        <w:spacing w:line="560" w:lineRule="exact"/>
        <w:ind w:firstLine="560" w:firstLineChars="200"/>
        <w:outlineLvl w:val="0"/>
        <w:rPr>
          <w:rFonts w:ascii="宋体" w:hAnsi="宋体" w:cs="宋体"/>
          <w:bCs/>
          <w:szCs w:val="28"/>
          <w:highlight w:val="none"/>
        </w:rPr>
      </w:pPr>
      <w:r>
        <w:rPr>
          <w:rFonts w:hint="eastAsia" w:ascii="宋体" w:hAnsi="宋体" w:cs="宋体"/>
          <w:bCs/>
          <w:szCs w:val="28"/>
          <w:highlight w:val="none"/>
        </w:rPr>
        <w:t>3.退货处理：乙方应退还甲方支付的合同款，同时应承担该货物的直接费用（运输、保险、检验、货款利息及银行手续费等）。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（三）如在使用过程中发生质量问题，乙方应同本项目“第四篇谈判项目服务需求”对质量保证及售后服务内容的约定。</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（四）在质保期内，乙方应对货物出现的质量及安全问题负责处理解决并承担一切费用。</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六、付款</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（一）本合同使用货币币制如未作特别说明均为人民币。</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（二）付款方式：银行转账、现金支票。</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（三）付款方法：同本项目“第四篇谈判项目服务需求”中关于付款方式的约定。</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七、检查验收</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（一）供方应随货物提供合格证和质量证明文件，如是国外进口的货物还须提供入关证明。</w:t>
      </w:r>
    </w:p>
    <w:p>
      <w:pPr>
        <w:snapToGrid w:val="0"/>
        <w:spacing w:line="560" w:lineRule="exact"/>
        <w:ind w:firstLine="420" w:firstLineChars="150"/>
        <w:rPr>
          <w:rFonts w:ascii="宋体" w:hAnsi="宋体" w:cs="宋体"/>
          <w:bCs/>
          <w:szCs w:val="28"/>
          <w:highlight w:val="none"/>
        </w:rPr>
      </w:pP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（二）货物验收</w:t>
      </w:r>
    </w:p>
    <w:p>
      <w:pPr>
        <w:adjustRightInd w:val="0"/>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（三）货物验收报告应由需方、供方经办人签字，并加盖双方公章，以此作为支付凭据。</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八、索赔</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（二）根据货物的疵劣和受损程度以及需方遭受损失的金额，经双方同意降低货物价格。</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九、知识产权</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（二）若涉及软件开发等服务类项目知识产权的，知识产权归采购人所有。</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十、合同争议的解决</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（一）当事人友好协商达成一致</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（二）在60天内当事人协商不能达成协议的，可提请采购人当地仲裁机构仲裁。</w:t>
      </w:r>
    </w:p>
    <w:p>
      <w:pPr>
        <w:snapToGrid w:val="0"/>
        <w:spacing w:line="560" w:lineRule="exact"/>
        <w:ind w:firstLine="560" w:firstLineChars="200"/>
        <w:outlineLvl w:val="0"/>
        <w:rPr>
          <w:rFonts w:ascii="宋体" w:hAnsi="宋体" w:cs="宋体"/>
          <w:bCs/>
          <w:szCs w:val="28"/>
          <w:highlight w:val="none"/>
        </w:rPr>
      </w:pPr>
      <w:r>
        <w:rPr>
          <w:rFonts w:hint="eastAsia" w:ascii="宋体" w:hAnsi="宋体" w:cs="宋体"/>
          <w:bCs/>
          <w:szCs w:val="28"/>
          <w:highlight w:val="none"/>
        </w:rPr>
        <w:t>十一、违约责任</w:t>
      </w:r>
    </w:p>
    <w:p>
      <w:pPr>
        <w:snapToGrid w:val="0"/>
        <w:spacing w:line="560" w:lineRule="exact"/>
        <w:ind w:firstLine="560" w:firstLineChars="200"/>
        <w:outlineLvl w:val="0"/>
        <w:rPr>
          <w:rFonts w:ascii="宋体" w:hAnsi="宋体" w:cs="宋体"/>
          <w:bCs/>
          <w:szCs w:val="28"/>
          <w:highlight w:val="none"/>
        </w:rPr>
      </w:pPr>
      <w:r>
        <w:rPr>
          <w:rFonts w:hint="eastAsia" w:ascii="宋体" w:hAnsi="宋体" w:cs="宋体"/>
          <w:bCs/>
          <w:szCs w:val="28"/>
          <w:highlight w:val="none"/>
        </w:rPr>
        <w:t>按《中华人民共和国民法典》、《中华人民共和国政府采购法》有关条款，或由供需双方约定。</w:t>
      </w:r>
    </w:p>
    <w:p>
      <w:pPr>
        <w:snapToGrid w:val="0"/>
        <w:spacing w:line="560" w:lineRule="exact"/>
        <w:ind w:firstLine="560" w:firstLineChars="200"/>
        <w:outlineLvl w:val="0"/>
        <w:rPr>
          <w:rFonts w:ascii="宋体" w:hAnsi="宋体" w:cs="宋体"/>
          <w:bCs/>
          <w:szCs w:val="28"/>
          <w:highlight w:val="none"/>
        </w:rPr>
      </w:pPr>
      <w:r>
        <w:rPr>
          <w:rFonts w:hint="eastAsia" w:ascii="宋体" w:hAnsi="宋体" w:cs="宋体"/>
          <w:bCs/>
          <w:szCs w:val="28"/>
          <w:highlight w:val="none"/>
        </w:rPr>
        <w:t>十二、合同生效及其它</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（一）合同生效及其效力应符合《中华人民共和国民法典》有关规定。</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（二）合同应经当事人法定代表人或委托代理人签字，加盖双方合同专用章或公章。</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（三）合同所包括附件，是合同不可分割的一部分，具有同等法法律效力。</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（四）合同需提供担保的，按《中华人民共和国担保法》规定执行。</w:t>
      </w:r>
    </w:p>
    <w:p>
      <w:pPr>
        <w:snapToGrid w:val="0"/>
        <w:spacing w:line="560" w:lineRule="exact"/>
        <w:ind w:firstLine="420" w:firstLineChars="150"/>
        <w:outlineLvl w:val="0"/>
        <w:rPr>
          <w:rFonts w:ascii="宋体" w:hAnsi="宋体" w:cs="宋体"/>
          <w:bCs/>
          <w:szCs w:val="28"/>
          <w:highlight w:val="none"/>
        </w:rPr>
      </w:pPr>
      <w:r>
        <w:rPr>
          <w:rFonts w:hint="eastAsia" w:ascii="宋体" w:hAnsi="宋体" w:cs="宋体"/>
          <w:bCs/>
          <w:szCs w:val="28"/>
          <w:highlight w:val="none"/>
        </w:rPr>
        <w:t>（五）本合同条件未尽事宜依照《中华人民共和国民法典》，由供需双方共同协商确定。</w:t>
      </w:r>
    </w:p>
    <w:p>
      <w:pPr>
        <w:snapToGrid w:val="0"/>
        <w:spacing w:line="560" w:lineRule="exact"/>
        <w:ind w:firstLine="570"/>
        <w:rPr>
          <w:rFonts w:ascii="宋体" w:hAnsi="宋体" w:cs="宋体"/>
          <w:szCs w:val="28"/>
          <w:highlight w:val="none"/>
        </w:rPr>
        <w:sectPr>
          <w:pgSz w:w="11907" w:h="16840"/>
          <w:pgMar w:top="1134" w:right="1191" w:bottom="1134" w:left="1304" w:header="964" w:footer="992" w:gutter="0"/>
          <w:pgNumType w:fmt="numberInDash"/>
          <w:cols w:space="720" w:num="1"/>
          <w:docGrid w:linePitch="312" w:charSpace="0"/>
        </w:sectPr>
      </w:pPr>
    </w:p>
    <w:p>
      <w:pPr>
        <w:spacing w:line="560" w:lineRule="exact"/>
        <w:rPr>
          <w:rFonts w:ascii="宋体" w:hAnsi="宋体" w:cs="宋体"/>
          <w:szCs w:val="28"/>
          <w:highlight w:val="none"/>
        </w:rPr>
      </w:pPr>
      <w:bookmarkStart w:id="75" w:name="_Toc148265480"/>
      <w:bookmarkStart w:id="76" w:name="_Toc303945820"/>
      <w:r>
        <w:rPr>
          <w:rFonts w:hint="eastAsia" w:ascii="宋体" w:hAnsi="宋体" w:cs="宋体"/>
          <w:szCs w:val="28"/>
          <w:highlight w:val="none"/>
        </w:rPr>
        <w:t>附页：合同格式</w:t>
      </w:r>
      <w:bookmarkEnd w:id="75"/>
      <w:bookmarkEnd w:id="76"/>
    </w:p>
    <w:p>
      <w:pPr>
        <w:tabs>
          <w:tab w:val="left" w:pos="9000"/>
        </w:tabs>
        <w:spacing w:line="560" w:lineRule="exact"/>
        <w:jc w:val="center"/>
        <w:rPr>
          <w:rFonts w:ascii="宋体" w:hAnsi="宋体" w:cs="宋体"/>
          <w:szCs w:val="28"/>
          <w:highlight w:val="none"/>
        </w:rPr>
      </w:pPr>
    </w:p>
    <w:p>
      <w:pPr>
        <w:spacing w:line="560" w:lineRule="exact"/>
        <w:jc w:val="center"/>
        <w:rPr>
          <w:rFonts w:ascii="宋体" w:hAnsi="宋体" w:cs="宋体"/>
          <w:sz w:val="32"/>
          <w:szCs w:val="32"/>
          <w:highlight w:val="none"/>
          <w:u w:val="single"/>
        </w:rPr>
      </w:pPr>
      <w:bookmarkStart w:id="77" w:name="_Toc12789072"/>
      <w:r>
        <w:rPr>
          <w:rFonts w:hint="eastAsia" w:ascii="宋体" w:hAnsi="宋体" w:cs="宋体"/>
          <w:sz w:val="32"/>
          <w:szCs w:val="32"/>
          <w:highlight w:val="none"/>
        </w:rPr>
        <w:t>合同编号：</w:t>
      </w:r>
    </w:p>
    <w:p>
      <w:pPr>
        <w:spacing w:line="560" w:lineRule="exact"/>
        <w:jc w:val="center"/>
        <w:rPr>
          <w:rFonts w:ascii="宋体" w:hAnsi="宋体" w:cs="宋体"/>
          <w:sz w:val="32"/>
          <w:szCs w:val="32"/>
          <w:highlight w:val="none"/>
        </w:rPr>
      </w:pPr>
      <w:r>
        <w:rPr>
          <w:rFonts w:hint="eastAsia" w:ascii="宋体" w:hAnsi="宋体" w:cs="宋体"/>
          <w:sz w:val="32"/>
          <w:szCs w:val="32"/>
          <w:highlight w:val="none"/>
        </w:rPr>
        <w:sym w:font="Wingdings 2" w:char="00A3"/>
      </w:r>
      <w:r>
        <w:rPr>
          <w:rFonts w:hint="eastAsia" w:ascii="宋体" w:hAnsi="宋体" w:cs="宋体"/>
          <w:sz w:val="32"/>
          <w:szCs w:val="32"/>
          <w:highlight w:val="none"/>
        </w:rPr>
        <w:t xml:space="preserve">正本      </w:t>
      </w:r>
      <w:r>
        <w:rPr>
          <w:rFonts w:hint="eastAsia" w:ascii="宋体" w:hAnsi="宋体" w:cs="宋体"/>
          <w:sz w:val="32"/>
          <w:szCs w:val="32"/>
          <w:highlight w:val="none"/>
        </w:rPr>
        <w:sym w:font="Wingdings 2" w:char="00A3"/>
      </w:r>
      <w:r>
        <w:rPr>
          <w:rFonts w:hint="eastAsia" w:ascii="宋体" w:hAnsi="宋体" w:cs="宋体"/>
          <w:sz w:val="32"/>
          <w:szCs w:val="32"/>
          <w:highlight w:val="none"/>
        </w:rPr>
        <w:t>副本</w:t>
      </w:r>
    </w:p>
    <w:p>
      <w:pPr>
        <w:spacing w:line="560" w:lineRule="exact"/>
        <w:rPr>
          <w:rFonts w:ascii="宋体" w:hAnsi="宋体" w:cs="宋体"/>
          <w:szCs w:val="28"/>
          <w:highlight w:val="none"/>
        </w:rPr>
      </w:pPr>
    </w:p>
    <w:p>
      <w:pPr>
        <w:spacing w:line="560" w:lineRule="exact"/>
        <w:rPr>
          <w:rFonts w:ascii="宋体" w:hAnsi="宋体" w:cs="宋体"/>
          <w:szCs w:val="28"/>
          <w:highlight w:val="none"/>
        </w:rPr>
      </w:pPr>
    </w:p>
    <w:p>
      <w:pPr>
        <w:spacing w:line="900" w:lineRule="exact"/>
        <w:jc w:val="center"/>
        <w:rPr>
          <w:rFonts w:ascii="宋体" w:hAnsi="宋体" w:cs="宋体"/>
          <w:sz w:val="72"/>
          <w:szCs w:val="72"/>
          <w:highlight w:val="none"/>
        </w:rPr>
      </w:pPr>
      <w:r>
        <w:rPr>
          <w:rFonts w:hint="eastAsia" w:ascii="宋体" w:hAnsi="宋体" w:cs="宋体"/>
          <w:sz w:val="72"/>
          <w:szCs w:val="72"/>
          <w:highlight w:val="none"/>
        </w:rPr>
        <w:t>重庆医科大学经济合同</w:t>
      </w:r>
    </w:p>
    <w:p>
      <w:pPr>
        <w:spacing w:line="640" w:lineRule="exact"/>
        <w:jc w:val="center"/>
        <w:rPr>
          <w:rFonts w:ascii="宋体" w:hAnsi="宋体" w:cs="宋体"/>
          <w:sz w:val="32"/>
          <w:szCs w:val="32"/>
          <w:highlight w:val="none"/>
        </w:rPr>
      </w:pPr>
      <w:r>
        <w:rPr>
          <w:rFonts w:hint="eastAsia" w:ascii="宋体" w:hAnsi="宋体" w:cs="宋体"/>
          <w:sz w:val="32"/>
          <w:szCs w:val="32"/>
          <w:highlight w:val="none"/>
        </w:rPr>
        <w:t>（采购类）</w:t>
      </w:r>
    </w:p>
    <w:p>
      <w:pPr>
        <w:spacing w:line="640" w:lineRule="exact"/>
        <w:rPr>
          <w:rFonts w:ascii="宋体" w:hAnsi="宋体" w:cs="宋体"/>
          <w:szCs w:val="28"/>
          <w:highlight w:val="none"/>
        </w:rPr>
      </w:pPr>
    </w:p>
    <w:p>
      <w:pPr>
        <w:spacing w:line="640" w:lineRule="exact"/>
        <w:rPr>
          <w:rFonts w:ascii="宋体" w:hAnsi="宋体" w:cs="宋体"/>
          <w:szCs w:val="28"/>
          <w:highlight w:val="none"/>
        </w:rPr>
      </w:pPr>
    </w:p>
    <w:p>
      <w:pPr>
        <w:spacing w:line="640" w:lineRule="exact"/>
        <w:ind w:firstLine="640" w:firstLineChars="200"/>
        <w:rPr>
          <w:rFonts w:ascii="宋体" w:hAnsi="宋体" w:cs="宋体"/>
          <w:sz w:val="32"/>
          <w:szCs w:val="32"/>
          <w:highlight w:val="none"/>
        </w:rPr>
      </w:pPr>
      <w:r>
        <w:rPr>
          <w:rFonts w:hint="eastAsia" w:ascii="宋体" w:hAnsi="宋体" w:cs="宋体"/>
          <w:sz w:val="32"/>
          <w:szCs w:val="32"/>
          <w:highlight w:val="none"/>
        </w:rPr>
        <w:t xml:space="preserve">合同类型：■买卖合同  </w:t>
      </w:r>
      <w:r>
        <w:rPr>
          <w:rFonts w:hint="eastAsia" w:ascii="宋体" w:hAnsi="宋体" w:cs="宋体"/>
          <w:sz w:val="32"/>
          <w:szCs w:val="32"/>
          <w:highlight w:val="none"/>
        </w:rPr>
        <w:sym w:font="Wingdings 2" w:char="00A3"/>
      </w:r>
      <w:r>
        <w:rPr>
          <w:rFonts w:hint="eastAsia" w:ascii="宋体" w:hAnsi="宋体" w:cs="宋体"/>
          <w:sz w:val="32"/>
          <w:szCs w:val="32"/>
          <w:highlight w:val="none"/>
        </w:rPr>
        <w:t xml:space="preserve">建设工程合同 </w:t>
      </w:r>
      <w:r>
        <w:rPr>
          <w:rFonts w:hint="eastAsia" w:ascii="宋体" w:hAnsi="宋体" w:cs="宋体"/>
          <w:sz w:val="32"/>
          <w:szCs w:val="32"/>
          <w:highlight w:val="none"/>
        </w:rPr>
        <w:sym w:font="Wingdings 2" w:char="00A3"/>
      </w:r>
      <w:r>
        <w:rPr>
          <w:rFonts w:hint="eastAsia" w:ascii="宋体" w:hAnsi="宋体" w:cs="宋体"/>
          <w:sz w:val="32"/>
          <w:szCs w:val="32"/>
          <w:highlight w:val="none"/>
        </w:rPr>
        <w:t>物业服务合同</w:t>
      </w:r>
    </w:p>
    <w:p>
      <w:pPr>
        <w:spacing w:line="640" w:lineRule="exact"/>
        <w:ind w:firstLine="2240" w:firstLineChars="700"/>
        <w:rPr>
          <w:rFonts w:ascii="宋体" w:hAnsi="宋体" w:cs="宋体"/>
          <w:sz w:val="32"/>
          <w:szCs w:val="32"/>
          <w:highlight w:val="none"/>
        </w:rPr>
      </w:pPr>
      <w:r>
        <w:rPr>
          <w:rFonts w:hint="eastAsia" w:ascii="宋体" w:hAnsi="宋体" w:cs="宋体"/>
          <w:sz w:val="32"/>
          <w:szCs w:val="32"/>
          <w:highlight w:val="none"/>
        </w:rPr>
        <w:sym w:font="Wingdings 2" w:char="00A3"/>
      </w:r>
      <w:r>
        <w:rPr>
          <w:rFonts w:hint="eastAsia" w:ascii="宋体" w:hAnsi="宋体" w:cs="宋体"/>
          <w:sz w:val="32"/>
          <w:szCs w:val="32"/>
          <w:highlight w:val="none"/>
        </w:rPr>
        <w:t xml:space="preserve">委托合同  </w:t>
      </w:r>
      <w:r>
        <w:rPr>
          <w:rFonts w:hint="eastAsia" w:ascii="宋体" w:hAnsi="宋体" w:cs="宋体"/>
          <w:sz w:val="32"/>
          <w:szCs w:val="32"/>
          <w:highlight w:val="none"/>
        </w:rPr>
        <w:sym w:font="Wingdings 2" w:char="00A3"/>
      </w:r>
      <w:r>
        <w:rPr>
          <w:rFonts w:hint="eastAsia" w:ascii="宋体" w:hAnsi="宋体" w:cs="宋体"/>
          <w:sz w:val="32"/>
          <w:szCs w:val="32"/>
          <w:highlight w:val="none"/>
        </w:rPr>
        <w:t xml:space="preserve">租赁合同 </w:t>
      </w:r>
      <w:r>
        <w:rPr>
          <w:rFonts w:hint="eastAsia" w:ascii="宋体" w:hAnsi="宋体" w:cs="宋体"/>
          <w:sz w:val="32"/>
          <w:szCs w:val="32"/>
          <w:highlight w:val="none"/>
        </w:rPr>
        <w:sym w:font="Wingdings 2" w:char="00A3"/>
      </w:r>
      <w:r>
        <w:rPr>
          <w:rFonts w:hint="eastAsia" w:ascii="宋体" w:hAnsi="宋体" w:cs="宋体"/>
          <w:sz w:val="32"/>
          <w:szCs w:val="32"/>
          <w:highlight w:val="none"/>
        </w:rPr>
        <w:t xml:space="preserve">运输合同 </w:t>
      </w:r>
    </w:p>
    <w:p>
      <w:pPr>
        <w:spacing w:line="640" w:lineRule="exact"/>
        <w:ind w:firstLine="2240" w:firstLineChars="700"/>
        <w:rPr>
          <w:rFonts w:ascii="宋体" w:hAnsi="宋体" w:cs="宋体"/>
          <w:sz w:val="32"/>
          <w:szCs w:val="32"/>
          <w:highlight w:val="none"/>
          <w:u w:val="single"/>
        </w:rPr>
      </w:pPr>
      <w:r>
        <w:rPr>
          <w:rFonts w:hint="eastAsia" w:ascii="宋体" w:hAnsi="宋体" w:cs="宋体"/>
          <w:sz w:val="32"/>
          <w:szCs w:val="32"/>
          <w:highlight w:val="none"/>
        </w:rPr>
        <w:sym w:font="Wingdings 2" w:char="00A3"/>
      </w:r>
      <w:r>
        <w:rPr>
          <w:rFonts w:hint="eastAsia" w:ascii="宋体" w:hAnsi="宋体" w:cs="宋体"/>
          <w:sz w:val="32"/>
          <w:szCs w:val="32"/>
          <w:highlight w:val="none"/>
        </w:rPr>
        <w:t xml:space="preserve">其它典型合同 </w:t>
      </w:r>
    </w:p>
    <w:p>
      <w:pPr>
        <w:spacing w:line="640" w:lineRule="exact"/>
        <w:rPr>
          <w:rFonts w:ascii="宋体" w:hAnsi="宋体" w:cs="宋体"/>
          <w:sz w:val="32"/>
          <w:szCs w:val="32"/>
          <w:highlight w:val="none"/>
        </w:rPr>
      </w:pPr>
      <w:r>
        <w:rPr>
          <w:rFonts w:hint="eastAsia" w:ascii="宋体" w:hAnsi="宋体" w:cs="宋体"/>
          <w:sz w:val="32"/>
          <w:szCs w:val="32"/>
          <w:highlight w:val="none"/>
        </w:rPr>
        <w:t xml:space="preserve">    项目名称：</w:t>
      </w:r>
    </w:p>
    <w:p>
      <w:pPr>
        <w:spacing w:line="640" w:lineRule="exact"/>
        <w:rPr>
          <w:rFonts w:ascii="宋体" w:hAnsi="宋体" w:cs="宋体"/>
          <w:sz w:val="32"/>
          <w:szCs w:val="32"/>
          <w:highlight w:val="none"/>
        </w:rPr>
      </w:pPr>
    </w:p>
    <w:p>
      <w:pPr>
        <w:spacing w:line="640" w:lineRule="exact"/>
        <w:ind w:firstLine="640" w:firstLineChars="200"/>
        <w:rPr>
          <w:rFonts w:ascii="宋体" w:hAnsi="宋体" w:cs="宋体"/>
          <w:sz w:val="32"/>
          <w:szCs w:val="32"/>
          <w:highlight w:val="none"/>
        </w:rPr>
      </w:pPr>
      <w:r>
        <w:rPr>
          <w:rFonts w:hint="eastAsia" w:ascii="宋体" w:hAnsi="宋体" w:cs="宋体"/>
          <w:sz w:val="32"/>
          <w:szCs w:val="32"/>
          <w:highlight w:val="none"/>
        </w:rPr>
        <w:t>合同甲方：重庆医科大学</w:t>
      </w:r>
    </w:p>
    <w:p>
      <w:pPr>
        <w:spacing w:line="640" w:lineRule="exact"/>
        <w:ind w:firstLine="640" w:firstLineChars="200"/>
        <w:rPr>
          <w:rFonts w:ascii="宋体" w:hAnsi="宋体" w:cs="宋体"/>
          <w:sz w:val="32"/>
          <w:szCs w:val="32"/>
          <w:highlight w:val="none"/>
        </w:rPr>
      </w:pPr>
      <w:r>
        <w:rPr>
          <w:rFonts w:hint="eastAsia" w:ascii="宋体" w:hAnsi="宋体" w:cs="宋体"/>
          <w:sz w:val="32"/>
          <w:szCs w:val="32"/>
          <w:highlight w:val="none"/>
        </w:rPr>
        <w:t>合同乙方：</w:t>
      </w:r>
    </w:p>
    <w:p>
      <w:pPr>
        <w:spacing w:line="640" w:lineRule="exact"/>
        <w:ind w:firstLine="640" w:firstLineChars="200"/>
        <w:rPr>
          <w:rFonts w:ascii="宋体" w:hAnsi="宋体" w:cs="宋体"/>
          <w:sz w:val="32"/>
          <w:szCs w:val="32"/>
          <w:highlight w:val="none"/>
        </w:rPr>
      </w:pPr>
      <w:r>
        <w:rPr>
          <w:rFonts w:hint="eastAsia" w:ascii="宋体" w:hAnsi="宋体" w:cs="宋体"/>
          <w:sz w:val="32"/>
          <w:szCs w:val="32"/>
          <w:highlight w:val="none"/>
        </w:rPr>
        <w:t>合同金额：人民币元</w:t>
      </w:r>
    </w:p>
    <w:p>
      <w:pPr>
        <w:spacing w:line="640" w:lineRule="exact"/>
        <w:ind w:firstLine="640" w:firstLineChars="200"/>
        <w:rPr>
          <w:rFonts w:ascii="宋体" w:hAnsi="宋体" w:cs="宋体"/>
          <w:sz w:val="32"/>
          <w:szCs w:val="32"/>
          <w:highlight w:val="none"/>
        </w:rPr>
      </w:pPr>
      <w:r>
        <w:rPr>
          <w:rFonts w:hint="eastAsia" w:ascii="宋体" w:hAnsi="宋体" w:cs="宋体"/>
          <w:sz w:val="32"/>
          <w:szCs w:val="32"/>
          <w:highlight w:val="none"/>
        </w:rPr>
        <w:t>经费项目：</w:t>
      </w:r>
    </w:p>
    <w:p>
      <w:pPr>
        <w:spacing w:line="640" w:lineRule="exact"/>
        <w:rPr>
          <w:rFonts w:ascii="宋体" w:hAnsi="宋体" w:cs="宋体"/>
          <w:sz w:val="32"/>
          <w:szCs w:val="32"/>
          <w:highlight w:val="none"/>
        </w:rPr>
      </w:pPr>
    </w:p>
    <w:p>
      <w:pPr>
        <w:spacing w:line="640" w:lineRule="exact"/>
        <w:jc w:val="center"/>
        <w:rPr>
          <w:rFonts w:ascii="宋体" w:hAnsi="宋体" w:cs="宋体"/>
          <w:sz w:val="32"/>
          <w:szCs w:val="32"/>
          <w:highlight w:val="none"/>
        </w:rPr>
      </w:pPr>
      <w:r>
        <w:rPr>
          <w:rFonts w:hint="eastAsia" w:ascii="宋体" w:hAnsi="宋体" w:cs="宋体"/>
          <w:sz w:val="32"/>
          <w:szCs w:val="32"/>
          <w:highlight w:val="none"/>
        </w:rPr>
        <w:t>签订时间：     年   月   日</w:t>
      </w:r>
    </w:p>
    <w:p>
      <w:pPr>
        <w:rPr>
          <w:rFonts w:ascii="宋体" w:hAnsi="宋体" w:cs="宋体"/>
          <w:sz w:val="36"/>
          <w:szCs w:val="36"/>
          <w:highlight w:val="none"/>
        </w:rPr>
      </w:pPr>
    </w:p>
    <w:p>
      <w:pPr>
        <w:spacing w:line="480" w:lineRule="exact"/>
        <w:jc w:val="center"/>
        <w:rPr>
          <w:rFonts w:ascii="宋体" w:hAnsi="宋体" w:cs="宋体"/>
          <w:sz w:val="32"/>
          <w:szCs w:val="32"/>
          <w:highlight w:val="none"/>
        </w:rPr>
      </w:pPr>
    </w:p>
    <w:p>
      <w:pPr>
        <w:spacing w:line="480" w:lineRule="exact"/>
        <w:jc w:val="center"/>
        <w:rPr>
          <w:rFonts w:ascii="宋体" w:hAnsi="宋体" w:cs="宋体"/>
          <w:b/>
          <w:sz w:val="44"/>
          <w:highlight w:val="none"/>
        </w:rPr>
      </w:pPr>
    </w:p>
    <w:p>
      <w:pPr>
        <w:spacing w:line="480" w:lineRule="exact"/>
        <w:jc w:val="center"/>
        <w:rPr>
          <w:rFonts w:ascii="宋体" w:hAnsi="宋体" w:cs="宋体"/>
          <w:b/>
          <w:sz w:val="44"/>
          <w:highlight w:val="none"/>
        </w:rPr>
      </w:pPr>
      <w:r>
        <w:rPr>
          <w:rFonts w:hint="eastAsia" w:ascii="宋体" w:hAnsi="宋体" w:cs="宋体"/>
          <w:b/>
          <w:sz w:val="44"/>
          <w:highlight w:val="none"/>
        </w:rPr>
        <w:t>重庆市政府采购合同（经济合同）</w:t>
      </w:r>
    </w:p>
    <w:p>
      <w:pPr>
        <w:spacing w:line="480" w:lineRule="exact"/>
        <w:jc w:val="center"/>
        <w:rPr>
          <w:rFonts w:ascii="宋体" w:hAnsi="宋体" w:cs="宋体"/>
          <w:highlight w:val="none"/>
        </w:rPr>
      </w:pPr>
      <w:r>
        <w:rPr>
          <w:rFonts w:hint="eastAsia" w:ascii="宋体" w:hAnsi="宋体" w:cs="宋体"/>
          <w:highlight w:val="none"/>
        </w:rPr>
        <w:t>（项目号：     ）</w:t>
      </w:r>
    </w:p>
    <w:p>
      <w:pPr>
        <w:spacing w:line="480" w:lineRule="exact"/>
        <w:rPr>
          <w:rFonts w:ascii="宋体" w:hAnsi="宋体" w:cs="宋体"/>
          <w:sz w:val="24"/>
          <w:highlight w:val="none"/>
        </w:rPr>
      </w:pPr>
      <w:r>
        <w:rPr>
          <w:rFonts w:hint="eastAsia" w:ascii="宋体" w:hAnsi="宋体" w:cs="宋体"/>
          <w:sz w:val="24"/>
          <w:highlight w:val="none"/>
        </w:rPr>
        <w:t>甲方（需方、</w:t>
      </w:r>
      <w:r>
        <w:rPr>
          <w:rFonts w:hint="eastAsia" w:ascii="宋体" w:hAnsi="宋体" w:cs="宋体"/>
          <w:bCs/>
          <w:sz w:val="24"/>
          <w:highlight w:val="none"/>
        </w:rPr>
        <w:t>采购人</w:t>
      </w:r>
      <w:r>
        <w:rPr>
          <w:rFonts w:hint="eastAsia" w:ascii="宋体" w:hAnsi="宋体" w:cs="宋体"/>
          <w:sz w:val="24"/>
          <w:highlight w:val="none"/>
        </w:rPr>
        <w:t>）：</w:t>
      </w:r>
      <w:r>
        <w:rPr>
          <w:rFonts w:hint="eastAsia" w:ascii="宋体" w:hAnsi="宋体" w:cs="宋体"/>
          <w:sz w:val="24"/>
          <w:highlight w:val="none"/>
          <w:u w:val="single"/>
        </w:rPr>
        <w:t>_ _重庆医科大学_ _</w:t>
      </w:r>
      <w:r>
        <w:rPr>
          <w:rFonts w:hint="eastAsia" w:ascii="宋体" w:hAnsi="宋体" w:cs="宋体"/>
          <w:sz w:val="24"/>
          <w:highlight w:val="none"/>
        </w:rPr>
        <w:t xml:space="preserve">       计价单位：</w:t>
      </w:r>
      <w:r>
        <w:rPr>
          <w:rFonts w:hint="eastAsia" w:ascii="宋体" w:hAnsi="宋体" w:cs="宋体"/>
          <w:sz w:val="24"/>
          <w:highlight w:val="none"/>
          <w:u w:val="single"/>
        </w:rPr>
        <w:t>_人民币：元__</w:t>
      </w:r>
    </w:p>
    <w:p>
      <w:pPr>
        <w:spacing w:line="480" w:lineRule="exact"/>
        <w:rPr>
          <w:rFonts w:ascii="宋体" w:hAnsi="宋体" w:cs="宋体"/>
          <w:sz w:val="24"/>
          <w:highlight w:val="none"/>
        </w:rPr>
      </w:pPr>
      <w:r>
        <w:rPr>
          <w:rFonts w:hint="eastAsia" w:ascii="宋体" w:hAnsi="宋体" w:cs="宋体"/>
          <w:sz w:val="24"/>
          <w:highlight w:val="none"/>
        </w:rPr>
        <w:t>乙方（供方、</w:t>
      </w:r>
      <w:r>
        <w:rPr>
          <w:rFonts w:hint="eastAsia" w:ascii="宋体" w:hAnsi="宋体" w:cs="宋体"/>
          <w:bCs/>
          <w:sz w:val="24"/>
          <w:highlight w:val="none"/>
        </w:rPr>
        <w:t>中标人</w:t>
      </w:r>
      <w:r>
        <w:rPr>
          <w:rFonts w:hint="eastAsia" w:ascii="宋体" w:hAnsi="宋体" w:cs="宋体"/>
          <w:sz w:val="24"/>
          <w:highlight w:val="none"/>
        </w:rPr>
        <w:t>）：___________________      计量单位：_____________</w:t>
      </w:r>
    </w:p>
    <w:p>
      <w:pPr>
        <w:spacing w:line="480" w:lineRule="exact"/>
        <w:ind w:firstLine="420" w:firstLineChars="200"/>
        <w:rPr>
          <w:rFonts w:ascii="宋体" w:hAnsi="宋体" w:cs="宋体"/>
          <w:sz w:val="21"/>
          <w:szCs w:val="21"/>
          <w:highlight w:val="none"/>
        </w:rPr>
      </w:pPr>
      <w:r>
        <w:rPr>
          <w:rFonts w:hint="eastAsia" w:ascii="宋体" w:hAnsi="宋体" w:cs="宋体"/>
          <w:sz w:val="21"/>
          <w:szCs w:val="21"/>
          <w:highlight w:val="none"/>
        </w:rPr>
        <w:t>根据《中华人民共和国民法典》《中华人民共和国政府采购法》等法律规定，经双方协商一致，达成以下合同：</w:t>
      </w:r>
    </w:p>
    <w:tbl>
      <w:tblPr>
        <w:tblStyle w:val="5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宋体" w:hAnsi="宋体" w:cs="宋体"/>
                <w:sz w:val="21"/>
                <w:szCs w:val="21"/>
                <w:highlight w:val="none"/>
              </w:rPr>
            </w:pPr>
            <w:r>
              <w:rPr>
                <w:rFonts w:hint="eastAsia" w:ascii="宋体" w:hAnsi="宋体" w:cs="宋体"/>
                <w:sz w:val="21"/>
                <w:szCs w:val="21"/>
                <w:highlight w:val="none"/>
              </w:rPr>
              <w:t>项目名称</w:t>
            </w:r>
          </w:p>
          <w:p>
            <w:pPr>
              <w:spacing w:line="300" w:lineRule="exact"/>
              <w:jc w:val="center"/>
              <w:rPr>
                <w:rFonts w:ascii="宋体" w:hAnsi="宋体" w:cs="宋体"/>
                <w:sz w:val="21"/>
                <w:szCs w:val="21"/>
                <w:highlight w:val="none"/>
              </w:rPr>
            </w:pPr>
            <w:r>
              <w:rPr>
                <w:rFonts w:hint="eastAsia" w:ascii="宋体" w:hAnsi="宋体" w:cs="宋体"/>
                <w:sz w:val="21"/>
                <w:szCs w:val="21"/>
                <w:highlight w:val="none"/>
              </w:rPr>
              <w:t>（货物名称）</w:t>
            </w:r>
          </w:p>
        </w:tc>
        <w:tc>
          <w:tcPr>
            <w:tcW w:w="992" w:type="dxa"/>
            <w:vAlign w:val="center"/>
          </w:tcPr>
          <w:p>
            <w:pPr>
              <w:spacing w:line="300" w:lineRule="exact"/>
              <w:jc w:val="center"/>
              <w:rPr>
                <w:rFonts w:ascii="宋体" w:hAnsi="宋体" w:cs="宋体"/>
                <w:sz w:val="21"/>
                <w:szCs w:val="21"/>
                <w:highlight w:val="none"/>
              </w:rPr>
            </w:pPr>
            <w:r>
              <w:rPr>
                <w:rFonts w:hint="eastAsia" w:ascii="宋体" w:hAnsi="宋体" w:cs="宋体"/>
                <w:sz w:val="21"/>
                <w:szCs w:val="21"/>
                <w:highlight w:val="none"/>
              </w:rPr>
              <w:t>品牌规格型号</w:t>
            </w:r>
          </w:p>
        </w:tc>
        <w:tc>
          <w:tcPr>
            <w:tcW w:w="1276" w:type="dxa"/>
            <w:vAlign w:val="center"/>
          </w:tcPr>
          <w:p>
            <w:pPr>
              <w:spacing w:line="300" w:lineRule="exact"/>
              <w:jc w:val="center"/>
              <w:rPr>
                <w:rFonts w:ascii="宋体" w:hAnsi="宋体" w:cs="宋体"/>
                <w:sz w:val="21"/>
                <w:szCs w:val="21"/>
                <w:highlight w:val="none"/>
              </w:rPr>
            </w:pPr>
            <w:r>
              <w:rPr>
                <w:rFonts w:hint="eastAsia" w:ascii="宋体" w:hAnsi="宋体" w:cs="宋体"/>
                <w:sz w:val="21"/>
                <w:szCs w:val="21"/>
                <w:highlight w:val="none"/>
              </w:rPr>
              <w:t>数量/单位</w:t>
            </w:r>
          </w:p>
        </w:tc>
        <w:tc>
          <w:tcPr>
            <w:tcW w:w="992" w:type="dxa"/>
            <w:vAlign w:val="center"/>
          </w:tcPr>
          <w:p>
            <w:pPr>
              <w:spacing w:line="300" w:lineRule="exact"/>
              <w:jc w:val="center"/>
              <w:rPr>
                <w:rFonts w:ascii="宋体" w:hAnsi="宋体" w:cs="宋体"/>
                <w:sz w:val="21"/>
                <w:szCs w:val="21"/>
                <w:highlight w:val="none"/>
              </w:rPr>
            </w:pPr>
            <w:r>
              <w:rPr>
                <w:rFonts w:hint="eastAsia" w:ascii="宋体" w:hAnsi="宋体" w:cs="宋体"/>
                <w:sz w:val="21"/>
                <w:szCs w:val="21"/>
                <w:highlight w:val="none"/>
              </w:rPr>
              <w:t>单价（元）</w:t>
            </w:r>
          </w:p>
        </w:tc>
        <w:tc>
          <w:tcPr>
            <w:tcW w:w="851" w:type="dxa"/>
            <w:vAlign w:val="center"/>
          </w:tcPr>
          <w:p>
            <w:pPr>
              <w:spacing w:line="300" w:lineRule="exact"/>
              <w:jc w:val="center"/>
              <w:rPr>
                <w:rFonts w:ascii="宋体" w:hAnsi="宋体" w:cs="宋体"/>
                <w:sz w:val="21"/>
                <w:szCs w:val="21"/>
                <w:highlight w:val="none"/>
              </w:rPr>
            </w:pPr>
            <w:r>
              <w:rPr>
                <w:rFonts w:hint="eastAsia" w:ascii="宋体" w:hAnsi="宋体" w:cs="宋体"/>
                <w:sz w:val="21"/>
                <w:szCs w:val="21"/>
                <w:highlight w:val="none"/>
              </w:rPr>
              <w:t>总价（元）</w:t>
            </w:r>
          </w:p>
        </w:tc>
        <w:tc>
          <w:tcPr>
            <w:tcW w:w="2423" w:type="dxa"/>
            <w:vAlign w:val="center"/>
          </w:tcPr>
          <w:p>
            <w:pPr>
              <w:spacing w:line="300" w:lineRule="exact"/>
              <w:jc w:val="center"/>
              <w:rPr>
                <w:rFonts w:ascii="宋体" w:hAnsi="宋体" w:cs="宋体"/>
                <w:sz w:val="21"/>
                <w:szCs w:val="21"/>
                <w:highlight w:val="none"/>
              </w:rPr>
            </w:pPr>
            <w:r>
              <w:rPr>
                <w:rFonts w:hint="eastAsia" w:ascii="宋体" w:hAnsi="宋体" w:cs="宋体"/>
                <w:sz w:val="21"/>
                <w:szCs w:val="21"/>
                <w:highlight w:val="none"/>
              </w:rPr>
              <w:t>交付时间</w:t>
            </w:r>
          </w:p>
          <w:p>
            <w:pPr>
              <w:spacing w:line="300" w:lineRule="exact"/>
              <w:jc w:val="center"/>
              <w:rPr>
                <w:rFonts w:ascii="宋体" w:hAnsi="宋体" w:cs="宋体"/>
                <w:sz w:val="21"/>
                <w:szCs w:val="21"/>
                <w:highlight w:val="none"/>
              </w:rPr>
            </w:pPr>
            <w:r>
              <w:rPr>
                <w:rFonts w:hint="eastAsia" w:ascii="宋体" w:hAnsi="宋体" w:cs="宋体"/>
                <w:sz w:val="21"/>
                <w:szCs w:val="21"/>
                <w:highlight w:val="none"/>
              </w:rPr>
              <w:t>（履行时间）</w:t>
            </w:r>
          </w:p>
        </w:tc>
        <w:tc>
          <w:tcPr>
            <w:tcW w:w="1595"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交货地点</w:t>
            </w:r>
          </w:p>
          <w:p>
            <w:pPr>
              <w:spacing w:line="240" w:lineRule="atLeast"/>
              <w:jc w:val="center"/>
              <w:rPr>
                <w:rFonts w:ascii="宋体" w:hAnsi="宋体" w:cs="宋体"/>
                <w:sz w:val="21"/>
                <w:szCs w:val="21"/>
                <w:highlight w:val="none"/>
              </w:rPr>
            </w:pPr>
            <w:r>
              <w:rPr>
                <w:rFonts w:hint="eastAsia" w:ascii="宋体" w:hAnsi="宋体" w:cs="宋体"/>
                <w:sz w:val="21"/>
                <w:szCs w:val="21"/>
                <w:highlight w:val="none"/>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ascii="宋体" w:hAnsi="宋体" w:cs="宋体"/>
                <w:sz w:val="21"/>
                <w:szCs w:val="21"/>
                <w:highlight w:val="none"/>
              </w:rPr>
            </w:pPr>
          </w:p>
        </w:tc>
        <w:tc>
          <w:tcPr>
            <w:tcW w:w="992" w:type="dxa"/>
            <w:vAlign w:val="center"/>
          </w:tcPr>
          <w:p>
            <w:pPr>
              <w:spacing w:line="300" w:lineRule="exact"/>
              <w:jc w:val="center"/>
              <w:rPr>
                <w:rFonts w:ascii="宋体" w:hAnsi="宋体" w:cs="宋体"/>
                <w:sz w:val="21"/>
                <w:szCs w:val="21"/>
                <w:highlight w:val="none"/>
              </w:rPr>
            </w:pPr>
          </w:p>
        </w:tc>
        <w:tc>
          <w:tcPr>
            <w:tcW w:w="1276" w:type="dxa"/>
            <w:vAlign w:val="center"/>
          </w:tcPr>
          <w:p>
            <w:pPr>
              <w:spacing w:line="300" w:lineRule="exact"/>
              <w:jc w:val="center"/>
              <w:rPr>
                <w:rFonts w:ascii="宋体" w:hAnsi="宋体" w:cs="宋体"/>
                <w:sz w:val="21"/>
                <w:szCs w:val="21"/>
                <w:highlight w:val="none"/>
              </w:rPr>
            </w:pPr>
          </w:p>
        </w:tc>
        <w:tc>
          <w:tcPr>
            <w:tcW w:w="992" w:type="dxa"/>
            <w:vAlign w:val="center"/>
          </w:tcPr>
          <w:p>
            <w:pPr>
              <w:spacing w:line="300" w:lineRule="exact"/>
              <w:jc w:val="center"/>
              <w:rPr>
                <w:rFonts w:ascii="宋体" w:hAnsi="宋体" w:cs="宋体"/>
                <w:sz w:val="21"/>
                <w:szCs w:val="21"/>
                <w:highlight w:val="none"/>
              </w:rPr>
            </w:pPr>
          </w:p>
        </w:tc>
        <w:tc>
          <w:tcPr>
            <w:tcW w:w="851" w:type="dxa"/>
            <w:vAlign w:val="center"/>
          </w:tcPr>
          <w:p>
            <w:pPr>
              <w:spacing w:line="300" w:lineRule="exact"/>
              <w:jc w:val="center"/>
              <w:rPr>
                <w:rFonts w:ascii="宋体" w:hAnsi="宋体" w:cs="宋体"/>
                <w:sz w:val="21"/>
                <w:szCs w:val="21"/>
                <w:highlight w:val="none"/>
              </w:rPr>
            </w:pPr>
          </w:p>
        </w:tc>
        <w:tc>
          <w:tcPr>
            <w:tcW w:w="2423" w:type="dxa"/>
            <w:vAlign w:val="center"/>
          </w:tcPr>
          <w:p>
            <w:pPr>
              <w:spacing w:line="300" w:lineRule="exact"/>
              <w:jc w:val="center"/>
              <w:rPr>
                <w:rFonts w:ascii="宋体" w:hAnsi="宋体" w:cs="宋体"/>
                <w:sz w:val="21"/>
                <w:szCs w:val="21"/>
                <w:highlight w:val="none"/>
              </w:rPr>
            </w:pPr>
            <w:r>
              <w:rPr>
                <w:rFonts w:hint="eastAsia" w:ascii="宋体" w:hAnsi="宋体" w:cs="宋体"/>
                <w:sz w:val="21"/>
                <w:szCs w:val="21"/>
                <w:highlight w:val="none"/>
              </w:rPr>
              <w:t>乙方应在_____________内交货并完成安装调试</w:t>
            </w:r>
          </w:p>
        </w:tc>
        <w:tc>
          <w:tcPr>
            <w:tcW w:w="1595"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ascii="宋体" w:hAnsi="宋体" w:cs="宋体"/>
                <w:sz w:val="21"/>
                <w:szCs w:val="21"/>
                <w:highlight w:val="none"/>
              </w:rPr>
            </w:pPr>
            <w:r>
              <w:rPr>
                <w:rFonts w:hint="eastAsia" w:ascii="宋体" w:hAnsi="宋体" w:cs="宋体"/>
                <w:sz w:val="21"/>
                <w:szCs w:val="21"/>
                <w:highlight w:val="none"/>
              </w:rPr>
              <w:t>合同总价（含税）：人民币       元（大写：       圆整）。备注：</w:t>
            </w:r>
          </w:p>
          <w:p>
            <w:pPr>
              <w:spacing w:line="240" w:lineRule="atLeast"/>
              <w:jc w:val="left"/>
              <w:rPr>
                <w:rFonts w:ascii="宋体" w:hAnsi="宋体" w:cs="宋体"/>
                <w:sz w:val="21"/>
                <w:szCs w:val="21"/>
                <w:highlight w:val="none"/>
              </w:rPr>
            </w:pPr>
            <w:r>
              <w:rPr>
                <w:rFonts w:hint="eastAsia" w:ascii="宋体" w:hAnsi="宋体" w:cs="宋体"/>
                <w:sz w:val="21"/>
                <w:szCs w:val="21"/>
                <w:highlight w:val="none"/>
              </w:rPr>
              <w:t>1.本项目为“交钥匙工程”，上述合同总价为“包干价”，包括但不限于：乙方为履行合同所需的</w:t>
            </w:r>
            <w:r>
              <w:rPr>
                <w:rFonts w:hint="eastAsia" w:ascii="宋体" w:hAnsi="宋体" w:cs="宋体"/>
                <w:sz w:val="24"/>
                <w:highlight w:val="none"/>
              </w:rPr>
              <w:t>___________________</w:t>
            </w:r>
            <w:r>
              <w:rPr>
                <w:rFonts w:hint="eastAsia" w:ascii="宋体" w:hAnsi="宋体" w:cs="宋体"/>
                <w:sz w:val="21"/>
                <w:szCs w:val="21"/>
                <w:highlight w:val="none"/>
              </w:rPr>
              <w:t>及所有税费。乙方投标时已充分考虑到所有费用，此外，甲方不额外支付任何费用。</w:t>
            </w:r>
          </w:p>
          <w:p>
            <w:pPr>
              <w:spacing w:line="240" w:lineRule="atLeast"/>
              <w:rPr>
                <w:rFonts w:ascii="宋体" w:hAnsi="宋体" w:cs="宋体"/>
                <w:sz w:val="21"/>
                <w:szCs w:val="21"/>
                <w:highlight w:val="none"/>
              </w:rPr>
            </w:pPr>
            <w:r>
              <w:rPr>
                <w:rFonts w:hint="eastAsia" w:ascii="宋体" w:hAnsi="宋体" w:cs="宋体"/>
                <w:sz w:val="21"/>
                <w:szCs w:val="21"/>
                <w:highlight w:val="none"/>
              </w:rPr>
              <w:t>2.本合同商务参数详见附件1，技术参数详见附件2。甲方用户单位已逐页确认，符合其采购需求。</w:t>
            </w:r>
          </w:p>
          <w:p>
            <w:pPr>
              <w:spacing w:line="240" w:lineRule="atLeast"/>
              <w:rPr>
                <w:rFonts w:ascii="宋体" w:hAnsi="宋体" w:cs="宋体"/>
                <w:sz w:val="21"/>
                <w:szCs w:val="21"/>
                <w:highlight w:val="none"/>
              </w:rPr>
            </w:pPr>
            <w:r>
              <w:rPr>
                <w:rFonts w:hint="eastAsia" w:ascii="宋体" w:hAnsi="宋体" w:cs="宋体"/>
                <w:sz w:val="21"/>
                <w:szCs w:val="21"/>
                <w:highlight w:val="none"/>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（一）质保期限：</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（二）保修范围：</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（三）服务措施：</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1.质保期限内，乙方提供的货物因货物本身的质量问题发生故障，乙方应负责免费更换。对达不到技术参数要求者，甲方可根据实际情况，选择按以下第</w:t>
            </w:r>
            <w:r>
              <w:rPr>
                <w:rFonts w:hint="eastAsia" w:ascii="宋体" w:hAnsi="宋体" w:cs="宋体"/>
                <w:sz w:val="21"/>
                <w:szCs w:val="21"/>
                <w:highlight w:val="none"/>
                <w:u w:val="single"/>
              </w:rPr>
              <w:t xml:space="preserve"> （1） </w:t>
            </w:r>
            <w:r>
              <w:rPr>
                <w:rFonts w:hint="eastAsia" w:ascii="宋体" w:hAnsi="宋体" w:cs="宋体"/>
                <w:sz w:val="21"/>
                <w:szCs w:val="21"/>
                <w:highlight w:val="none"/>
              </w:rPr>
              <w:t>类办法处理：</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（1）更换：由乙方承担所发生的全部费用。</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（2）退货处理：乙方应退还甲方支付的全部合同款，同时应承担该货物的直接费用（运输、保险、检验、货款利息及银行手续费等）。</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2.质保期限内，乙方应当及时采取以下措施，并承担所有费用：</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2）现场响应：甲方遇到使用和技术问题，电话、网络咨询不能解决的，乙方和制造商应在小时内到达甲方现场进行处理，确保货物正常工作；到达后，无法在小时内解决的，应当在小时内提供符合质量标准且确保正常工作的备用品，协助甲方用户单位正常开展科研教学管理工作。</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（四）质保期后服务：</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1.继续提供电话或网络在线咨询：乙方和制造商应同样提供免费电话、网络咨询服务，并应承诺提供上门维护服务。</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2.继续提供优惠价售后服务：甲方需要继续由乙方和制造商提供售后服务的，乙方和制造商应当以优惠价提供售后服务；若甲方需要添购，乙方应当依法与甲方另行达成补充协议。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（五）备品备件及易损件：</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二、随机备品、附件、工具数量及供应方法：</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三、交提货方式：</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（二）乙方应当在</w:t>
            </w:r>
            <w:r>
              <w:rPr>
                <w:rFonts w:hint="eastAsia" w:ascii="宋体" w:hAnsi="宋体" w:cs="宋体"/>
                <w:sz w:val="24"/>
                <w:highlight w:val="none"/>
              </w:rPr>
              <w:t>_____________</w:t>
            </w:r>
            <w:r>
              <w:rPr>
                <w:rFonts w:hint="eastAsia" w:ascii="宋体" w:hAnsi="宋体" w:cs="宋体"/>
                <w:sz w:val="21"/>
                <w:szCs w:val="21"/>
                <w:highlight w:val="none"/>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四、验收标准、方法：</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（一）货物到达现场后，乙方应在甲方用户单位在场的情况下当面开箱，共同清点、检查，作出开箱记录，双方签字确认。</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（二）乙方应保证货物到达甲方所在地完好无损，如有缺漏、损坏，由乙方负责调换、补齐或赔偿。</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（三）乙方应随货物提供完备的技术资料、装箱单和合格证等，并派遣专业技术人员进行现场安装调试。验收合格条件如下：</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1.货物商务参数、技术参数与本合同一致，性能指标达到规定的标准。</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2.货物技术资料、装箱单、合格证等资料齐全。</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3.在系统试运行期间所出现的问题得到解决，并运行正常。</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4.在规定时间内完成交货并验收，并经甲方确认。</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（六）大型或者复杂的政府采购产品项目，甲方应当邀请国家认可的质量检测机构参加验收工作。</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（七）甲方需要制造商对乙方交付的产品（包括质量、技术参数等）进行确认的，制造商应予以配合，并出具书面意见。</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（八）产品包装材料归甲方所有。乙方负责及时将产品包装材料清运离开甲方所在地，由此产生的费用由乙方自行承担。</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如乙方对上述（一）至（八）项约定有异议，请自本合同生效后个自然日内向甲方提出。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五、付款方式：</w:t>
            </w:r>
          </w:p>
          <w:p>
            <w:pPr>
              <w:pStyle w:val="32"/>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（一）履约担保：中标成交结果发布后、签订本合同</w:t>
            </w:r>
            <w:r>
              <w:rPr>
                <w:rFonts w:hint="eastAsia" w:ascii="宋体" w:hAnsi="宋体" w:cs="宋体"/>
                <w:sz w:val="21"/>
                <w:szCs w:val="21"/>
                <w:highlight w:val="none"/>
                <w:u w:val="single"/>
              </w:rPr>
              <w:t>10</w:t>
            </w:r>
            <w:r>
              <w:rPr>
                <w:rFonts w:hint="eastAsia" w:ascii="宋体" w:hAnsi="宋体" w:cs="宋体"/>
                <w:sz w:val="21"/>
                <w:szCs w:val="21"/>
                <w:highlight w:val="none"/>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2"/>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（二）乙方按采购合同交货并安装调试完成，经验收合格后由甲方出具项目验收报告。</w:t>
            </w:r>
          </w:p>
          <w:p>
            <w:pPr>
              <w:pStyle w:val="32"/>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（三）付款方法：货物</w:t>
            </w:r>
            <w:r>
              <w:rPr>
                <w:rFonts w:hint="eastAsia" w:ascii="宋体" w:hAnsi="宋体" w:cs="宋体"/>
                <w:sz w:val="21"/>
                <w:szCs w:val="21"/>
                <w:highlight w:val="none"/>
                <w:u w:val="single"/>
              </w:rPr>
              <w:t>全部交付/分期交付</w:t>
            </w:r>
            <w:r>
              <w:rPr>
                <w:rFonts w:hint="eastAsia" w:ascii="宋体" w:hAnsi="宋体" w:cs="宋体"/>
                <w:sz w:val="21"/>
                <w:szCs w:val="21"/>
                <w:highlight w:val="none"/>
              </w:rPr>
              <w:t>并经甲方验收合格，乙方向甲方开具等额有效的增值税专用发票（一般纳税人）后，甲方以银行转账方式按</w:t>
            </w:r>
            <w:r>
              <w:rPr>
                <w:rFonts w:hint="eastAsia" w:ascii="宋体" w:hAnsi="宋体" w:cs="宋体"/>
                <w:sz w:val="21"/>
                <w:szCs w:val="21"/>
                <w:highlight w:val="none"/>
                <w:u w:val="single"/>
              </w:rPr>
              <w:t>本合同总价/相应款项</w:t>
            </w:r>
            <w:r>
              <w:rPr>
                <w:rFonts w:hint="eastAsia" w:ascii="宋体" w:hAnsi="宋体" w:cs="宋体"/>
                <w:sz w:val="21"/>
                <w:szCs w:val="21"/>
                <w:highlight w:val="none"/>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六、违约责任：</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（一）乙方在投标时未明确提出异议，视为完全响应甲方在本合同内的各项要求。</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（二）乙方应按本合同第一条“质量要求和技术标准”提供货物。若乙方超过</w:t>
            </w:r>
            <w:r>
              <w:rPr>
                <w:rFonts w:hint="eastAsia" w:ascii="宋体" w:hAnsi="宋体" w:cs="宋体"/>
                <w:sz w:val="21"/>
                <w:szCs w:val="21"/>
                <w:highlight w:val="none"/>
                <w:u w:val="single"/>
              </w:rPr>
              <w:t>7</w:t>
            </w:r>
            <w:r>
              <w:rPr>
                <w:rFonts w:hint="eastAsia" w:ascii="宋体" w:hAnsi="宋体" w:cs="宋体"/>
                <w:sz w:val="21"/>
                <w:szCs w:val="21"/>
                <w:highlight w:val="none"/>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乙方应当按第三条“交提货方式”按时交付合格货物。若乙方逾期，每延期</w:t>
            </w:r>
            <w:r>
              <w:rPr>
                <w:rFonts w:hint="eastAsia" w:ascii="宋体" w:hAnsi="宋体" w:cs="宋体"/>
                <w:sz w:val="21"/>
                <w:szCs w:val="21"/>
                <w:highlight w:val="none"/>
                <w:u w:val="single"/>
              </w:rPr>
              <w:t>1</w:t>
            </w:r>
            <w:r>
              <w:rPr>
                <w:rFonts w:hint="eastAsia" w:ascii="宋体" w:hAnsi="宋体" w:cs="宋体"/>
                <w:sz w:val="21"/>
                <w:szCs w:val="21"/>
                <w:highlight w:val="none"/>
              </w:rPr>
              <w:t>个自然日应当按合同总价的</w:t>
            </w:r>
            <w:r>
              <w:rPr>
                <w:rFonts w:hint="eastAsia" w:ascii="宋体" w:hAnsi="宋体" w:cs="宋体"/>
                <w:sz w:val="21"/>
                <w:szCs w:val="21"/>
                <w:highlight w:val="none"/>
                <w:u w:val="single"/>
              </w:rPr>
              <w:t>1</w:t>
            </w:r>
            <w:r>
              <w:rPr>
                <w:rFonts w:hint="eastAsia" w:ascii="宋体" w:hAnsi="宋体" w:cs="宋体"/>
                <w:sz w:val="21"/>
                <w:szCs w:val="21"/>
                <w:highlight w:val="none"/>
              </w:rPr>
              <w:t>‰向甲方支付违约金（最高不超过合同总价的</w:t>
            </w:r>
            <w:r>
              <w:rPr>
                <w:rFonts w:hint="eastAsia" w:ascii="宋体" w:hAnsi="宋体" w:cs="宋体"/>
                <w:sz w:val="21"/>
                <w:szCs w:val="21"/>
                <w:highlight w:val="none"/>
                <w:u w:val="single"/>
              </w:rPr>
              <w:t>10</w:t>
            </w:r>
            <w:r>
              <w:rPr>
                <w:rFonts w:hint="eastAsia" w:ascii="宋体" w:hAnsi="宋体" w:cs="宋体"/>
                <w:sz w:val="21"/>
                <w:szCs w:val="21"/>
                <w:highlight w:val="none"/>
              </w:rPr>
              <w:t>%），甲方可在乙方缴纳的履约保证金内扣除；若乙方逾期超过</w:t>
            </w:r>
            <w:r>
              <w:rPr>
                <w:rFonts w:hint="eastAsia" w:ascii="宋体" w:hAnsi="宋体" w:cs="宋体"/>
                <w:sz w:val="21"/>
                <w:szCs w:val="21"/>
                <w:highlight w:val="none"/>
                <w:u w:val="single"/>
              </w:rPr>
              <w:t>60</w:t>
            </w:r>
            <w:r>
              <w:rPr>
                <w:rFonts w:hint="eastAsia" w:ascii="宋体" w:hAnsi="宋体" w:cs="宋体"/>
                <w:sz w:val="21"/>
                <w:szCs w:val="21"/>
                <w:highlight w:val="none"/>
              </w:rPr>
              <w:t>个自然日的，甲方有权解除本合同，没收全部履约保证金，并要求乙方返还甲方已支付款项；乙方赔偿甲方全部损失。</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（五）履约保证金减少的，乙方未按照甲方要求补足履约保证金的，每逾期</w:t>
            </w:r>
            <w:r>
              <w:rPr>
                <w:rFonts w:hint="eastAsia" w:ascii="宋体" w:hAnsi="宋体" w:cs="宋体"/>
                <w:sz w:val="21"/>
                <w:szCs w:val="21"/>
                <w:highlight w:val="none"/>
                <w:u w:val="single"/>
              </w:rPr>
              <w:t>1</w:t>
            </w:r>
            <w:r>
              <w:rPr>
                <w:rFonts w:hint="eastAsia" w:ascii="宋体" w:hAnsi="宋体" w:cs="宋体"/>
                <w:sz w:val="21"/>
                <w:szCs w:val="21"/>
                <w:highlight w:val="none"/>
              </w:rPr>
              <w:t>个自然日，甲方有权要求乙方支付履约保证金总额</w:t>
            </w:r>
            <w:r>
              <w:rPr>
                <w:rFonts w:hint="eastAsia" w:ascii="宋体" w:hAnsi="宋体" w:cs="宋体"/>
                <w:sz w:val="21"/>
                <w:szCs w:val="21"/>
                <w:highlight w:val="none"/>
                <w:u w:val="single"/>
              </w:rPr>
              <w:t>0.1</w:t>
            </w:r>
            <w:r>
              <w:rPr>
                <w:rFonts w:hint="eastAsia" w:ascii="宋体" w:hAnsi="宋体" w:cs="宋体"/>
                <w:sz w:val="21"/>
                <w:szCs w:val="21"/>
                <w:highlight w:val="none"/>
              </w:rPr>
              <w:t>%的违约金；逾期超过</w:t>
            </w:r>
            <w:r>
              <w:rPr>
                <w:rFonts w:hint="eastAsia" w:ascii="宋体" w:hAnsi="宋体" w:cs="宋体"/>
                <w:sz w:val="21"/>
                <w:szCs w:val="21"/>
                <w:highlight w:val="none"/>
                <w:u w:val="single"/>
              </w:rPr>
              <w:t>60</w:t>
            </w:r>
            <w:r>
              <w:rPr>
                <w:rFonts w:hint="eastAsia" w:ascii="宋体" w:hAnsi="宋体" w:cs="宋体"/>
                <w:sz w:val="21"/>
                <w:szCs w:val="21"/>
                <w:highlight w:val="none"/>
              </w:rPr>
              <w:t>个自然日，甲方有权解除合同，要求乙方支付前述违约金并没收剩余的履约保证金。</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（八）甲乙双方若不能按互谅互惠原则协商解决争议，甚至在</w:t>
            </w:r>
            <w:r>
              <w:rPr>
                <w:rFonts w:hint="eastAsia" w:ascii="宋体" w:hAnsi="宋体" w:cs="宋体"/>
                <w:sz w:val="21"/>
                <w:szCs w:val="21"/>
                <w:highlight w:val="none"/>
                <w:u w:val="single"/>
              </w:rPr>
              <w:t>60</w:t>
            </w:r>
            <w:r>
              <w:rPr>
                <w:rFonts w:hint="eastAsia" w:ascii="宋体" w:hAnsi="宋体" w:cs="宋体"/>
                <w:sz w:val="21"/>
                <w:szCs w:val="21"/>
                <w:highlight w:val="none"/>
              </w:rPr>
              <w:t>个自然日内当事人协商不能达成协议，任何一方均可向重庆仲裁委员会提请仲裁。</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七、其他约定事项：</w:t>
            </w:r>
          </w:p>
          <w:p>
            <w:pPr>
              <w:spacing w:line="300" w:lineRule="exact"/>
              <w:ind w:firstLine="420" w:firstLineChars="200"/>
              <w:rPr>
                <w:rFonts w:ascii="宋体" w:hAnsi="宋体" w:cs="宋体"/>
                <w:sz w:val="21"/>
                <w:szCs w:val="21"/>
                <w:highlight w:val="none"/>
              </w:rPr>
            </w:pPr>
            <w:r>
              <w:rPr>
                <w:rFonts w:hint="eastAsia" w:ascii="宋体" w:hAnsi="宋体" w:cs="宋体"/>
                <w:sz w:val="21"/>
                <w:szCs w:val="21"/>
                <w:highlight w:val="none"/>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注：若涉及软件开发等服务类项目知识产权的，知识产权归甲方所有。</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（三）乙方对其提供产品的使用和操作应尽培训、通知、协助、保密义务。</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（五）本合同尾部载明的联系方式为一方通知对方、以及涉及诉讼或者仲裁时接收法律文书的送达地址。地址应当真实有效。任何一方送达地址变更的，应当自变更之日起</w:t>
            </w:r>
            <w:r>
              <w:rPr>
                <w:rFonts w:hint="eastAsia" w:ascii="宋体" w:hAnsi="宋体" w:cs="宋体"/>
                <w:sz w:val="21"/>
                <w:szCs w:val="21"/>
                <w:highlight w:val="none"/>
                <w:u w:val="single"/>
              </w:rPr>
              <w:t>5</w:t>
            </w:r>
            <w:r>
              <w:rPr>
                <w:rFonts w:hint="eastAsia" w:ascii="宋体" w:hAnsi="宋体" w:cs="宋体"/>
                <w:sz w:val="21"/>
                <w:szCs w:val="21"/>
                <w:highlight w:val="none"/>
              </w:rPr>
              <w:t>个工作日内书面通知对方。如地址有误、地址变更、未及时书面通知对方而导致法律文书送达不能的，应当自行承担后果。</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（六）本合同的任何修订、变更或调整，须经甲方、乙方共同书面确认。补充协议与本合同具有同等法律效力，不一致之处，以补充协议为准。</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（七）本合同壹式陆份，甲方执正本壹份、副本肆份，乙方执正本壹份，均具备同等法律效力。</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（八）本合同自双方当事人法定代表人或委托代理人签字并加盖双方合同专用章或公章后生效。</w:t>
            </w:r>
          </w:p>
          <w:p>
            <w:pPr>
              <w:spacing w:line="240" w:lineRule="atLeast"/>
              <w:ind w:firstLine="420" w:firstLineChars="200"/>
              <w:rPr>
                <w:rFonts w:ascii="宋体" w:hAnsi="宋体" w:cs="宋体"/>
                <w:sz w:val="21"/>
                <w:szCs w:val="21"/>
                <w:highlight w:val="none"/>
              </w:rPr>
            </w:pPr>
            <w:r>
              <w:rPr>
                <w:rFonts w:hint="eastAsia" w:ascii="宋体" w:hAnsi="宋体" w:cs="宋体"/>
                <w:sz w:val="21"/>
                <w:szCs w:val="21"/>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ascii="宋体" w:hAnsi="宋体" w:cs="宋体"/>
                <w:sz w:val="21"/>
                <w:szCs w:val="21"/>
                <w:highlight w:val="none"/>
              </w:rPr>
            </w:pPr>
            <w:r>
              <w:rPr>
                <w:rFonts w:hint="eastAsia" w:ascii="宋体" w:hAnsi="宋体" w:cs="宋体"/>
                <w:sz w:val="21"/>
                <w:szCs w:val="21"/>
                <w:highlight w:val="none"/>
              </w:rPr>
              <w:t>甲方（需方）：重庆医科大学</w:t>
            </w:r>
          </w:p>
          <w:p>
            <w:pPr>
              <w:spacing w:line="240" w:lineRule="atLeast"/>
              <w:rPr>
                <w:rFonts w:ascii="宋体" w:hAnsi="宋体" w:cs="宋体"/>
                <w:sz w:val="21"/>
                <w:szCs w:val="21"/>
                <w:highlight w:val="none"/>
              </w:rPr>
            </w:pPr>
            <w:r>
              <w:rPr>
                <w:rFonts w:hint="eastAsia" w:ascii="宋体" w:hAnsi="宋体" w:cs="宋体"/>
                <w:sz w:val="21"/>
                <w:szCs w:val="21"/>
                <w:highlight w:val="none"/>
              </w:rPr>
              <w:t>地址：重庆市渝中区医学院路1号</w:t>
            </w:r>
          </w:p>
          <w:p>
            <w:pPr>
              <w:spacing w:line="240" w:lineRule="atLeast"/>
              <w:rPr>
                <w:rFonts w:ascii="宋体" w:hAnsi="宋体" w:cs="宋体"/>
                <w:sz w:val="21"/>
                <w:szCs w:val="21"/>
                <w:highlight w:val="none"/>
              </w:rPr>
            </w:pPr>
            <w:r>
              <w:rPr>
                <w:rFonts w:hint="eastAsia" w:ascii="宋体" w:hAnsi="宋体" w:cs="宋体"/>
                <w:sz w:val="21"/>
                <w:szCs w:val="21"/>
                <w:highlight w:val="none"/>
              </w:rPr>
              <w:t>统一社会信用代码：12500000450401805G</w:t>
            </w:r>
          </w:p>
          <w:p>
            <w:pPr>
              <w:spacing w:line="240" w:lineRule="atLeast"/>
              <w:rPr>
                <w:rFonts w:ascii="宋体" w:hAnsi="宋体" w:cs="宋体"/>
                <w:w w:val="90"/>
                <w:sz w:val="21"/>
                <w:szCs w:val="21"/>
                <w:highlight w:val="none"/>
              </w:rPr>
            </w:pPr>
            <w:r>
              <w:rPr>
                <w:rFonts w:hint="eastAsia" w:ascii="宋体" w:hAnsi="宋体" w:cs="宋体"/>
                <w:w w:val="90"/>
                <w:sz w:val="21"/>
                <w:szCs w:val="21"/>
                <w:highlight w:val="none"/>
              </w:rPr>
              <w:t>开户行：中国建设银行股份有限公司重庆高新区分行</w:t>
            </w:r>
          </w:p>
          <w:p>
            <w:pPr>
              <w:spacing w:line="240" w:lineRule="atLeast"/>
              <w:rPr>
                <w:rFonts w:ascii="宋体" w:hAnsi="宋体" w:cs="宋体"/>
                <w:sz w:val="21"/>
                <w:szCs w:val="21"/>
                <w:highlight w:val="none"/>
              </w:rPr>
            </w:pPr>
            <w:r>
              <w:rPr>
                <w:rFonts w:hint="eastAsia" w:ascii="宋体" w:hAnsi="宋体" w:cs="宋体"/>
                <w:sz w:val="21"/>
                <w:szCs w:val="21"/>
                <w:highlight w:val="none"/>
              </w:rPr>
              <w:t>账号：50001033600050008726</w:t>
            </w: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r>
              <w:rPr>
                <w:rFonts w:hint="eastAsia" w:ascii="宋体" w:hAnsi="宋体" w:cs="宋体"/>
                <w:sz w:val="21"/>
                <w:szCs w:val="21"/>
                <w:highlight w:val="none"/>
              </w:rPr>
              <w:t>法定代表人：黄爱龙（签章）</w:t>
            </w: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r>
              <w:rPr>
                <w:rFonts w:hint="eastAsia" w:ascii="宋体" w:hAnsi="宋体" w:cs="宋体"/>
                <w:sz w:val="21"/>
                <w:szCs w:val="21"/>
                <w:highlight w:val="none"/>
              </w:rPr>
              <w:t>委托代理人：</w:t>
            </w: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r>
              <w:rPr>
                <w:rFonts w:hint="eastAsia" w:ascii="宋体" w:hAnsi="宋体" w:cs="宋体"/>
                <w:sz w:val="21"/>
                <w:szCs w:val="21"/>
                <w:highlight w:val="none"/>
              </w:rPr>
              <w:t>承办部门：</w:t>
            </w: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r>
              <w:rPr>
                <w:rFonts w:hint="eastAsia" w:ascii="宋体" w:hAnsi="宋体" w:cs="宋体"/>
                <w:sz w:val="21"/>
                <w:szCs w:val="21"/>
                <w:highlight w:val="none"/>
              </w:rPr>
              <w:t>用户单位：</w:t>
            </w: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r>
              <w:rPr>
                <w:rFonts w:hint="eastAsia" w:ascii="宋体" w:hAnsi="宋体" w:cs="宋体"/>
                <w:sz w:val="21"/>
                <w:szCs w:val="21"/>
                <w:highlight w:val="none"/>
              </w:rPr>
              <w:t>联系电话：（请备注用户单位联系人电话）</w:t>
            </w:r>
          </w:p>
          <w:p>
            <w:pPr>
              <w:spacing w:line="240" w:lineRule="atLeast"/>
              <w:rPr>
                <w:rFonts w:ascii="宋体" w:hAnsi="宋体" w:cs="宋体"/>
                <w:sz w:val="21"/>
                <w:szCs w:val="21"/>
                <w:highlight w:val="none"/>
              </w:rPr>
            </w:pPr>
          </w:p>
        </w:tc>
        <w:tc>
          <w:tcPr>
            <w:tcW w:w="4872" w:type="dxa"/>
            <w:gridSpan w:val="3"/>
          </w:tcPr>
          <w:p>
            <w:pPr>
              <w:spacing w:line="240" w:lineRule="atLeast"/>
              <w:rPr>
                <w:rFonts w:ascii="宋体" w:hAnsi="宋体" w:cs="宋体"/>
                <w:sz w:val="21"/>
                <w:szCs w:val="21"/>
                <w:highlight w:val="none"/>
              </w:rPr>
            </w:pPr>
            <w:r>
              <w:rPr>
                <w:rFonts w:hint="eastAsia" w:ascii="宋体" w:hAnsi="宋体" w:cs="宋体"/>
                <w:sz w:val="21"/>
                <w:szCs w:val="21"/>
                <w:highlight w:val="none"/>
              </w:rPr>
              <w:t>乙方（供方）：</w:t>
            </w:r>
          </w:p>
          <w:p>
            <w:pPr>
              <w:spacing w:line="240" w:lineRule="atLeast"/>
              <w:rPr>
                <w:rFonts w:ascii="宋体" w:hAnsi="宋体" w:cs="宋体"/>
                <w:sz w:val="21"/>
                <w:szCs w:val="21"/>
                <w:highlight w:val="none"/>
              </w:rPr>
            </w:pPr>
            <w:r>
              <w:rPr>
                <w:rFonts w:hint="eastAsia" w:ascii="宋体" w:hAnsi="宋体" w:cs="宋体"/>
                <w:sz w:val="21"/>
                <w:szCs w:val="21"/>
                <w:highlight w:val="none"/>
              </w:rPr>
              <w:t>地址：</w:t>
            </w:r>
          </w:p>
          <w:p>
            <w:pPr>
              <w:spacing w:line="240" w:lineRule="atLeast"/>
              <w:rPr>
                <w:rFonts w:ascii="宋体" w:hAnsi="宋体" w:cs="宋体"/>
                <w:sz w:val="21"/>
                <w:szCs w:val="21"/>
                <w:highlight w:val="none"/>
              </w:rPr>
            </w:pPr>
            <w:r>
              <w:rPr>
                <w:rFonts w:hint="eastAsia" w:ascii="宋体" w:hAnsi="宋体" w:cs="宋体"/>
                <w:sz w:val="21"/>
                <w:szCs w:val="21"/>
                <w:highlight w:val="none"/>
              </w:rPr>
              <w:t>统一社会信用代码：</w:t>
            </w:r>
          </w:p>
          <w:p>
            <w:pPr>
              <w:spacing w:line="240" w:lineRule="atLeast"/>
              <w:rPr>
                <w:rFonts w:ascii="宋体" w:hAnsi="宋体" w:cs="宋体"/>
                <w:sz w:val="21"/>
                <w:szCs w:val="21"/>
                <w:highlight w:val="none"/>
              </w:rPr>
            </w:pPr>
            <w:r>
              <w:rPr>
                <w:rFonts w:hint="eastAsia" w:ascii="宋体" w:hAnsi="宋体" w:cs="宋体"/>
                <w:sz w:val="21"/>
                <w:szCs w:val="21"/>
                <w:highlight w:val="none"/>
              </w:rPr>
              <w:t>开户行：</w:t>
            </w:r>
          </w:p>
          <w:p>
            <w:pPr>
              <w:spacing w:line="240" w:lineRule="atLeast"/>
              <w:rPr>
                <w:rFonts w:ascii="宋体" w:hAnsi="宋体" w:cs="宋体"/>
                <w:sz w:val="21"/>
                <w:szCs w:val="21"/>
                <w:highlight w:val="none"/>
              </w:rPr>
            </w:pPr>
            <w:r>
              <w:rPr>
                <w:rFonts w:hint="eastAsia" w:ascii="宋体" w:hAnsi="宋体" w:cs="宋体"/>
                <w:sz w:val="21"/>
                <w:szCs w:val="21"/>
                <w:highlight w:val="none"/>
              </w:rPr>
              <w:t>账号：</w:t>
            </w: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r>
              <w:rPr>
                <w:rFonts w:hint="eastAsia" w:ascii="宋体" w:hAnsi="宋体" w:cs="宋体"/>
                <w:sz w:val="21"/>
                <w:szCs w:val="21"/>
                <w:highlight w:val="none"/>
              </w:rPr>
              <w:t>法定代表人： （签章）</w:t>
            </w: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r>
              <w:rPr>
                <w:rFonts w:hint="eastAsia" w:ascii="宋体" w:hAnsi="宋体" w:cs="宋体"/>
                <w:sz w:val="21"/>
                <w:szCs w:val="21"/>
                <w:highlight w:val="none"/>
              </w:rPr>
              <w:t>委托代理人：</w:t>
            </w: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p>
          <w:p>
            <w:pPr>
              <w:spacing w:line="240" w:lineRule="atLeast"/>
              <w:rPr>
                <w:rFonts w:ascii="宋体" w:hAnsi="宋体" w:cs="宋体"/>
                <w:sz w:val="21"/>
                <w:szCs w:val="21"/>
                <w:highlight w:val="none"/>
              </w:rPr>
            </w:pPr>
            <w:r>
              <w:rPr>
                <w:rFonts w:hint="eastAsia" w:ascii="宋体" w:hAnsi="宋体" w:cs="宋体"/>
                <w:sz w:val="21"/>
                <w:szCs w:val="21"/>
                <w:highlight w:val="none"/>
              </w:rPr>
              <w:t>联系电话：</w:t>
            </w:r>
          </w:p>
          <w:p>
            <w:pPr>
              <w:spacing w:line="240" w:lineRule="atLeast"/>
              <w:rPr>
                <w:rFonts w:ascii="宋体" w:hAnsi="宋体" w:cs="宋体"/>
                <w:sz w:val="21"/>
                <w:szCs w:val="21"/>
                <w:highlight w:val="none"/>
              </w:rPr>
            </w:pPr>
            <w:r>
              <w:rPr>
                <w:rFonts w:hint="eastAsia" w:ascii="宋体" w:hAnsi="宋体" w:cs="宋体"/>
                <w:sz w:val="21"/>
                <w:szCs w:val="21"/>
                <w:highlight w:val="none"/>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ascii="宋体" w:hAnsi="宋体" w:cs="宋体"/>
                <w:sz w:val="21"/>
                <w:szCs w:val="21"/>
                <w:highlight w:val="none"/>
              </w:rPr>
            </w:pPr>
            <w:r>
              <w:rPr>
                <w:rFonts w:hint="eastAsia" w:ascii="宋体" w:hAnsi="宋体" w:cs="宋体"/>
                <w:sz w:val="21"/>
                <w:szCs w:val="21"/>
                <w:highlight w:val="none"/>
              </w:rPr>
              <w:t>备注：本合同请用计算机双面打印，以便于双方准确履行合同义务。</w:t>
            </w:r>
          </w:p>
        </w:tc>
      </w:tr>
    </w:tbl>
    <w:p>
      <w:pPr>
        <w:spacing w:line="500" w:lineRule="exact"/>
        <w:ind w:firstLine="420" w:firstLineChars="200"/>
        <w:rPr>
          <w:rFonts w:ascii="宋体" w:hAnsi="宋体" w:cs="宋体"/>
          <w:sz w:val="21"/>
          <w:szCs w:val="21"/>
          <w:highlight w:val="none"/>
        </w:rPr>
      </w:pPr>
      <w:r>
        <w:rPr>
          <w:rFonts w:hint="eastAsia" w:ascii="宋体" w:hAnsi="宋体" w:cs="宋体"/>
          <w:sz w:val="21"/>
          <w:szCs w:val="21"/>
          <w:highlight w:val="none"/>
        </w:rPr>
        <w:t>签约地点：重庆医科大学袁家岗校区</w:t>
      </w:r>
    </w:p>
    <w:p>
      <w:pPr>
        <w:spacing w:line="500" w:lineRule="exact"/>
        <w:ind w:firstLine="420" w:firstLineChars="200"/>
        <w:rPr>
          <w:rFonts w:ascii="宋体" w:hAnsi="宋体" w:cs="宋体"/>
          <w:sz w:val="21"/>
          <w:szCs w:val="21"/>
          <w:highlight w:val="none"/>
        </w:rPr>
      </w:pPr>
    </w:p>
    <w:p>
      <w:pPr>
        <w:spacing w:line="500" w:lineRule="exact"/>
        <w:ind w:firstLine="420" w:firstLineChars="200"/>
        <w:rPr>
          <w:rFonts w:ascii="宋体" w:hAnsi="宋体" w:cs="宋体"/>
          <w:sz w:val="21"/>
          <w:szCs w:val="21"/>
          <w:highlight w:val="none"/>
        </w:rPr>
      </w:pPr>
    </w:p>
    <w:p>
      <w:pPr>
        <w:spacing w:line="500" w:lineRule="exact"/>
        <w:ind w:firstLine="420" w:firstLineChars="200"/>
        <w:rPr>
          <w:rFonts w:ascii="宋体" w:hAnsi="宋体" w:cs="宋体"/>
          <w:sz w:val="21"/>
          <w:szCs w:val="21"/>
          <w:highlight w:val="none"/>
        </w:rPr>
      </w:pPr>
    </w:p>
    <w:p>
      <w:pPr>
        <w:spacing w:line="500" w:lineRule="exact"/>
        <w:ind w:firstLine="420" w:firstLineChars="200"/>
        <w:rPr>
          <w:rFonts w:ascii="宋体" w:hAnsi="宋体" w:cs="宋体"/>
          <w:sz w:val="21"/>
          <w:szCs w:val="21"/>
          <w:highlight w:val="none"/>
        </w:rPr>
      </w:pPr>
    </w:p>
    <w:p>
      <w:pPr>
        <w:spacing w:line="500" w:lineRule="exact"/>
        <w:ind w:firstLine="420" w:firstLineChars="200"/>
        <w:rPr>
          <w:rFonts w:ascii="宋体" w:hAnsi="宋体" w:cs="宋体"/>
          <w:sz w:val="21"/>
          <w:szCs w:val="21"/>
          <w:highlight w:val="none"/>
        </w:rPr>
      </w:pPr>
    </w:p>
    <w:p>
      <w:pPr>
        <w:spacing w:line="500" w:lineRule="exact"/>
        <w:ind w:firstLine="420" w:firstLineChars="200"/>
        <w:rPr>
          <w:rFonts w:ascii="宋体" w:hAnsi="宋体" w:cs="宋体"/>
          <w:sz w:val="21"/>
          <w:szCs w:val="21"/>
          <w:highlight w:val="none"/>
        </w:rPr>
      </w:pPr>
    </w:p>
    <w:p>
      <w:pPr>
        <w:spacing w:line="560" w:lineRule="exact"/>
        <w:jc w:val="left"/>
        <w:rPr>
          <w:rFonts w:ascii="宋体" w:hAnsi="宋体" w:cs="宋体"/>
          <w:sz w:val="32"/>
          <w:szCs w:val="32"/>
          <w:highlight w:val="none"/>
        </w:rPr>
      </w:pPr>
    </w:p>
    <w:p>
      <w:pPr>
        <w:spacing w:line="560" w:lineRule="exact"/>
        <w:jc w:val="left"/>
        <w:rPr>
          <w:rFonts w:ascii="宋体" w:hAnsi="宋体" w:cs="宋体"/>
          <w:sz w:val="32"/>
          <w:szCs w:val="32"/>
          <w:highlight w:val="none"/>
        </w:rPr>
      </w:pPr>
      <w:r>
        <w:rPr>
          <w:rFonts w:hint="eastAsia" w:ascii="宋体" w:hAnsi="宋体" w:cs="宋体"/>
          <w:sz w:val="32"/>
          <w:szCs w:val="32"/>
          <w:highlight w:val="none"/>
        </w:rPr>
        <w:t>附件1</w:t>
      </w: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r>
        <w:rPr>
          <w:rFonts w:hint="eastAsia" w:ascii="宋体" w:hAnsi="宋体" w:cs="宋体"/>
          <w:sz w:val="44"/>
          <w:szCs w:val="44"/>
          <w:highlight w:val="none"/>
        </w:rPr>
        <w:t>商务参数明细</w:t>
      </w:r>
    </w:p>
    <w:p>
      <w:pPr>
        <w:spacing w:line="560" w:lineRule="exact"/>
        <w:rPr>
          <w:rFonts w:ascii="宋体" w:hAnsi="宋体" w:cs="宋体"/>
          <w:sz w:val="44"/>
          <w:szCs w:val="44"/>
          <w:highlight w:val="none"/>
        </w:rPr>
      </w:pP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项目名称</w:t>
            </w:r>
          </w:p>
          <w:p>
            <w:pPr>
              <w:spacing w:line="240" w:lineRule="atLeast"/>
              <w:jc w:val="center"/>
              <w:rPr>
                <w:rFonts w:ascii="宋体" w:hAnsi="宋体" w:cs="宋体"/>
                <w:sz w:val="21"/>
                <w:szCs w:val="21"/>
                <w:highlight w:val="none"/>
              </w:rPr>
            </w:pPr>
            <w:r>
              <w:rPr>
                <w:rFonts w:hint="eastAsia" w:ascii="宋体" w:hAnsi="宋体" w:cs="宋体"/>
                <w:sz w:val="21"/>
                <w:szCs w:val="21"/>
                <w:highlight w:val="none"/>
              </w:rPr>
              <w:t>（货物名称）</w:t>
            </w:r>
          </w:p>
        </w:tc>
        <w:tc>
          <w:tcPr>
            <w:tcW w:w="1926"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品牌规格型号</w:t>
            </w:r>
          </w:p>
        </w:tc>
        <w:tc>
          <w:tcPr>
            <w:tcW w:w="978"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产地</w:t>
            </w:r>
          </w:p>
        </w:tc>
        <w:tc>
          <w:tcPr>
            <w:tcW w:w="1460"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数量/单位</w:t>
            </w:r>
          </w:p>
        </w:tc>
        <w:tc>
          <w:tcPr>
            <w:tcW w:w="2348"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单价（元）</w:t>
            </w:r>
          </w:p>
        </w:tc>
        <w:tc>
          <w:tcPr>
            <w:tcW w:w="1262"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宋体" w:hAnsi="宋体" w:cs="宋体"/>
                <w:sz w:val="21"/>
                <w:szCs w:val="21"/>
                <w:highlight w:val="none"/>
              </w:rPr>
            </w:pPr>
          </w:p>
        </w:tc>
        <w:tc>
          <w:tcPr>
            <w:tcW w:w="1926" w:type="dxa"/>
            <w:vAlign w:val="center"/>
          </w:tcPr>
          <w:p>
            <w:pPr>
              <w:spacing w:line="240" w:lineRule="atLeast"/>
              <w:jc w:val="center"/>
              <w:rPr>
                <w:rFonts w:ascii="宋体" w:hAnsi="宋体" w:cs="宋体"/>
                <w:sz w:val="21"/>
                <w:szCs w:val="21"/>
                <w:highlight w:val="none"/>
              </w:rPr>
            </w:pPr>
          </w:p>
        </w:tc>
        <w:tc>
          <w:tcPr>
            <w:tcW w:w="978" w:type="dxa"/>
            <w:vAlign w:val="center"/>
          </w:tcPr>
          <w:p>
            <w:pPr>
              <w:spacing w:line="240" w:lineRule="atLeast"/>
              <w:jc w:val="center"/>
              <w:rPr>
                <w:rFonts w:ascii="宋体" w:hAnsi="宋体" w:cs="宋体"/>
                <w:sz w:val="21"/>
                <w:szCs w:val="21"/>
                <w:highlight w:val="none"/>
              </w:rPr>
            </w:pPr>
          </w:p>
        </w:tc>
        <w:tc>
          <w:tcPr>
            <w:tcW w:w="1460" w:type="dxa"/>
            <w:vAlign w:val="center"/>
          </w:tcPr>
          <w:p>
            <w:pPr>
              <w:spacing w:line="240" w:lineRule="atLeast"/>
              <w:jc w:val="center"/>
              <w:rPr>
                <w:rFonts w:ascii="宋体" w:hAnsi="宋体" w:cs="宋体"/>
                <w:sz w:val="21"/>
                <w:szCs w:val="21"/>
                <w:highlight w:val="none"/>
              </w:rPr>
            </w:pPr>
          </w:p>
        </w:tc>
        <w:tc>
          <w:tcPr>
            <w:tcW w:w="2348" w:type="dxa"/>
            <w:vAlign w:val="center"/>
          </w:tcPr>
          <w:p>
            <w:pPr>
              <w:spacing w:line="240" w:lineRule="atLeast"/>
              <w:jc w:val="center"/>
              <w:rPr>
                <w:rFonts w:ascii="宋体" w:hAnsi="宋体" w:cs="宋体"/>
                <w:sz w:val="21"/>
                <w:szCs w:val="21"/>
                <w:highlight w:val="none"/>
              </w:rPr>
            </w:pPr>
          </w:p>
        </w:tc>
        <w:tc>
          <w:tcPr>
            <w:tcW w:w="1262" w:type="dxa"/>
            <w:vAlign w:val="center"/>
          </w:tcPr>
          <w:p>
            <w:pPr>
              <w:spacing w:line="240" w:lineRule="atLeas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宋体" w:hAnsi="宋体" w:cs="宋体"/>
                <w:sz w:val="21"/>
                <w:szCs w:val="21"/>
                <w:highlight w:val="none"/>
              </w:rPr>
            </w:pPr>
          </w:p>
        </w:tc>
        <w:tc>
          <w:tcPr>
            <w:tcW w:w="1926" w:type="dxa"/>
            <w:vAlign w:val="center"/>
          </w:tcPr>
          <w:p>
            <w:pPr>
              <w:spacing w:line="240" w:lineRule="atLeast"/>
              <w:jc w:val="center"/>
              <w:rPr>
                <w:rFonts w:ascii="宋体" w:hAnsi="宋体" w:cs="宋体"/>
                <w:sz w:val="21"/>
                <w:szCs w:val="21"/>
                <w:highlight w:val="none"/>
              </w:rPr>
            </w:pPr>
          </w:p>
        </w:tc>
        <w:tc>
          <w:tcPr>
            <w:tcW w:w="978" w:type="dxa"/>
            <w:vAlign w:val="center"/>
          </w:tcPr>
          <w:p>
            <w:pPr>
              <w:spacing w:line="240" w:lineRule="atLeast"/>
              <w:jc w:val="center"/>
              <w:rPr>
                <w:rFonts w:ascii="宋体" w:hAnsi="宋体" w:cs="宋体"/>
                <w:sz w:val="21"/>
                <w:szCs w:val="21"/>
                <w:highlight w:val="none"/>
              </w:rPr>
            </w:pPr>
          </w:p>
        </w:tc>
        <w:tc>
          <w:tcPr>
            <w:tcW w:w="1460" w:type="dxa"/>
            <w:vAlign w:val="center"/>
          </w:tcPr>
          <w:p>
            <w:pPr>
              <w:spacing w:line="240" w:lineRule="atLeast"/>
              <w:jc w:val="center"/>
              <w:rPr>
                <w:rFonts w:ascii="宋体" w:hAnsi="宋体" w:cs="宋体"/>
                <w:sz w:val="21"/>
                <w:szCs w:val="21"/>
                <w:highlight w:val="none"/>
              </w:rPr>
            </w:pPr>
          </w:p>
        </w:tc>
        <w:tc>
          <w:tcPr>
            <w:tcW w:w="2348" w:type="dxa"/>
            <w:vAlign w:val="center"/>
          </w:tcPr>
          <w:p>
            <w:pPr>
              <w:spacing w:line="240" w:lineRule="atLeast"/>
              <w:jc w:val="center"/>
              <w:rPr>
                <w:rFonts w:ascii="宋体" w:hAnsi="宋体" w:cs="宋体"/>
                <w:sz w:val="21"/>
                <w:szCs w:val="21"/>
                <w:highlight w:val="none"/>
              </w:rPr>
            </w:pPr>
          </w:p>
        </w:tc>
        <w:tc>
          <w:tcPr>
            <w:tcW w:w="1262" w:type="dxa"/>
            <w:vAlign w:val="center"/>
          </w:tcPr>
          <w:p>
            <w:pPr>
              <w:spacing w:line="240" w:lineRule="atLeas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宋体" w:hAnsi="宋体" w:cs="宋体"/>
                <w:sz w:val="21"/>
                <w:szCs w:val="21"/>
                <w:highlight w:val="none"/>
              </w:rPr>
            </w:pPr>
          </w:p>
        </w:tc>
        <w:tc>
          <w:tcPr>
            <w:tcW w:w="1926" w:type="dxa"/>
            <w:vAlign w:val="center"/>
          </w:tcPr>
          <w:p>
            <w:pPr>
              <w:spacing w:line="240" w:lineRule="atLeast"/>
              <w:jc w:val="center"/>
              <w:rPr>
                <w:rFonts w:ascii="宋体" w:hAnsi="宋体" w:cs="宋体"/>
                <w:sz w:val="21"/>
                <w:szCs w:val="21"/>
                <w:highlight w:val="none"/>
              </w:rPr>
            </w:pPr>
          </w:p>
        </w:tc>
        <w:tc>
          <w:tcPr>
            <w:tcW w:w="978" w:type="dxa"/>
            <w:vAlign w:val="center"/>
          </w:tcPr>
          <w:p>
            <w:pPr>
              <w:spacing w:line="240" w:lineRule="atLeast"/>
              <w:jc w:val="center"/>
              <w:rPr>
                <w:rFonts w:ascii="宋体" w:hAnsi="宋体" w:cs="宋体"/>
                <w:sz w:val="21"/>
                <w:szCs w:val="21"/>
                <w:highlight w:val="none"/>
              </w:rPr>
            </w:pPr>
          </w:p>
        </w:tc>
        <w:tc>
          <w:tcPr>
            <w:tcW w:w="1460" w:type="dxa"/>
            <w:vAlign w:val="center"/>
          </w:tcPr>
          <w:p>
            <w:pPr>
              <w:spacing w:line="240" w:lineRule="atLeast"/>
              <w:jc w:val="center"/>
              <w:rPr>
                <w:rFonts w:ascii="宋体" w:hAnsi="宋体" w:cs="宋体"/>
                <w:sz w:val="21"/>
                <w:szCs w:val="21"/>
                <w:highlight w:val="none"/>
              </w:rPr>
            </w:pPr>
          </w:p>
        </w:tc>
        <w:tc>
          <w:tcPr>
            <w:tcW w:w="2348" w:type="dxa"/>
            <w:vAlign w:val="center"/>
          </w:tcPr>
          <w:p>
            <w:pPr>
              <w:spacing w:line="240" w:lineRule="atLeast"/>
              <w:jc w:val="center"/>
              <w:rPr>
                <w:rFonts w:ascii="宋体" w:hAnsi="宋体" w:cs="宋体"/>
                <w:sz w:val="21"/>
                <w:szCs w:val="21"/>
                <w:highlight w:val="none"/>
              </w:rPr>
            </w:pPr>
          </w:p>
        </w:tc>
        <w:tc>
          <w:tcPr>
            <w:tcW w:w="1262" w:type="dxa"/>
            <w:vAlign w:val="center"/>
          </w:tcPr>
          <w:p>
            <w:pPr>
              <w:spacing w:line="240" w:lineRule="atLeas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宋体" w:hAnsi="宋体" w:cs="宋体"/>
                <w:sz w:val="21"/>
                <w:szCs w:val="21"/>
                <w:highlight w:val="none"/>
              </w:rPr>
            </w:pPr>
          </w:p>
        </w:tc>
        <w:tc>
          <w:tcPr>
            <w:tcW w:w="1926" w:type="dxa"/>
            <w:vAlign w:val="center"/>
          </w:tcPr>
          <w:p>
            <w:pPr>
              <w:spacing w:line="240" w:lineRule="atLeast"/>
              <w:jc w:val="center"/>
              <w:rPr>
                <w:rFonts w:ascii="宋体" w:hAnsi="宋体" w:cs="宋体"/>
                <w:sz w:val="21"/>
                <w:szCs w:val="21"/>
                <w:highlight w:val="none"/>
              </w:rPr>
            </w:pPr>
          </w:p>
        </w:tc>
        <w:tc>
          <w:tcPr>
            <w:tcW w:w="978" w:type="dxa"/>
            <w:vAlign w:val="center"/>
          </w:tcPr>
          <w:p>
            <w:pPr>
              <w:spacing w:line="240" w:lineRule="atLeast"/>
              <w:jc w:val="center"/>
              <w:rPr>
                <w:rFonts w:ascii="宋体" w:hAnsi="宋体" w:cs="宋体"/>
                <w:sz w:val="21"/>
                <w:szCs w:val="21"/>
                <w:highlight w:val="none"/>
              </w:rPr>
            </w:pPr>
          </w:p>
        </w:tc>
        <w:tc>
          <w:tcPr>
            <w:tcW w:w="1460" w:type="dxa"/>
            <w:vAlign w:val="center"/>
          </w:tcPr>
          <w:p>
            <w:pPr>
              <w:spacing w:line="240" w:lineRule="atLeast"/>
              <w:jc w:val="center"/>
              <w:rPr>
                <w:rFonts w:ascii="宋体" w:hAnsi="宋体" w:cs="宋体"/>
                <w:sz w:val="21"/>
                <w:szCs w:val="21"/>
                <w:highlight w:val="none"/>
              </w:rPr>
            </w:pPr>
          </w:p>
        </w:tc>
        <w:tc>
          <w:tcPr>
            <w:tcW w:w="2348" w:type="dxa"/>
            <w:vAlign w:val="center"/>
          </w:tcPr>
          <w:p>
            <w:pPr>
              <w:spacing w:line="240" w:lineRule="atLeast"/>
              <w:jc w:val="center"/>
              <w:rPr>
                <w:rFonts w:ascii="宋体" w:hAnsi="宋体" w:cs="宋体"/>
                <w:sz w:val="21"/>
                <w:szCs w:val="21"/>
                <w:highlight w:val="none"/>
              </w:rPr>
            </w:pPr>
          </w:p>
        </w:tc>
        <w:tc>
          <w:tcPr>
            <w:tcW w:w="1262" w:type="dxa"/>
            <w:vAlign w:val="center"/>
          </w:tcPr>
          <w:p>
            <w:pPr>
              <w:spacing w:line="240" w:lineRule="atLeast"/>
              <w:jc w:val="center"/>
              <w:rPr>
                <w:rFonts w:ascii="宋体" w:hAnsi="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宋体" w:hAnsi="宋体" w:cs="宋体"/>
                <w:sz w:val="21"/>
                <w:szCs w:val="21"/>
                <w:highlight w:val="none"/>
              </w:rPr>
            </w:pPr>
            <w:r>
              <w:rPr>
                <w:rFonts w:hint="eastAsia" w:ascii="宋体" w:hAnsi="宋体" w:cs="宋体"/>
                <w:sz w:val="21"/>
                <w:szCs w:val="21"/>
                <w:highlight w:val="none"/>
              </w:rPr>
              <w:t>合计</w:t>
            </w:r>
          </w:p>
        </w:tc>
        <w:tc>
          <w:tcPr>
            <w:tcW w:w="1926" w:type="dxa"/>
            <w:vAlign w:val="center"/>
          </w:tcPr>
          <w:p>
            <w:pPr>
              <w:spacing w:line="240" w:lineRule="atLeast"/>
              <w:jc w:val="center"/>
              <w:rPr>
                <w:rFonts w:ascii="宋体" w:hAnsi="宋体" w:cs="宋体"/>
                <w:sz w:val="21"/>
                <w:szCs w:val="21"/>
                <w:highlight w:val="none"/>
              </w:rPr>
            </w:pPr>
          </w:p>
        </w:tc>
        <w:tc>
          <w:tcPr>
            <w:tcW w:w="978" w:type="dxa"/>
            <w:vAlign w:val="center"/>
          </w:tcPr>
          <w:p>
            <w:pPr>
              <w:spacing w:line="240" w:lineRule="atLeast"/>
              <w:jc w:val="center"/>
              <w:rPr>
                <w:rFonts w:ascii="宋体" w:hAnsi="宋体" w:cs="宋体"/>
                <w:sz w:val="21"/>
                <w:szCs w:val="21"/>
                <w:highlight w:val="none"/>
              </w:rPr>
            </w:pPr>
          </w:p>
        </w:tc>
        <w:tc>
          <w:tcPr>
            <w:tcW w:w="1460" w:type="dxa"/>
            <w:vAlign w:val="center"/>
          </w:tcPr>
          <w:p>
            <w:pPr>
              <w:spacing w:line="240" w:lineRule="atLeast"/>
              <w:jc w:val="center"/>
              <w:rPr>
                <w:rFonts w:ascii="宋体" w:hAnsi="宋体" w:cs="宋体"/>
                <w:sz w:val="21"/>
                <w:szCs w:val="21"/>
                <w:highlight w:val="none"/>
              </w:rPr>
            </w:pPr>
          </w:p>
        </w:tc>
        <w:tc>
          <w:tcPr>
            <w:tcW w:w="2348" w:type="dxa"/>
            <w:vAlign w:val="center"/>
          </w:tcPr>
          <w:p>
            <w:pPr>
              <w:spacing w:line="240" w:lineRule="atLeast"/>
              <w:jc w:val="center"/>
              <w:rPr>
                <w:rFonts w:ascii="宋体" w:hAnsi="宋体" w:cs="宋体"/>
                <w:sz w:val="21"/>
                <w:szCs w:val="21"/>
                <w:highlight w:val="none"/>
              </w:rPr>
            </w:pPr>
          </w:p>
        </w:tc>
        <w:tc>
          <w:tcPr>
            <w:tcW w:w="1262" w:type="dxa"/>
            <w:vAlign w:val="center"/>
          </w:tcPr>
          <w:p>
            <w:pPr>
              <w:spacing w:line="240" w:lineRule="atLeast"/>
              <w:jc w:val="center"/>
              <w:rPr>
                <w:rFonts w:ascii="宋体" w:hAnsi="宋体" w:cs="宋体"/>
                <w:sz w:val="21"/>
                <w:szCs w:val="21"/>
                <w:highlight w:val="none"/>
              </w:rPr>
            </w:pPr>
          </w:p>
        </w:tc>
      </w:tr>
    </w:tbl>
    <w:p>
      <w:pPr>
        <w:spacing w:line="560" w:lineRule="exact"/>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jc w:val="center"/>
        <w:rPr>
          <w:rFonts w:ascii="宋体" w:hAnsi="宋体" w:cs="宋体"/>
          <w:sz w:val="44"/>
          <w:szCs w:val="44"/>
          <w:highlight w:val="none"/>
        </w:rPr>
      </w:pPr>
    </w:p>
    <w:p>
      <w:pPr>
        <w:spacing w:line="560" w:lineRule="exact"/>
        <w:rPr>
          <w:rFonts w:ascii="宋体" w:hAnsi="宋体" w:cs="宋体"/>
          <w:sz w:val="44"/>
          <w:szCs w:val="44"/>
          <w:highlight w:val="none"/>
        </w:rPr>
      </w:pPr>
    </w:p>
    <w:p>
      <w:pPr>
        <w:spacing w:line="560" w:lineRule="exact"/>
        <w:rPr>
          <w:rFonts w:ascii="宋体" w:hAnsi="宋体" w:cs="宋体"/>
          <w:sz w:val="44"/>
          <w:szCs w:val="44"/>
          <w:highlight w:val="none"/>
        </w:rPr>
      </w:pPr>
    </w:p>
    <w:p>
      <w:pPr>
        <w:spacing w:line="560" w:lineRule="exact"/>
        <w:rPr>
          <w:rFonts w:ascii="宋体" w:hAnsi="宋体" w:cs="宋体"/>
          <w:sz w:val="44"/>
          <w:szCs w:val="44"/>
          <w:highlight w:val="none"/>
        </w:rPr>
      </w:pPr>
    </w:p>
    <w:p>
      <w:pPr>
        <w:spacing w:line="560" w:lineRule="exact"/>
        <w:rPr>
          <w:rFonts w:ascii="宋体" w:hAnsi="宋体" w:cs="宋体"/>
          <w:sz w:val="44"/>
          <w:szCs w:val="44"/>
          <w:highlight w:val="none"/>
        </w:rPr>
      </w:pPr>
    </w:p>
    <w:p>
      <w:pPr>
        <w:spacing w:line="560" w:lineRule="exact"/>
        <w:rPr>
          <w:rFonts w:ascii="宋体" w:hAnsi="宋体" w:cs="宋体"/>
          <w:sz w:val="44"/>
          <w:szCs w:val="44"/>
          <w:highlight w:val="none"/>
        </w:rPr>
      </w:pPr>
    </w:p>
    <w:p>
      <w:pPr>
        <w:spacing w:line="560" w:lineRule="exact"/>
        <w:jc w:val="left"/>
        <w:rPr>
          <w:rFonts w:ascii="宋体" w:hAnsi="宋体" w:cs="宋体"/>
          <w:sz w:val="32"/>
          <w:szCs w:val="32"/>
          <w:highlight w:val="none"/>
        </w:rPr>
      </w:pPr>
    </w:p>
    <w:p>
      <w:pPr>
        <w:spacing w:line="560" w:lineRule="exact"/>
        <w:jc w:val="left"/>
        <w:rPr>
          <w:rFonts w:ascii="宋体" w:hAnsi="宋体" w:cs="宋体"/>
          <w:sz w:val="32"/>
          <w:szCs w:val="32"/>
          <w:highlight w:val="none"/>
        </w:rPr>
      </w:pPr>
    </w:p>
    <w:p>
      <w:pPr>
        <w:spacing w:line="560" w:lineRule="exact"/>
        <w:jc w:val="left"/>
        <w:rPr>
          <w:rFonts w:ascii="宋体" w:hAnsi="宋体" w:cs="宋体"/>
          <w:sz w:val="32"/>
          <w:szCs w:val="32"/>
          <w:highlight w:val="none"/>
        </w:rPr>
      </w:pPr>
      <w:r>
        <w:rPr>
          <w:rFonts w:hint="eastAsia" w:ascii="宋体" w:hAnsi="宋体" w:cs="宋体"/>
          <w:sz w:val="32"/>
          <w:szCs w:val="32"/>
          <w:highlight w:val="none"/>
        </w:rPr>
        <w:t>附件2</w:t>
      </w:r>
    </w:p>
    <w:p>
      <w:pPr>
        <w:spacing w:line="560" w:lineRule="exact"/>
        <w:rPr>
          <w:rFonts w:ascii="宋体" w:hAnsi="宋体" w:cs="宋体"/>
          <w:sz w:val="44"/>
          <w:szCs w:val="44"/>
          <w:highlight w:val="none"/>
        </w:rPr>
      </w:pPr>
    </w:p>
    <w:p>
      <w:pPr>
        <w:spacing w:line="560" w:lineRule="exact"/>
        <w:jc w:val="center"/>
        <w:rPr>
          <w:rFonts w:ascii="宋体" w:hAnsi="宋体" w:cs="宋体"/>
          <w:sz w:val="44"/>
          <w:szCs w:val="44"/>
          <w:highlight w:val="none"/>
        </w:rPr>
      </w:pPr>
      <w:r>
        <w:rPr>
          <w:rFonts w:hint="eastAsia" w:ascii="宋体" w:hAnsi="宋体" w:cs="宋体"/>
          <w:sz w:val="44"/>
          <w:szCs w:val="44"/>
          <w:highlight w:val="none"/>
        </w:rPr>
        <w:t>技术参数明细</w:t>
      </w:r>
    </w:p>
    <w:p>
      <w:pPr>
        <w:spacing w:line="560" w:lineRule="exact"/>
        <w:rPr>
          <w:rFonts w:ascii="宋体" w:hAnsi="宋体" w:cs="宋体"/>
          <w:sz w:val="44"/>
          <w:szCs w:val="44"/>
          <w:highlight w:val="none"/>
        </w:rPr>
      </w:pP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宋体" w:hAnsi="宋体" w:cs="宋体"/>
                <w:sz w:val="24"/>
                <w:szCs w:val="28"/>
                <w:highlight w:val="none"/>
              </w:rPr>
            </w:pPr>
            <w:r>
              <w:rPr>
                <w:rFonts w:hint="eastAsia" w:ascii="宋体" w:hAnsi="宋体" w:cs="宋体"/>
                <w:sz w:val="24"/>
                <w:szCs w:val="28"/>
                <w:highlight w:val="none"/>
              </w:rPr>
              <w:t>序号</w:t>
            </w:r>
          </w:p>
        </w:tc>
        <w:tc>
          <w:tcPr>
            <w:tcW w:w="1297" w:type="dxa"/>
          </w:tcPr>
          <w:p>
            <w:pPr>
              <w:adjustRightInd w:val="0"/>
              <w:snapToGrid w:val="0"/>
              <w:jc w:val="center"/>
              <w:rPr>
                <w:rFonts w:ascii="宋体" w:hAnsi="宋体" w:cs="宋体"/>
                <w:sz w:val="24"/>
                <w:szCs w:val="28"/>
                <w:highlight w:val="none"/>
              </w:rPr>
            </w:pPr>
            <w:r>
              <w:rPr>
                <w:rFonts w:hint="eastAsia" w:ascii="宋体" w:hAnsi="宋体" w:cs="宋体"/>
                <w:sz w:val="24"/>
                <w:szCs w:val="28"/>
                <w:highlight w:val="none"/>
              </w:rPr>
              <w:t>商品名称</w:t>
            </w:r>
          </w:p>
        </w:tc>
        <w:tc>
          <w:tcPr>
            <w:tcW w:w="7514" w:type="dxa"/>
            <w:noWrap/>
          </w:tcPr>
          <w:p>
            <w:pPr>
              <w:adjustRightInd w:val="0"/>
              <w:snapToGrid w:val="0"/>
              <w:jc w:val="center"/>
              <w:rPr>
                <w:rFonts w:ascii="宋体" w:hAnsi="宋体" w:cs="宋体"/>
                <w:sz w:val="24"/>
                <w:szCs w:val="28"/>
                <w:highlight w:val="none"/>
              </w:rPr>
            </w:pPr>
            <w:r>
              <w:rPr>
                <w:rFonts w:hint="eastAsia" w:ascii="宋体" w:hAnsi="宋体" w:cs="宋体"/>
                <w:sz w:val="24"/>
                <w:szCs w:val="28"/>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宋体" w:hAnsi="宋体" w:cs="宋体"/>
                <w:sz w:val="24"/>
                <w:szCs w:val="28"/>
                <w:highlight w:val="none"/>
              </w:rPr>
            </w:pPr>
            <w:r>
              <w:rPr>
                <w:rFonts w:hint="eastAsia" w:ascii="宋体" w:hAnsi="宋体" w:cs="宋体"/>
                <w:sz w:val="24"/>
                <w:szCs w:val="28"/>
                <w:highlight w:val="none"/>
              </w:rPr>
              <w:t>1</w:t>
            </w:r>
          </w:p>
        </w:tc>
        <w:tc>
          <w:tcPr>
            <w:tcW w:w="1297" w:type="dxa"/>
            <w:vMerge w:val="restart"/>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宋体" w:hAnsi="宋体" w:cs="宋体"/>
                <w:sz w:val="24"/>
                <w:szCs w:val="28"/>
                <w:highlight w:val="none"/>
              </w:rPr>
            </w:pPr>
          </w:p>
        </w:tc>
        <w:tc>
          <w:tcPr>
            <w:tcW w:w="1297" w:type="dxa"/>
            <w:vMerge w:val="continue"/>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宋体" w:hAnsi="宋体" w:cs="宋体"/>
                <w:sz w:val="24"/>
                <w:szCs w:val="28"/>
                <w:highlight w:val="none"/>
              </w:rPr>
            </w:pPr>
          </w:p>
        </w:tc>
        <w:tc>
          <w:tcPr>
            <w:tcW w:w="1297" w:type="dxa"/>
            <w:vMerge w:val="continue"/>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宋体" w:hAnsi="宋体" w:cs="宋体"/>
                <w:sz w:val="24"/>
                <w:szCs w:val="28"/>
                <w:highlight w:val="none"/>
              </w:rPr>
            </w:pPr>
            <w:r>
              <w:rPr>
                <w:rFonts w:hint="eastAsia" w:ascii="宋体" w:hAnsi="宋体" w:cs="宋体"/>
                <w:sz w:val="24"/>
                <w:szCs w:val="28"/>
                <w:highlight w:val="none"/>
              </w:rPr>
              <w:t>2</w:t>
            </w:r>
          </w:p>
        </w:tc>
        <w:tc>
          <w:tcPr>
            <w:tcW w:w="1297" w:type="dxa"/>
            <w:vMerge w:val="restart"/>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宋体" w:hAnsi="宋体" w:cs="宋体"/>
                <w:sz w:val="24"/>
                <w:szCs w:val="28"/>
                <w:highlight w:val="none"/>
              </w:rPr>
            </w:pPr>
          </w:p>
        </w:tc>
        <w:tc>
          <w:tcPr>
            <w:tcW w:w="1297" w:type="dxa"/>
            <w:vMerge w:val="continue"/>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宋体" w:hAnsi="宋体" w:cs="宋体"/>
                <w:sz w:val="24"/>
                <w:szCs w:val="28"/>
                <w:highlight w:val="none"/>
              </w:rPr>
            </w:pPr>
          </w:p>
        </w:tc>
        <w:tc>
          <w:tcPr>
            <w:tcW w:w="1297" w:type="dxa"/>
            <w:vMerge w:val="continue"/>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宋体" w:hAnsi="宋体" w:cs="宋体"/>
                <w:sz w:val="24"/>
                <w:szCs w:val="28"/>
                <w:highlight w:val="none"/>
              </w:rPr>
            </w:pPr>
            <w:r>
              <w:rPr>
                <w:rFonts w:hint="eastAsia" w:ascii="宋体" w:hAnsi="宋体" w:cs="宋体"/>
                <w:sz w:val="24"/>
                <w:szCs w:val="28"/>
                <w:highlight w:val="none"/>
              </w:rPr>
              <w:t>3</w:t>
            </w:r>
          </w:p>
        </w:tc>
        <w:tc>
          <w:tcPr>
            <w:tcW w:w="1297" w:type="dxa"/>
            <w:vMerge w:val="restart"/>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宋体" w:hAnsi="宋体" w:cs="宋体"/>
                <w:sz w:val="24"/>
                <w:szCs w:val="28"/>
                <w:highlight w:val="none"/>
              </w:rPr>
            </w:pPr>
          </w:p>
        </w:tc>
        <w:tc>
          <w:tcPr>
            <w:tcW w:w="1297" w:type="dxa"/>
            <w:vMerge w:val="continue"/>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宋体" w:hAnsi="宋体" w:cs="宋体"/>
                <w:sz w:val="24"/>
                <w:szCs w:val="28"/>
                <w:highlight w:val="none"/>
              </w:rPr>
            </w:pPr>
          </w:p>
        </w:tc>
        <w:tc>
          <w:tcPr>
            <w:tcW w:w="1297" w:type="dxa"/>
            <w:vMerge w:val="continue"/>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宋体" w:hAnsi="宋体" w:cs="宋体"/>
                <w:sz w:val="24"/>
                <w:szCs w:val="28"/>
                <w:highlight w:val="none"/>
              </w:rPr>
            </w:pPr>
          </w:p>
          <w:p>
            <w:pPr>
              <w:adjustRightInd w:val="0"/>
              <w:snapToGrid w:val="0"/>
              <w:jc w:val="center"/>
              <w:rPr>
                <w:rFonts w:ascii="宋体" w:hAnsi="宋体" w:cs="宋体"/>
                <w:sz w:val="24"/>
                <w:szCs w:val="28"/>
                <w:highlight w:val="none"/>
              </w:rPr>
            </w:pPr>
            <w:r>
              <w:rPr>
                <w:rFonts w:hint="eastAsia" w:ascii="宋体" w:hAnsi="宋体" w:cs="宋体"/>
                <w:sz w:val="24"/>
                <w:szCs w:val="28"/>
                <w:highlight w:val="none"/>
              </w:rPr>
              <w:t>……</w:t>
            </w:r>
          </w:p>
          <w:p>
            <w:pPr>
              <w:adjustRightInd w:val="0"/>
              <w:snapToGrid w:val="0"/>
              <w:jc w:val="center"/>
              <w:rPr>
                <w:rFonts w:ascii="宋体" w:hAnsi="宋体" w:cs="宋体"/>
                <w:sz w:val="24"/>
                <w:szCs w:val="28"/>
                <w:highlight w:val="none"/>
              </w:rPr>
            </w:pPr>
          </w:p>
        </w:tc>
        <w:tc>
          <w:tcPr>
            <w:tcW w:w="1297" w:type="dxa"/>
          </w:tcPr>
          <w:p>
            <w:pPr>
              <w:adjustRightInd w:val="0"/>
              <w:snapToGrid w:val="0"/>
              <w:jc w:val="center"/>
              <w:rPr>
                <w:rFonts w:ascii="宋体" w:hAnsi="宋体" w:cs="宋体"/>
                <w:sz w:val="24"/>
                <w:szCs w:val="28"/>
                <w:highlight w:val="none"/>
              </w:rPr>
            </w:pPr>
          </w:p>
        </w:tc>
        <w:tc>
          <w:tcPr>
            <w:tcW w:w="7514" w:type="dxa"/>
          </w:tcPr>
          <w:p>
            <w:pPr>
              <w:adjustRightInd w:val="0"/>
              <w:snapToGrid w:val="0"/>
              <w:jc w:val="center"/>
              <w:rPr>
                <w:rFonts w:ascii="宋体" w:hAnsi="宋体" w:cs="宋体"/>
                <w:sz w:val="24"/>
                <w:szCs w:val="28"/>
                <w:highlight w:val="none"/>
              </w:rPr>
            </w:pPr>
          </w:p>
        </w:tc>
      </w:tr>
    </w:tbl>
    <w:p>
      <w:pPr>
        <w:rPr>
          <w:rFonts w:ascii="宋体" w:hAnsi="宋体" w:cs="宋体"/>
          <w:highlight w:val="none"/>
        </w:rPr>
      </w:pPr>
    </w:p>
    <w:p>
      <w:pPr>
        <w:rPr>
          <w:rFonts w:ascii="宋体" w:hAnsi="宋体" w:cs="宋体"/>
          <w:highlight w:val="none"/>
        </w:rPr>
      </w:pPr>
    </w:p>
    <w:p>
      <w:pPr>
        <w:spacing w:line="500" w:lineRule="exact"/>
        <w:rPr>
          <w:rFonts w:ascii="宋体" w:hAnsi="宋体" w:cs="宋体"/>
          <w:sz w:val="21"/>
          <w:szCs w:val="21"/>
          <w:highlight w:val="none"/>
        </w:rPr>
      </w:pPr>
    </w:p>
    <w:p>
      <w:pPr>
        <w:spacing w:line="500" w:lineRule="exact"/>
        <w:rPr>
          <w:rFonts w:ascii="宋体" w:hAnsi="宋体" w:cs="宋体"/>
          <w:sz w:val="21"/>
          <w:szCs w:val="21"/>
          <w:highlight w:val="none"/>
        </w:rPr>
      </w:pPr>
    </w:p>
    <w:p>
      <w:pPr>
        <w:pStyle w:val="3"/>
        <w:spacing w:before="0" w:after="0" w:line="560" w:lineRule="exact"/>
        <w:jc w:val="center"/>
        <w:rPr>
          <w:rFonts w:ascii="宋体" w:hAnsi="宋体" w:eastAsia="宋体" w:cs="宋体"/>
          <w:b w:val="0"/>
          <w:sz w:val="44"/>
          <w:szCs w:val="44"/>
          <w:highlight w:val="none"/>
        </w:rPr>
      </w:pPr>
    </w:p>
    <w:p>
      <w:pPr>
        <w:pStyle w:val="3"/>
        <w:spacing w:before="0" w:after="0" w:line="560" w:lineRule="exact"/>
        <w:jc w:val="center"/>
        <w:rPr>
          <w:rFonts w:ascii="宋体" w:hAnsi="宋体" w:eastAsia="宋体" w:cs="宋体"/>
          <w:b w:val="0"/>
          <w:sz w:val="44"/>
          <w:szCs w:val="44"/>
          <w:highlight w:val="none"/>
        </w:rPr>
      </w:pPr>
    </w:p>
    <w:p>
      <w:pPr>
        <w:pStyle w:val="3"/>
        <w:spacing w:before="0" w:after="0" w:line="560" w:lineRule="exact"/>
        <w:jc w:val="center"/>
        <w:rPr>
          <w:rFonts w:ascii="宋体" w:hAnsi="宋体" w:eastAsia="宋体" w:cs="宋体"/>
          <w:b w:val="0"/>
          <w:sz w:val="44"/>
          <w:szCs w:val="44"/>
          <w:highlight w:val="none"/>
        </w:rPr>
      </w:pPr>
    </w:p>
    <w:p>
      <w:pPr>
        <w:pStyle w:val="3"/>
        <w:spacing w:before="0" w:after="0" w:line="560" w:lineRule="exact"/>
        <w:jc w:val="center"/>
        <w:rPr>
          <w:rFonts w:ascii="宋体" w:hAnsi="宋体" w:eastAsia="宋体" w:cs="宋体"/>
          <w:b w:val="0"/>
          <w:sz w:val="44"/>
          <w:szCs w:val="44"/>
          <w:highlight w:val="none"/>
        </w:rPr>
      </w:pPr>
    </w:p>
    <w:p>
      <w:pPr>
        <w:pStyle w:val="3"/>
        <w:spacing w:before="0" w:after="0" w:line="560" w:lineRule="exact"/>
        <w:jc w:val="center"/>
        <w:rPr>
          <w:rFonts w:ascii="宋体" w:hAnsi="宋体" w:eastAsia="宋体" w:cs="宋体"/>
          <w:b w:val="0"/>
          <w:sz w:val="44"/>
          <w:szCs w:val="44"/>
          <w:highlight w:val="none"/>
        </w:rPr>
      </w:pPr>
    </w:p>
    <w:p>
      <w:pPr>
        <w:pStyle w:val="3"/>
        <w:spacing w:before="0" w:after="0" w:line="560" w:lineRule="exact"/>
        <w:jc w:val="center"/>
        <w:rPr>
          <w:rFonts w:ascii="宋体" w:hAnsi="宋体" w:eastAsia="宋体" w:cs="宋体"/>
          <w:b w:val="0"/>
          <w:sz w:val="44"/>
          <w:szCs w:val="44"/>
          <w:highlight w:val="none"/>
        </w:rPr>
      </w:pPr>
    </w:p>
    <w:p>
      <w:pPr>
        <w:pStyle w:val="3"/>
        <w:spacing w:before="0" w:after="0" w:line="560" w:lineRule="exact"/>
        <w:jc w:val="center"/>
        <w:rPr>
          <w:rFonts w:ascii="宋体" w:hAnsi="宋体" w:eastAsia="宋体" w:cs="宋体"/>
          <w:b w:val="0"/>
          <w:sz w:val="44"/>
          <w:szCs w:val="44"/>
          <w:highlight w:val="none"/>
        </w:rPr>
      </w:pPr>
    </w:p>
    <w:p>
      <w:pPr>
        <w:pStyle w:val="3"/>
        <w:spacing w:before="0" w:after="0" w:line="560" w:lineRule="exact"/>
        <w:rPr>
          <w:rFonts w:ascii="宋体" w:hAnsi="宋体" w:eastAsia="宋体" w:cs="宋体"/>
          <w:b w:val="0"/>
          <w:sz w:val="44"/>
          <w:szCs w:val="44"/>
          <w:highlight w:val="none"/>
        </w:rPr>
      </w:pPr>
    </w:p>
    <w:p>
      <w:pPr>
        <w:rPr>
          <w:rFonts w:ascii="宋体" w:hAnsi="宋体" w:cs="宋体"/>
          <w:b/>
          <w:sz w:val="44"/>
          <w:szCs w:val="44"/>
          <w:highlight w:val="none"/>
        </w:rPr>
      </w:pPr>
    </w:p>
    <w:p>
      <w:pPr>
        <w:rPr>
          <w:rFonts w:ascii="宋体" w:hAnsi="宋体" w:cs="宋体"/>
          <w:b/>
          <w:sz w:val="44"/>
          <w:szCs w:val="44"/>
          <w:highlight w:val="none"/>
        </w:rPr>
      </w:pPr>
    </w:p>
    <w:p>
      <w:pPr>
        <w:pStyle w:val="3"/>
        <w:spacing w:before="0" w:after="0" w:line="560" w:lineRule="exact"/>
        <w:jc w:val="center"/>
        <w:rPr>
          <w:rFonts w:ascii="宋体" w:hAnsi="宋体" w:eastAsia="宋体" w:cs="宋体"/>
          <w:b w:val="0"/>
          <w:sz w:val="44"/>
          <w:szCs w:val="44"/>
          <w:highlight w:val="none"/>
        </w:rPr>
      </w:pPr>
      <w:bookmarkStart w:id="78" w:name="_Toc24151"/>
      <w:r>
        <w:rPr>
          <w:rFonts w:hint="eastAsia" w:ascii="宋体" w:hAnsi="宋体" w:eastAsia="宋体" w:cs="宋体"/>
          <w:b w:val="0"/>
          <w:sz w:val="44"/>
          <w:szCs w:val="44"/>
          <w:highlight w:val="none"/>
        </w:rPr>
        <w:t>第六篇响应文件格式要求</w:t>
      </w:r>
      <w:bookmarkEnd w:id="77"/>
      <w:bookmarkEnd w:id="78"/>
    </w:p>
    <w:p>
      <w:pPr>
        <w:rPr>
          <w:rFonts w:ascii="宋体" w:hAnsi="宋体" w:cs="宋体"/>
          <w:highlight w:val="none"/>
        </w:rPr>
      </w:pP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一、经济部分</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（一）竞争性报价函</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（二）明细报价表</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二、技术部分</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技术响应偏离表</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三、服务部分</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服务响应偏离表</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四、资格条件及其他</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（一）营业执照（副本）或事业单位法人证书（副本）复印件</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（二）组织机构代码证复印件</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（三）法定代表人身份证明书（格式）</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（四）法定代表人授权委托书（格式）</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（五）2022或2023年度财务状况报告（表）或其基本开户银行出具的资信证明复印件，本年度新成立或成立不满一年的组织和自然人无法提供财务状况报告（表）的，可提供银行出具的资信证明复印件。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（六）书面声明（格式）</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（七）税务登记证（副本）复印件</w:t>
      </w: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说明：供应商按“多证合一”登记制度办理营业执照的，</w:t>
      </w:r>
      <w:r>
        <w:rPr>
          <w:rFonts w:hint="eastAsia" w:ascii="宋体" w:hAnsi="宋体" w:cs="宋体"/>
          <w:kern w:val="0"/>
          <w:szCs w:val="28"/>
          <w:highlight w:val="none"/>
        </w:rPr>
        <w:t>组织机构代码证、税务登记证（副本）和社会保险登记证</w:t>
      </w:r>
      <w:r>
        <w:rPr>
          <w:rFonts w:hint="eastAsia" w:ascii="宋体" w:hAnsi="宋体" w:cs="宋体"/>
          <w:szCs w:val="28"/>
          <w:highlight w:val="none"/>
        </w:rPr>
        <w:t>以供应商所提供的营业执照（副本）复印件为准。</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五、其他应提供的资料</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（一）供应商小微企业证明文件、微型企业承诺书、监狱企业证明文件、残疾人福利性单位声明函</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t>（二）其他与项目有关的资料（自附）</w:t>
      </w:r>
    </w:p>
    <w:p>
      <w:pPr>
        <w:snapToGrid w:val="0"/>
        <w:spacing w:line="560" w:lineRule="exact"/>
        <w:rPr>
          <w:rFonts w:ascii="宋体" w:hAnsi="宋体" w:cs="宋体"/>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宋体" w:hAnsi="宋体" w:cs="宋体"/>
          <w:b w:val="0"/>
          <w:sz w:val="28"/>
          <w:szCs w:val="28"/>
          <w:highlight w:val="none"/>
        </w:rPr>
      </w:pPr>
      <w:bookmarkStart w:id="79" w:name="_Toc313008356"/>
      <w:bookmarkStart w:id="80" w:name="_Toc313888360"/>
      <w:bookmarkStart w:id="81" w:name="_Toc342913419"/>
      <w:bookmarkStart w:id="82" w:name="_Toc3103"/>
      <w:bookmarkStart w:id="83" w:name="_Toc12789073"/>
      <w:bookmarkStart w:id="84" w:name="_Toc283382454"/>
      <w:r>
        <w:rPr>
          <w:rFonts w:hint="eastAsia" w:ascii="宋体" w:hAnsi="宋体" w:cs="宋体"/>
          <w:b w:val="0"/>
          <w:sz w:val="28"/>
          <w:szCs w:val="28"/>
          <w:highlight w:val="none"/>
        </w:rPr>
        <w:t>一、经济部分</w:t>
      </w:r>
      <w:bookmarkEnd w:id="79"/>
      <w:bookmarkEnd w:id="80"/>
      <w:bookmarkEnd w:id="81"/>
      <w:bookmarkEnd w:id="82"/>
    </w:p>
    <w:bookmarkEnd w:id="83"/>
    <w:bookmarkEnd w:id="84"/>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（一）竞争性报价函</w:t>
      </w:r>
    </w:p>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竞争性报价函</w:t>
      </w:r>
    </w:p>
    <w:p>
      <w:pPr>
        <w:tabs>
          <w:tab w:val="left" w:pos="6300"/>
        </w:tabs>
        <w:snapToGrid w:val="0"/>
        <w:spacing w:line="560" w:lineRule="exact"/>
        <w:rPr>
          <w:rFonts w:ascii="宋体" w:hAnsi="宋体" w:cs="宋体"/>
          <w:szCs w:val="28"/>
          <w:highlight w:val="none"/>
        </w:rPr>
      </w:pPr>
      <w:r>
        <w:rPr>
          <w:rFonts w:hint="eastAsia" w:ascii="宋体" w:hAnsi="宋体" w:cs="宋体"/>
          <w:szCs w:val="28"/>
          <w:highlight w:val="none"/>
          <w:u w:val="single"/>
        </w:rPr>
        <w:t>（采购代理机构名称）</w:t>
      </w:r>
      <w:r>
        <w:rPr>
          <w:rFonts w:hint="eastAsia" w:ascii="宋体" w:hAnsi="宋体" w:cs="宋体"/>
          <w:szCs w:val="28"/>
          <w:highlight w:val="none"/>
        </w:rPr>
        <w:t>：</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我方收到____________________________（谈判项目名称）的竞争性谈判文件，经详细研究，决定参加该谈判项目的竞争谈判。</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2.我方现提交的响应文件为：响应文件正本份，副本份，电子文档份。</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3.我方承诺：本次谈判的有效期为90天。</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4.我方完全理解和接受贵方竞争性谈判文件的一切规定和要求及谈判评审办法。</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5.在整个竞争性谈判过程中，我方若有违规行为，接受按照《中华人民共和国政府采购法》和《竞争性谈判文件》之规定给予惩罚。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6.我方若成为成交供应商，将按照最终谈判结果签订合同，并且严格履行合同义务。本承诺函将成为合同不可分割的一部分，与合同具有同等的法律效力。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8.我方未为采购项目提供整体设计、规范编制或者项目管理、监理、检测等服务。</w:t>
      </w: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供应商（公章）：</w:t>
      </w: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地址：</w:t>
      </w: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电话：传真：</w:t>
      </w: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网址：邮编：</w:t>
      </w: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联系人：</w:t>
      </w:r>
    </w:p>
    <w:p>
      <w:pPr>
        <w:snapToGrid w:val="0"/>
        <w:spacing w:line="560" w:lineRule="exact"/>
        <w:ind w:firstLine="560" w:firstLineChars="200"/>
        <w:rPr>
          <w:rFonts w:ascii="宋体" w:hAnsi="宋体" w:cs="宋体"/>
          <w:szCs w:val="28"/>
          <w:highlight w:val="none"/>
        </w:rPr>
        <w:sectPr>
          <w:pgSz w:w="11907" w:h="16840"/>
          <w:pgMar w:top="1134" w:right="1304" w:bottom="1134" w:left="1304" w:header="851" w:footer="992" w:gutter="0"/>
          <w:pgNumType w:fmt="numberInDash"/>
          <w:cols w:space="720" w:num="1"/>
          <w:docGrid w:linePitch="380" w:charSpace="-5735"/>
        </w:sectPr>
      </w:pPr>
      <w:r>
        <w:rPr>
          <w:rFonts w:hint="eastAsia" w:ascii="宋体" w:hAnsi="宋体" w:cs="宋体"/>
          <w:szCs w:val="28"/>
          <w:highlight w:val="none"/>
        </w:rPr>
        <w:t>年月日</w:t>
      </w:r>
    </w:p>
    <w:p>
      <w:pPr>
        <w:tabs>
          <w:tab w:val="left" w:pos="2895"/>
        </w:tabs>
        <w:spacing w:line="560" w:lineRule="exact"/>
        <w:ind w:firstLine="560" w:firstLineChars="200"/>
        <w:rPr>
          <w:rFonts w:ascii="宋体" w:hAnsi="宋体" w:cs="宋体"/>
          <w:szCs w:val="28"/>
          <w:highlight w:val="none"/>
        </w:rPr>
      </w:pPr>
      <w:r>
        <w:rPr>
          <w:rFonts w:hint="eastAsia" w:ascii="宋体" w:hAnsi="宋体" w:cs="宋体"/>
          <w:szCs w:val="28"/>
          <w:highlight w:val="none"/>
        </w:rPr>
        <w:t>（二）明细报价表</w:t>
      </w:r>
    </w:p>
    <w:p>
      <w:pPr>
        <w:spacing w:line="560" w:lineRule="exact"/>
        <w:jc w:val="center"/>
        <w:rPr>
          <w:rFonts w:ascii="宋体" w:hAnsi="宋体" w:cs="宋体"/>
          <w:szCs w:val="28"/>
          <w:highlight w:val="none"/>
        </w:rPr>
      </w:pPr>
      <w:r>
        <w:rPr>
          <w:rFonts w:hint="eastAsia" w:ascii="宋体" w:hAnsi="宋体" w:cs="宋体"/>
          <w:szCs w:val="28"/>
          <w:highlight w:val="none"/>
        </w:rPr>
        <w:t>明细报价表</w:t>
      </w:r>
    </w:p>
    <w:p>
      <w:pPr>
        <w:spacing w:line="560" w:lineRule="exact"/>
        <w:rPr>
          <w:rFonts w:ascii="宋体" w:hAnsi="宋体" w:cs="宋体"/>
          <w:szCs w:val="28"/>
          <w:highlight w:val="none"/>
        </w:rPr>
      </w:pPr>
      <w:r>
        <w:rPr>
          <w:rFonts w:hint="eastAsia" w:ascii="宋体" w:hAnsi="宋体" w:cs="宋体"/>
          <w:szCs w:val="28"/>
          <w:highlight w:val="none"/>
        </w:rPr>
        <w:t>项目号：谈判项目编号：</w:t>
      </w:r>
    </w:p>
    <w:p>
      <w:pPr>
        <w:spacing w:line="560" w:lineRule="exact"/>
        <w:rPr>
          <w:rFonts w:ascii="宋体" w:hAnsi="宋体" w:cs="宋体"/>
          <w:szCs w:val="28"/>
          <w:highlight w:val="none"/>
          <w:u w:val="single"/>
        </w:rPr>
      </w:pPr>
      <w:r>
        <w:rPr>
          <w:rFonts w:hint="eastAsia" w:ascii="宋体" w:hAnsi="宋体" w:cs="宋体"/>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2"/>
              <w:spacing w:line="560" w:lineRule="exact"/>
              <w:jc w:val="center"/>
              <w:rPr>
                <w:rFonts w:ascii="宋体" w:hAnsi="宋体" w:cs="宋体"/>
                <w:szCs w:val="28"/>
                <w:highlight w:val="none"/>
              </w:rPr>
            </w:pPr>
            <w:r>
              <w:rPr>
                <w:rFonts w:hint="eastAsia" w:ascii="宋体" w:hAnsi="宋体" w:cs="宋体"/>
                <w:szCs w:val="28"/>
                <w:highlight w:val="none"/>
              </w:rPr>
              <w:t>单价</w:t>
            </w:r>
          </w:p>
          <w:p>
            <w:pPr>
              <w:pStyle w:val="32"/>
              <w:spacing w:line="560" w:lineRule="exact"/>
              <w:jc w:val="center"/>
              <w:rPr>
                <w:rFonts w:ascii="宋体" w:hAnsi="宋体" w:cs="宋体"/>
                <w:szCs w:val="28"/>
                <w:highlight w:val="none"/>
              </w:rPr>
            </w:pPr>
            <w:r>
              <w:rPr>
                <w:rFonts w:hint="eastAsia" w:ascii="宋体" w:hAnsi="宋体" w:cs="宋体"/>
                <w:szCs w:val="28"/>
                <w:highlight w:val="none"/>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r>
              <w:rPr>
                <w:rFonts w:hint="eastAsia" w:ascii="宋体" w:hAnsi="宋体" w:cs="宋体"/>
                <w:szCs w:val="28"/>
                <w:highlight w:val="none"/>
              </w:rPr>
              <w:t>合计</w:t>
            </w:r>
          </w:p>
          <w:p>
            <w:pPr>
              <w:spacing w:line="560" w:lineRule="exact"/>
              <w:jc w:val="center"/>
              <w:rPr>
                <w:rFonts w:ascii="宋体" w:hAnsi="宋体" w:cs="宋体"/>
                <w:szCs w:val="28"/>
                <w:highlight w:val="none"/>
              </w:rPr>
            </w:pPr>
            <w:r>
              <w:rPr>
                <w:rFonts w:hint="eastAsia" w:ascii="宋体" w:hAnsi="宋体" w:cs="宋体"/>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szCs w:val="28"/>
                <w:highlight w:val="none"/>
              </w:rPr>
            </w:pPr>
          </w:p>
        </w:tc>
      </w:tr>
    </w:tbl>
    <w:p>
      <w:pPr>
        <w:snapToGrid w:val="0"/>
        <w:spacing w:line="560" w:lineRule="exact"/>
        <w:rPr>
          <w:rFonts w:ascii="宋体" w:hAnsi="宋体" w:cs="宋体"/>
          <w:szCs w:val="28"/>
          <w:highlight w:val="none"/>
        </w:rPr>
      </w:pPr>
    </w:p>
    <w:p>
      <w:pPr>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注：1.供应商应完整填写本表。</w:t>
      </w:r>
    </w:p>
    <w:p>
      <w:pPr>
        <w:snapToGrid w:val="0"/>
        <w:spacing w:line="560" w:lineRule="exact"/>
        <w:rPr>
          <w:rFonts w:ascii="宋体" w:hAnsi="宋体" w:cs="宋体"/>
          <w:szCs w:val="28"/>
          <w:highlight w:val="none"/>
        </w:rPr>
      </w:pPr>
      <w:r>
        <w:rPr>
          <w:rFonts w:hint="eastAsia" w:ascii="宋体" w:hAnsi="宋体" w:cs="宋体"/>
          <w:szCs w:val="28"/>
          <w:highlight w:val="none"/>
        </w:rPr>
        <w:t xml:space="preserve">        2.该表可扩展</w:t>
      </w:r>
      <w:bookmarkStart w:id="85" w:name="OLE_LINK1"/>
      <w:bookmarkStart w:id="86" w:name="OLE_LINK2"/>
      <w:r>
        <w:rPr>
          <w:rFonts w:hint="eastAsia" w:ascii="宋体" w:hAnsi="宋体" w:cs="宋体"/>
          <w:szCs w:val="28"/>
          <w:highlight w:val="none"/>
        </w:rPr>
        <w:t>，并逐页签字或盖章。</w:t>
      </w:r>
      <w:bookmarkEnd w:id="85"/>
      <w:bookmarkEnd w:id="86"/>
    </w:p>
    <w:p>
      <w:pPr>
        <w:snapToGrid w:val="0"/>
        <w:spacing w:line="560" w:lineRule="exact"/>
        <w:rPr>
          <w:rFonts w:ascii="宋体" w:hAnsi="宋体" w:cs="宋体"/>
          <w:szCs w:val="28"/>
          <w:highlight w:val="none"/>
        </w:rPr>
      </w:pPr>
    </w:p>
    <w:p>
      <w:pPr>
        <w:snapToGrid w:val="0"/>
        <w:spacing w:line="560" w:lineRule="exact"/>
        <w:rPr>
          <w:rFonts w:ascii="宋体" w:hAnsi="宋体" w:cs="宋体"/>
          <w:szCs w:val="28"/>
          <w:highlight w:val="none"/>
        </w:rPr>
      </w:pPr>
      <w:r>
        <w:rPr>
          <w:rFonts w:hint="eastAsia" w:ascii="宋体" w:hAnsi="宋体" w:cs="宋体"/>
          <w:szCs w:val="28"/>
          <w:highlight w:val="none"/>
        </w:rPr>
        <w:t>供应商名称（公章）：</w:t>
      </w:r>
    </w:p>
    <w:p>
      <w:pPr>
        <w:spacing w:line="560" w:lineRule="exact"/>
        <w:ind w:firstLine="6580" w:firstLineChars="2350"/>
        <w:rPr>
          <w:rFonts w:ascii="宋体" w:hAnsi="宋体" w:cs="宋体"/>
          <w:szCs w:val="28"/>
          <w:highlight w:val="none"/>
        </w:rPr>
      </w:pPr>
      <w:r>
        <w:rPr>
          <w:rFonts w:hint="eastAsia" w:ascii="宋体" w:hAnsi="宋体" w:cs="宋体"/>
          <w:szCs w:val="28"/>
          <w:highlight w:val="none"/>
        </w:rPr>
        <w:t>年月日</w:t>
      </w:r>
    </w:p>
    <w:p>
      <w:pPr>
        <w:snapToGrid w:val="0"/>
        <w:spacing w:line="560" w:lineRule="exact"/>
        <w:ind w:firstLine="560" w:firstLineChars="200"/>
        <w:rPr>
          <w:rFonts w:ascii="宋体" w:hAnsi="宋体" w:cs="宋体"/>
          <w:szCs w:val="28"/>
          <w:highlight w:val="none"/>
          <w:bdr w:val="single" w:color="auto" w:sz="4" w:space="0"/>
        </w:rPr>
        <w:sectPr>
          <w:headerReference r:id="rId15"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宋体" w:hAnsi="宋体" w:cs="宋体"/>
          <w:b w:val="0"/>
          <w:sz w:val="28"/>
          <w:szCs w:val="28"/>
          <w:highlight w:val="none"/>
        </w:rPr>
      </w:pPr>
      <w:bookmarkStart w:id="87" w:name="_Toc313008357"/>
      <w:bookmarkStart w:id="88" w:name="_Toc342913420"/>
      <w:bookmarkStart w:id="89" w:name="_Toc313888361"/>
      <w:bookmarkStart w:id="90" w:name="_Toc20034"/>
      <w:r>
        <w:rPr>
          <w:rFonts w:hint="eastAsia" w:ascii="宋体" w:hAnsi="宋体" w:cs="宋体"/>
          <w:b w:val="0"/>
          <w:sz w:val="28"/>
          <w:szCs w:val="28"/>
          <w:highlight w:val="none"/>
        </w:rPr>
        <w:t>二、技术部分</w:t>
      </w:r>
      <w:bookmarkEnd w:id="87"/>
      <w:bookmarkEnd w:id="88"/>
      <w:bookmarkEnd w:id="89"/>
      <w:bookmarkEnd w:id="90"/>
    </w:p>
    <w:p>
      <w:pPr>
        <w:snapToGrid w:val="0"/>
        <w:spacing w:line="560" w:lineRule="exact"/>
        <w:jc w:val="center"/>
        <w:rPr>
          <w:rFonts w:ascii="宋体" w:hAnsi="宋体" w:cs="宋体"/>
          <w:szCs w:val="28"/>
          <w:highlight w:val="none"/>
        </w:rPr>
      </w:pPr>
      <w:r>
        <w:rPr>
          <w:rFonts w:hint="eastAsia" w:ascii="宋体" w:hAnsi="宋体" w:cs="宋体"/>
          <w:szCs w:val="28"/>
          <w:highlight w:val="none"/>
        </w:rPr>
        <w:t>技术响应偏离表</w:t>
      </w:r>
    </w:p>
    <w:p>
      <w:pPr>
        <w:spacing w:line="560" w:lineRule="exact"/>
        <w:ind w:firstLine="140" w:firstLineChars="50"/>
        <w:rPr>
          <w:rFonts w:ascii="宋体" w:hAnsi="宋体" w:cs="宋体"/>
          <w:szCs w:val="28"/>
          <w:highlight w:val="none"/>
        </w:rPr>
      </w:pPr>
      <w:r>
        <w:rPr>
          <w:rFonts w:hint="eastAsia" w:ascii="宋体" w:hAnsi="宋体" w:cs="宋体"/>
          <w:szCs w:val="28"/>
          <w:highlight w:val="none"/>
        </w:rPr>
        <w:t>项目号：谈判项目编号：</w:t>
      </w:r>
    </w:p>
    <w:p>
      <w:pPr>
        <w:pStyle w:val="32"/>
        <w:tabs>
          <w:tab w:val="left" w:pos="6300"/>
        </w:tabs>
        <w:snapToGrid w:val="0"/>
        <w:spacing w:line="560" w:lineRule="exact"/>
        <w:ind w:firstLine="140" w:firstLineChars="50"/>
        <w:outlineLvl w:val="0"/>
        <w:rPr>
          <w:rFonts w:ascii="宋体" w:hAnsi="宋体" w:cs="宋体"/>
          <w:szCs w:val="28"/>
          <w:highlight w:val="none"/>
        </w:rPr>
      </w:pPr>
      <w:r>
        <w:rPr>
          <w:rFonts w:hint="eastAsia" w:ascii="宋体" w:hAnsi="宋体" w:cs="宋体"/>
          <w:szCs w:val="28"/>
          <w:highlight w:val="none"/>
        </w:rPr>
        <w:t>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bl>
    <w:p>
      <w:pPr>
        <w:spacing w:line="560" w:lineRule="exact"/>
        <w:ind w:firstLine="700" w:firstLineChars="250"/>
        <w:rPr>
          <w:rFonts w:ascii="宋体" w:hAnsi="宋体" w:cs="宋体"/>
          <w:szCs w:val="28"/>
          <w:highlight w:val="none"/>
        </w:rPr>
      </w:pPr>
      <w:r>
        <w:rPr>
          <w:rFonts w:hint="eastAsia" w:ascii="宋体" w:hAnsi="宋体" w:cs="宋体"/>
          <w:szCs w:val="28"/>
          <w:highlight w:val="none"/>
        </w:rPr>
        <w:t>供应商：法定代表人授权代表：</w:t>
      </w:r>
    </w:p>
    <w:p>
      <w:pPr>
        <w:spacing w:line="560" w:lineRule="exact"/>
        <w:rPr>
          <w:rFonts w:ascii="宋体" w:hAnsi="宋体" w:cs="宋体"/>
          <w:szCs w:val="28"/>
          <w:highlight w:val="none"/>
        </w:rPr>
      </w:pPr>
      <w:r>
        <w:rPr>
          <w:rFonts w:hint="eastAsia" w:ascii="宋体" w:hAnsi="宋体" w:cs="宋体"/>
          <w:szCs w:val="28"/>
          <w:highlight w:val="none"/>
        </w:rPr>
        <w:t>（供应商公章）（签字或盖章）</w:t>
      </w: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年月日</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注：</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1.本表即为对本项目“第三篇谈判项目技术需求”中所列技术要求进行比较和响应；</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3.该表可扩展，并逐页签字或盖章；</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4.可附相关技术支撑材料（格式自定）。</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5.根据响应情况在“差异说明”项填写正偏离或负偏离及原因，完全符合的填写“无差异”。</w:t>
      </w:r>
    </w:p>
    <w:p>
      <w:pPr>
        <w:pStyle w:val="4"/>
        <w:spacing w:before="0" w:after="0" w:line="560" w:lineRule="exact"/>
        <w:ind w:firstLine="420" w:firstLineChars="150"/>
        <w:rPr>
          <w:rFonts w:ascii="宋体" w:hAnsi="宋体" w:cs="宋体"/>
          <w:b w:val="0"/>
          <w:sz w:val="28"/>
          <w:szCs w:val="28"/>
          <w:highlight w:val="none"/>
        </w:rPr>
      </w:pPr>
      <w:r>
        <w:rPr>
          <w:rFonts w:hint="eastAsia" w:ascii="宋体" w:hAnsi="宋体" w:cs="宋体"/>
          <w:b w:val="0"/>
          <w:sz w:val="28"/>
          <w:szCs w:val="28"/>
          <w:highlight w:val="none"/>
        </w:rPr>
        <w:br w:type="page"/>
      </w:r>
      <w:bookmarkStart w:id="91" w:name="_Toc27541"/>
      <w:bookmarkStart w:id="92" w:name="_Toc313888362"/>
      <w:bookmarkStart w:id="93" w:name="_Toc313008358"/>
      <w:bookmarkStart w:id="94" w:name="_Toc342913421"/>
      <w:r>
        <w:rPr>
          <w:rFonts w:hint="eastAsia" w:ascii="宋体" w:hAnsi="宋体" w:cs="宋体"/>
          <w:b w:val="0"/>
          <w:sz w:val="28"/>
          <w:szCs w:val="28"/>
          <w:highlight w:val="none"/>
        </w:rPr>
        <w:t>三、服务部分</w:t>
      </w:r>
      <w:bookmarkEnd w:id="91"/>
    </w:p>
    <w:p>
      <w:pPr>
        <w:snapToGrid w:val="0"/>
        <w:spacing w:line="560" w:lineRule="exact"/>
        <w:jc w:val="center"/>
        <w:rPr>
          <w:rFonts w:ascii="宋体" w:hAnsi="宋体" w:cs="宋体"/>
          <w:szCs w:val="28"/>
          <w:highlight w:val="none"/>
        </w:rPr>
      </w:pPr>
      <w:r>
        <w:rPr>
          <w:rFonts w:hint="eastAsia" w:ascii="宋体" w:hAnsi="宋体" w:cs="宋体"/>
          <w:szCs w:val="28"/>
          <w:highlight w:val="none"/>
        </w:rPr>
        <w:t>服务响应偏离表</w:t>
      </w:r>
    </w:p>
    <w:p>
      <w:pPr>
        <w:spacing w:line="560" w:lineRule="exact"/>
        <w:ind w:firstLine="140" w:firstLineChars="50"/>
        <w:rPr>
          <w:rFonts w:ascii="宋体" w:hAnsi="宋体" w:cs="宋体"/>
          <w:szCs w:val="28"/>
          <w:highlight w:val="none"/>
        </w:rPr>
      </w:pPr>
      <w:r>
        <w:rPr>
          <w:rFonts w:hint="eastAsia" w:ascii="宋体" w:hAnsi="宋体" w:cs="宋体"/>
          <w:szCs w:val="28"/>
          <w:highlight w:val="none"/>
        </w:rPr>
        <w:t>项目号：谈判项目编号：</w:t>
      </w:r>
    </w:p>
    <w:p>
      <w:pPr>
        <w:snapToGrid w:val="0"/>
        <w:spacing w:line="560" w:lineRule="exact"/>
        <w:ind w:firstLine="140" w:firstLineChars="50"/>
        <w:rPr>
          <w:rFonts w:ascii="宋体" w:hAnsi="宋体" w:cs="宋体"/>
          <w:szCs w:val="28"/>
          <w:highlight w:val="none"/>
        </w:rPr>
      </w:pPr>
      <w:r>
        <w:rPr>
          <w:rFonts w:hint="eastAsia" w:ascii="宋体" w:hAnsi="宋体" w:cs="宋体"/>
          <w:szCs w:val="28"/>
          <w:highlight w:val="none"/>
        </w:rPr>
        <w:t>项目名称：</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宋体" w:hAnsi="宋体" w:cs="宋体"/>
                <w:szCs w:val="28"/>
                <w:highlight w:val="none"/>
              </w:rPr>
            </w:pPr>
          </w:p>
        </w:tc>
      </w:tr>
    </w:tbl>
    <w:p>
      <w:pPr>
        <w:spacing w:line="560" w:lineRule="exact"/>
        <w:ind w:firstLine="700" w:firstLineChars="250"/>
        <w:rPr>
          <w:rFonts w:ascii="宋体" w:hAnsi="宋体" w:cs="宋体"/>
          <w:szCs w:val="28"/>
          <w:highlight w:val="none"/>
        </w:rPr>
      </w:pPr>
      <w:r>
        <w:rPr>
          <w:rFonts w:hint="eastAsia" w:ascii="宋体" w:hAnsi="宋体" w:cs="宋体"/>
          <w:szCs w:val="28"/>
          <w:highlight w:val="none"/>
        </w:rPr>
        <w:t>供应商：法定代表人授权代表：</w:t>
      </w:r>
    </w:p>
    <w:p>
      <w:pPr>
        <w:spacing w:line="560" w:lineRule="exact"/>
        <w:rPr>
          <w:rFonts w:ascii="宋体" w:hAnsi="宋体" w:cs="宋体"/>
          <w:szCs w:val="28"/>
          <w:highlight w:val="none"/>
        </w:rPr>
      </w:pPr>
    </w:p>
    <w:p>
      <w:pPr>
        <w:spacing w:line="560" w:lineRule="exact"/>
        <w:ind w:firstLine="420" w:firstLineChars="150"/>
        <w:rPr>
          <w:rFonts w:ascii="宋体" w:hAnsi="宋体" w:cs="宋体"/>
          <w:szCs w:val="28"/>
          <w:highlight w:val="none"/>
        </w:rPr>
      </w:pPr>
      <w:r>
        <w:rPr>
          <w:rFonts w:hint="eastAsia" w:ascii="宋体" w:hAnsi="宋体" w:cs="宋体"/>
          <w:szCs w:val="28"/>
          <w:highlight w:val="none"/>
        </w:rPr>
        <w:t>（供应商公章）（签字或盖章）</w:t>
      </w: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年月日</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注：</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1.本表即为对本项目“第四篇谈判项目服务需求”中所列服务要求进行比较和响应；</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3.该表可扩展，并逐页签字或盖章；</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4. 根据响应情况在“差异说明”项填写正偏离或负偏离及原因，完全符合的填写“无差异”。</w:t>
      </w: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p>
    <w:p>
      <w:pPr>
        <w:pStyle w:val="4"/>
        <w:spacing w:before="0" w:after="0" w:line="560" w:lineRule="exact"/>
        <w:ind w:firstLine="560" w:firstLineChars="200"/>
        <w:rPr>
          <w:rFonts w:ascii="宋体" w:hAnsi="宋体" w:cs="宋体"/>
          <w:b w:val="0"/>
          <w:sz w:val="28"/>
          <w:szCs w:val="28"/>
          <w:highlight w:val="none"/>
        </w:rPr>
      </w:pPr>
      <w:bookmarkStart w:id="95" w:name="_Toc21974"/>
      <w:r>
        <w:rPr>
          <w:rFonts w:hint="eastAsia" w:ascii="宋体" w:hAnsi="宋体" w:cs="宋体"/>
          <w:b w:val="0"/>
          <w:sz w:val="28"/>
          <w:szCs w:val="28"/>
          <w:highlight w:val="none"/>
        </w:rPr>
        <w:t>四、</w:t>
      </w:r>
      <w:bookmarkEnd w:id="92"/>
      <w:bookmarkEnd w:id="93"/>
      <w:bookmarkEnd w:id="94"/>
      <w:r>
        <w:rPr>
          <w:rFonts w:hint="eastAsia" w:ascii="宋体" w:hAnsi="宋体" w:cs="宋体"/>
          <w:b w:val="0"/>
          <w:sz w:val="28"/>
          <w:szCs w:val="28"/>
          <w:highlight w:val="none"/>
        </w:rPr>
        <w:t>资格条件及其他</w:t>
      </w:r>
      <w:bookmarkEnd w:id="95"/>
      <w:bookmarkStart w:id="96" w:name="_Toc342913422"/>
      <w:bookmarkStart w:id="97" w:name="_Toc313888363"/>
      <w:bookmarkStart w:id="98" w:name="_Toc313008359"/>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（一）营业执照（副本）或事业单位法人证书（副本）复印件</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（二）组织机构代码证复印件</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widowControl/>
        <w:spacing w:line="560" w:lineRule="exact"/>
        <w:ind w:firstLine="560" w:firstLineChars="200"/>
        <w:jc w:val="left"/>
        <w:rPr>
          <w:rFonts w:ascii="宋体" w:hAnsi="宋体" w:cs="宋体"/>
          <w:szCs w:val="28"/>
          <w:highlight w:val="none"/>
        </w:rPr>
      </w:pPr>
      <w:r>
        <w:rPr>
          <w:rFonts w:hint="eastAsia" w:ascii="宋体" w:hAnsi="宋体" w:cs="宋体"/>
          <w:szCs w:val="28"/>
          <w:highlight w:val="none"/>
        </w:rPr>
        <w:br w:type="page"/>
      </w:r>
      <w:r>
        <w:rPr>
          <w:rFonts w:hint="eastAsia" w:ascii="宋体" w:hAnsi="宋体" w:cs="宋体"/>
          <w:szCs w:val="28"/>
          <w:highlight w:val="none"/>
        </w:rPr>
        <w:t>（三）法定代表人身份证明书（格式）</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项目名称：</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致：（采购代理机构名称）：</w:t>
      </w: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（法定代表人姓名）在（供应商名称）任（职务名称）职务，是（供应商名称）的法定代表人。</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特此证明。</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（供应商公章）</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年月日</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（附：法定代表人身份证正反面复印件）</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br w:type="column"/>
      </w:r>
      <w:r>
        <w:rPr>
          <w:rFonts w:hint="eastAsia" w:ascii="宋体" w:hAnsi="宋体" w:cs="宋体"/>
          <w:szCs w:val="28"/>
          <w:highlight w:val="none"/>
        </w:rPr>
        <w:t>（四）法定代表人授权委托书（格式）</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项目名称：</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致：（采购代理机构名称）：</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我单位对被授权人的签字负全部责任。</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被授权人：供应商法定代表人：</w:t>
      </w: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（签字或盖章）（签字或盖章）</w:t>
      </w:r>
    </w:p>
    <w:p>
      <w:pPr>
        <w:tabs>
          <w:tab w:val="left" w:pos="6300"/>
        </w:tabs>
        <w:snapToGrid w:val="0"/>
        <w:spacing w:line="560" w:lineRule="exact"/>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（附：被授权人身份证正反面复印件）</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right="560" w:firstLine="6445" w:firstLineChars="2302"/>
        <w:rPr>
          <w:rFonts w:ascii="宋体" w:hAnsi="宋体" w:cs="宋体"/>
          <w:szCs w:val="28"/>
          <w:highlight w:val="none"/>
        </w:rPr>
      </w:pPr>
      <w:r>
        <w:rPr>
          <w:rFonts w:hint="eastAsia" w:ascii="宋体" w:hAnsi="宋体" w:cs="宋体"/>
          <w:szCs w:val="28"/>
          <w:highlight w:val="none"/>
        </w:rPr>
        <w:t>（供应商公章）</w:t>
      </w:r>
    </w:p>
    <w:p>
      <w:pPr>
        <w:tabs>
          <w:tab w:val="left" w:pos="6300"/>
        </w:tabs>
        <w:snapToGrid w:val="0"/>
        <w:spacing w:line="560" w:lineRule="exact"/>
        <w:ind w:right="420" w:firstLine="570"/>
        <w:jc w:val="right"/>
        <w:rPr>
          <w:rFonts w:ascii="宋体" w:hAnsi="宋体" w:cs="宋体"/>
          <w:szCs w:val="28"/>
          <w:highlight w:val="none"/>
        </w:rPr>
      </w:pPr>
      <w:r>
        <w:rPr>
          <w:rFonts w:hint="eastAsia" w:ascii="宋体" w:hAnsi="宋体" w:cs="宋体"/>
          <w:szCs w:val="28"/>
          <w:highlight w:val="none"/>
        </w:rPr>
        <w:t>年月日</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r>
        <w:rPr>
          <w:rFonts w:hint="eastAsia" w:ascii="宋体" w:hAnsi="宋体" w:cs="宋体"/>
          <w:szCs w:val="28"/>
          <w:highlight w:val="none"/>
        </w:rPr>
        <w:t>（五）202</w:t>
      </w:r>
      <w:r>
        <w:rPr>
          <w:rFonts w:hint="eastAsia" w:ascii="宋体" w:hAnsi="宋体" w:cs="宋体"/>
          <w:szCs w:val="28"/>
          <w:highlight w:val="none"/>
          <w:lang w:val="en-US" w:eastAsia="zh-CN"/>
        </w:rPr>
        <w:t>2</w:t>
      </w:r>
      <w:r>
        <w:rPr>
          <w:rFonts w:hint="eastAsia" w:ascii="宋体" w:hAnsi="宋体" w:cs="宋体"/>
          <w:szCs w:val="28"/>
          <w:highlight w:val="none"/>
        </w:rPr>
        <w:t>或202</w:t>
      </w:r>
      <w:r>
        <w:rPr>
          <w:rFonts w:hint="eastAsia" w:ascii="宋体" w:hAnsi="宋体" w:cs="宋体"/>
          <w:szCs w:val="28"/>
          <w:highlight w:val="none"/>
          <w:lang w:val="en-US" w:eastAsia="zh-CN"/>
        </w:rPr>
        <w:t>3</w:t>
      </w:r>
      <w:r>
        <w:rPr>
          <w:rFonts w:hint="eastAsia" w:ascii="宋体" w:hAnsi="宋体" w:cs="宋体"/>
          <w:szCs w:val="28"/>
          <w:highlight w:val="none"/>
        </w:rPr>
        <w:t>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宋体" w:hAnsi="宋体" w:cs="宋体"/>
          <w:szCs w:val="28"/>
          <w:highlight w:val="none"/>
        </w:rPr>
      </w:pPr>
      <w:r>
        <w:rPr>
          <w:rFonts w:hint="eastAsia" w:ascii="宋体" w:hAnsi="宋体" w:cs="宋体"/>
          <w:szCs w:val="28"/>
          <w:highlight w:val="none"/>
        </w:rPr>
        <w:br w:type="page"/>
      </w:r>
      <w:r>
        <w:rPr>
          <w:rFonts w:hint="eastAsia" w:ascii="宋体" w:hAnsi="宋体" w:cs="宋体"/>
          <w:szCs w:val="28"/>
          <w:highlight w:val="none"/>
        </w:rPr>
        <w:t>（六）书面声明</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项目名称：</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致：（采购代理机构名称）：</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特此声明。</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right="560" w:firstLine="570"/>
        <w:jc w:val="center"/>
        <w:rPr>
          <w:rFonts w:ascii="宋体" w:hAnsi="宋体" w:cs="宋体"/>
          <w:szCs w:val="28"/>
          <w:highlight w:val="none"/>
        </w:rPr>
      </w:pPr>
      <w:r>
        <w:rPr>
          <w:rFonts w:hint="eastAsia" w:ascii="宋体" w:hAnsi="宋体" w:cs="宋体"/>
          <w:szCs w:val="28"/>
          <w:highlight w:val="none"/>
        </w:rPr>
        <w:t>（供应商公章）</w:t>
      </w:r>
    </w:p>
    <w:p>
      <w:pPr>
        <w:tabs>
          <w:tab w:val="left" w:pos="6300"/>
        </w:tabs>
        <w:snapToGrid w:val="0"/>
        <w:spacing w:line="560" w:lineRule="exact"/>
        <w:ind w:right="560" w:firstLine="570"/>
        <w:jc w:val="right"/>
        <w:rPr>
          <w:rFonts w:ascii="宋体" w:hAnsi="宋体" w:cs="宋体"/>
          <w:szCs w:val="28"/>
          <w:highlight w:val="none"/>
        </w:rPr>
      </w:pPr>
      <w:r>
        <w:rPr>
          <w:rFonts w:hint="eastAsia" w:ascii="宋体" w:hAnsi="宋体" w:cs="宋体"/>
          <w:szCs w:val="28"/>
          <w:highlight w:val="none"/>
        </w:rPr>
        <w:t>年月日</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br w:type="page"/>
      </w:r>
      <w:r>
        <w:rPr>
          <w:rFonts w:hint="eastAsia" w:ascii="宋体" w:hAnsi="宋体" w:cs="宋体"/>
          <w:szCs w:val="28"/>
          <w:highlight w:val="none"/>
        </w:rPr>
        <w:t>（七）税务登记证（副本）复印件</w:t>
      </w: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60"/>
        <w:rPr>
          <w:rFonts w:ascii="宋体" w:hAnsi="宋体" w:cs="宋体"/>
          <w:szCs w:val="28"/>
          <w:highlight w:val="none"/>
        </w:rPr>
      </w:pPr>
      <w:r>
        <w:rPr>
          <w:rFonts w:hint="eastAsia" w:ascii="宋体" w:hAnsi="宋体" w:cs="宋体"/>
          <w:szCs w:val="28"/>
          <w:highlight w:val="none"/>
        </w:rPr>
        <w:t>（八）缴纳社会保障金的证明材料复印件</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宋体" w:hAnsi="宋体" w:cs="宋体"/>
          <w:szCs w:val="28"/>
          <w:highlight w:val="none"/>
        </w:rPr>
      </w:pPr>
    </w:p>
    <w:p>
      <w:pPr>
        <w:tabs>
          <w:tab w:val="left" w:pos="6300"/>
        </w:tabs>
        <w:snapToGrid w:val="0"/>
        <w:spacing w:line="560" w:lineRule="exact"/>
        <w:ind w:firstLine="560"/>
        <w:rPr>
          <w:rFonts w:ascii="宋体" w:hAnsi="宋体" w:cs="宋体"/>
          <w:szCs w:val="28"/>
          <w:highlight w:val="none"/>
        </w:rPr>
      </w:pPr>
      <w:r>
        <w:rPr>
          <w:rFonts w:hint="eastAsia" w:ascii="宋体" w:hAnsi="宋体" w:cs="宋体"/>
          <w:szCs w:val="28"/>
          <w:highlight w:val="none"/>
        </w:rPr>
        <w:t>说明：供应商按“多证合一”登记制度办理营业执照的，组织机构代码证、税务登记证（副本）和社会保险登记证以供应商所提供的营业执照（副本）复印件为准。</w:t>
      </w:r>
    </w:p>
    <w:p>
      <w:pPr>
        <w:pStyle w:val="4"/>
        <w:spacing w:before="0" w:after="0" w:line="560" w:lineRule="exact"/>
        <w:ind w:firstLine="560" w:firstLineChars="200"/>
        <w:rPr>
          <w:rFonts w:ascii="宋体" w:hAnsi="宋体" w:cs="宋体"/>
          <w:b w:val="0"/>
          <w:sz w:val="28"/>
          <w:szCs w:val="28"/>
          <w:highlight w:val="none"/>
        </w:rPr>
      </w:pPr>
      <w:r>
        <w:rPr>
          <w:rFonts w:hint="eastAsia" w:ascii="宋体" w:hAnsi="宋体" w:cs="宋体"/>
          <w:b w:val="0"/>
          <w:sz w:val="28"/>
          <w:szCs w:val="28"/>
          <w:highlight w:val="none"/>
        </w:rPr>
        <w:br w:type="page"/>
      </w:r>
      <w:bookmarkStart w:id="99" w:name="_Toc18453"/>
      <w:r>
        <w:rPr>
          <w:rFonts w:hint="eastAsia" w:ascii="宋体" w:hAnsi="宋体" w:cs="宋体"/>
          <w:b w:val="0"/>
          <w:sz w:val="28"/>
          <w:szCs w:val="28"/>
          <w:highlight w:val="none"/>
        </w:rPr>
        <w:t>五、</w:t>
      </w:r>
      <w:bookmarkEnd w:id="96"/>
      <w:bookmarkEnd w:id="97"/>
      <w:bookmarkEnd w:id="98"/>
      <w:r>
        <w:rPr>
          <w:rFonts w:hint="eastAsia" w:ascii="宋体" w:hAnsi="宋体" w:cs="宋体"/>
          <w:b w:val="0"/>
          <w:sz w:val="28"/>
          <w:szCs w:val="28"/>
          <w:highlight w:val="none"/>
        </w:rPr>
        <w:t>其他应提供的资料</w:t>
      </w:r>
      <w:bookmarkEnd w:id="99"/>
    </w:p>
    <w:p>
      <w:pPr>
        <w:tabs>
          <w:tab w:val="left" w:pos="6300"/>
        </w:tabs>
        <w:snapToGrid w:val="0"/>
        <w:spacing w:line="560" w:lineRule="exact"/>
        <w:ind w:firstLine="560"/>
        <w:jc w:val="left"/>
        <w:rPr>
          <w:rFonts w:ascii="宋体" w:hAnsi="宋体" w:cs="宋体"/>
          <w:szCs w:val="28"/>
          <w:highlight w:val="none"/>
        </w:rPr>
      </w:pPr>
      <w:r>
        <w:rPr>
          <w:rFonts w:hint="eastAsia" w:ascii="宋体" w:hAnsi="宋体" w:cs="宋体"/>
          <w:szCs w:val="28"/>
          <w:highlight w:val="none"/>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1.供应商提供企业所在地的县级以上中小企业主管部门本年度出具的证明文件</w:t>
      </w: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2.微型企业承诺书</w:t>
      </w:r>
    </w:p>
    <w:p>
      <w:pPr>
        <w:tabs>
          <w:tab w:val="left" w:pos="6300"/>
        </w:tabs>
        <w:snapToGrid w:val="0"/>
        <w:spacing w:line="560" w:lineRule="exact"/>
        <w:jc w:val="center"/>
        <w:outlineLvl w:val="0"/>
        <w:rPr>
          <w:rFonts w:ascii="宋体" w:hAnsi="宋体" w:cs="宋体"/>
          <w:szCs w:val="28"/>
          <w:highlight w:val="none"/>
        </w:rPr>
      </w:pPr>
      <w:r>
        <w:rPr>
          <w:rFonts w:hint="eastAsia" w:ascii="宋体" w:hAnsi="宋体" w:cs="宋体"/>
          <w:szCs w:val="28"/>
          <w:highlight w:val="none"/>
        </w:rPr>
        <w:t>微型企业承诺书</w:t>
      </w:r>
    </w:p>
    <w:p>
      <w:pPr>
        <w:tabs>
          <w:tab w:val="left" w:pos="6300"/>
        </w:tabs>
        <w:snapToGrid w:val="0"/>
        <w:spacing w:line="560" w:lineRule="exact"/>
        <w:jc w:val="center"/>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项目名称：</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致：（采购代理机构名称）：</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供应商名称）郑重声明，我公司符合工信部联企业〔2011〕300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特此承诺。</w:t>
      </w: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rPr>
          <w:rFonts w:ascii="宋体" w:hAnsi="宋体" w:cs="宋体"/>
          <w:szCs w:val="28"/>
          <w:highlight w:val="none"/>
        </w:rPr>
      </w:pPr>
    </w:p>
    <w:p>
      <w:pPr>
        <w:tabs>
          <w:tab w:val="left" w:pos="6300"/>
        </w:tabs>
        <w:snapToGrid w:val="0"/>
        <w:spacing w:line="560" w:lineRule="exact"/>
        <w:ind w:firstLine="570"/>
        <w:jc w:val="right"/>
        <w:rPr>
          <w:rFonts w:ascii="宋体" w:hAnsi="宋体" w:cs="宋体"/>
          <w:szCs w:val="28"/>
          <w:highlight w:val="none"/>
        </w:rPr>
      </w:pPr>
      <w:r>
        <w:rPr>
          <w:rFonts w:hint="eastAsia" w:ascii="宋体" w:hAnsi="宋体" w:cs="宋体"/>
          <w:szCs w:val="28"/>
          <w:highlight w:val="none"/>
        </w:rPr>
        <w:t>供应商名称（盖章）：</w:t>
      </w:r>
    </w:p>
    <w:p>
      <w:pPr>
        <w:tabs>
          <w:tab w:val="left" w:pos="6300"/>
        </w:tabs>
        <w:snapToGrid w:val="0"/>
        <w:spacing w:line="560" w:lineRule="exact"/>
        <w:ind w:firstLine="7840" w:firstLineChars="2800"/>
        <w:jc w:val="left"/>
        <w:outlineLvl w:val="0"/>
        <w:rPr>
          <w:rFonts w:ascii="宋体" w:hAnsi="宋体" w:cs="宋体"/>
          <w:szCs w:val="28"/>
          <w:highlight w:val="none"/>
        </w:rPr>
      </w:pPr>
      <w:r>
        <w:rPr>
          <w:rFonts w:hint="eastAsia" w:ascii="宋体" w:hAnsi="宋体" w:cs="宋体"/>
          <w:szCs w:val="28"/>
          <w:highlight w:val="none"/>
        </w:rPr>
        <w:t>日期：</w:t>
      </w:r>
    </w:p>
    <w:p>
      <w:pPr>
        <w:tabs>
          <w:tab w:val="left" w:pos="6300"/>
        </w:tabs>
        <w:snapToGrid w:val="0"/>
        <w:spacing w:line="560" w:lineRule="exact"/>
        <w:ind w:firstLine="560" w:firstLineChars="200"/>
        <w:outlineLvl w:val="0"/>
        <w:rPr>
          <w:rFonts w:ascii="宋体" w:hAnsi="宋体" w:cs="宋体"/>
          <w:szCs w:val="28"/>
          <w:highlight w:val="none"/>
        </w:rPr>
      </w:pPr>
      <w:r>
        <w:rPr>
          <w:rFonts w:hint="eastAsia" w:ascii="宋体" w:hAnsi="宋体" w:cs="宋体"/>
          <w:szCs w:val="28"/>
          <w:highlight w:val="none"/>
        </w:rPr>
        <w:br w:type="page"/>
      </w:r>
      <w:r>
        <w:rPr>
          <w:rFonts w:hint="eastAsia" w:ascii="宋体" w:hAnsi="宋体" w:cs="宋体"/>
          <w:szCs w:val="28"/>
          <w:highlight w:val="none"/>
        </w:rPr>
        <w:t>3.监狱企业证明文件</w:t>
      </w:r>
    </w:p>
    <w:p>
      <w:pPr>
        <w:tabs>
          <w:tab w:val="left" w:pos="6300"/>
        </w:tabs>
        <w:snapToGrid w:val="0"/>
        <w:spacing w:line="560" w:lineRule="exact"/>
        <w:ind w:firstLine="560" w:firstLineChars="200"/>
        <w:outlineLvl w:val="0"/>
        <w:rPr>
          <w:rFonts w:ascii="宋体" w:hAnsi="宋体" w:cs="宋体"/>
          <w:szCs w:val="28"/>
          <w:highlight w:val="none"/>
        </w:rPr>
      </w:pPr>
      <w:r>
        <w:rPr>
          <w:rFonts w:hint="eastAsia" w:ascii="宋体" w:hAnsi="宋体" w:cs="宋体"/>
          <w:szCs w:val="28"/>
          <w:highlight w:val="none"/>
        </w:rPr>
        <w:t>以省级以上监狱管理局、戒毒管理局（含新疆生产建设兵团）出具的属于监狱企业的证明文件为准。</w:t>
      </w:r>
      <w:r>
        <w:rPr>
          <w:rFonts w:hint="eastAsia" w:ascii="宋体" w:hAnsi="宋体" w:cs="宋体"/>
          <w:szCs w:val="28"/>
          <w:highlight w:val="none"/>
        </w:rPr>
        <w:br w:type="page"/>
      </w:r>
      <w:r>
        <w:rPr>
          <w:rFonts w:hint="eastAsia" w:ascii="宋体" w:hAnsi="宋体" w:cs="宋体"/>
          <w:szCs w:val="28"/>
          <w:highlight w:val="none"/>
        </w:rPr>
        <w:t>4.残疾人福利性单位声明函</w:t>
      </w: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60" w:firstLineChars="200"/>
        <w:jc w:val="center"/>
        <w:outlineLvl w:val="0"/>
        <w:rPr>
          <w:rFonts w:ascii="宋体" w:hAnsi="宋体" w:cs="宋体"/>
          <w:szCs w:val="28"/>
          <w:highlight w:val="none"/>
        </w:rPr>
      </w:pPr>
      <w:r>
        <w:rPr>
          <w:rFonts w:hint="eastAsia" w:ascii="宋体" w:hAnsi="宋体" w:cs="宋体"/>
          <w:szCs w:val="28"/>
          <w:highlight w:val="none"/>
        </w:rPr>
        <w:t>残疾人福利性单位声明函</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本单位对上述声明的真实性负责。如有虚假，将依法承担相应责任。</w:t>
      </w:r>
    </w:p>
    <w:p>
      <w:pPr>
        <w:tabs>
          <w:tab w:val="left" w:pos="6300"/>
        </w:tabs>
        <w:snapToGrid w:val="0"/>
        <w:spacing w:line="560" w:lineRule="exact"/>
        <w:ind w:firstLine="560" w:firstLineChars="200"/>
        <w:rPr>
          <w:rFonts w:ascii="宋体" w:hAnsi="宋体" w:cs="宋体"/>
          <w:szCs w:val="28"/>
          <w:highlight w:val="none"/>
        </w:rPr>
      </w:pPr>
    </w:p>
    <w:p>
      <w:pPr>
        <w:tabs>
          <w:tab w:val="left" w:pos="6300"/>
        </w:tabs>
        <w:snapToGrid w:val="0"/>
        <w:spacing w:line="560" w:lineRule="exact"/>
        <w:ind w:firstLine="560" w:firstLineChars="200"/>
        <w:rPr>
          <w:rFonts w:ascii="宋体" w:hAnsi="宋体" w:cs="宋体"/>
          <w:szCs w:val="28"/>
          <w:highlight w:val="none"/>
        </w:rPr>
      </w:pPr>
      <w:r>
        <w:rPr>
          <w:rFonts w:hint="eastAsia" w:ascii="宋体" w:hAnsi="宋体" w:cs="宋体"/>
          <w:szCs w:val="28"/>
          <w:highlight w:val="none"/>
        </w:rPr>
        <w:t>供应商名称（盖章）：</w:t>
      </w:r>
    </w:p>
    <w:p>
      <w:pPr>
        <w:tabs>
          <w:tab w:val="left" w:pos="6300"/>
        </w:tabs>
        <w:snapToGrid w:val="0"/>
        <w:spacing w:line="560" w:lineRule="exact"/>
        <w:ind w:firstLine="570"/>
        <w:jc w:val="left"/>
        <w:rPr>
          <w:rFonts w:ascii="宋体" w:hAnsi="宋体" w:cs="宋体"/>
          <w:szCs w:val="28"/>
          <w:highlight w:val="none"/>
        </w:rPr>
      </w:pPr>
      <w:r>
        <w:rPr>
          <w:rFonts w:hint="eastAsia" w:ascii="宋体" w:hAnsi="宋体" w:cs="宋体"/>
          <w:szCs w:val="28"/>
          <w:highlight w:val="none"/>
        </w:rPr>
        <w:t>日期：</w:t>
      </w:r>
    </w:p>
    <w:p>
      <w:pPr>
        <w:spacing w:line="560" w:lineRule="exact"/>
        <w:ind w:firstLine="560" w:firstLineChars="200"/>
        <w:rPr>
          <w:rFonts w:ascii="宋体" w:hAnsi="宋体" w:cs="宋体"/>
          <w:szCs w:val="28"/>
          <w:highlight w:val="none"/>
        </w:rPr>
      </w:pPr>
      <w:r>
        <w:rPr>
          <w:rFonts w:hint="eastAsia" w:ascii="宋体" w:hAnsi="宋体" w:cs="宋体"/>
          <w:szCs w:val="28"/>
          <w:highlight w:val="none"/>
        </w:rPr>
        <w:br w:type="page"/>
      </w:r>
      <w:r>
        <w:rPr>
          <w:rFonts w:hint="eastAsia" w:ascii="宋体" w:hAnsi="宋体" w:cs="宋体"/>
          <w:szCs w:val="28"/>
          <w:highlight w:val="none"/>
        </w:rPr>
        <w:t>（二）其他与项目有关的资料（自附）</w:t>
      </w:r>
    </w:p>
    <w:p>
      <w:pPr>
        <w:spacing w:line="560" w:lineRule="exact"/>
        <w:ind w:firstLine="560" w:firstLineChars="200"/>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p>
    <w:p>
      <w:pPr>
        <w:spacing w:line="560" w:lineRule="exact"/>
        <w:ind w:firstLine="560" w:firstLineChars="200"/>
        <w:jc w:val="center"/>
        <w:rPr>
          <w:rFonts w:ascii="宋体" w:hAnsi="宋体" w:cs="宋体"/>
          <w:szCs w:val="28"/>
          <w:highlight w:val="none"/>
        </w:rPr>
      </w:pPr>
      <w:r>
        <w:rPr>
          <w:rFonts w:hint="eastAsia" w:ascii="宋体" w:hAnsi="宋体" w:cs="宋体"/>
          <w:szCs w:val="28"/>
          <w:highlight w:val="none"/>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C54D71B-57F3-4E48-B72E-042D65A4F09F}"/>
  </w:font>
  <w:font w:name="PMingLiU">
    <w:altName w:val="Microsoft JhengHei UI"/>
    <w:panose1 w:val="02010601000101010101"/>
    <w:charset w:val="88"/>
    <w:family w:val="auto"/>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82016" w:usb3="00000000" w:csb0="00040001" w:csb1="00000000"/>
    <w:embedRegular r:id="rId2" w:fontKey="{1D2ED53B-AB32-4ED7-B78B-DF4052A437A4}"/>
  </w:font>
  <w:font w:name="Wingdings 2">
    <w:panose1 w:val="05020102010507070707"/>
    <w:charset w:val="02"/>
    <w:family w:val="roman"/>
    <w:pitch w:val="default"/>
    <w:sig w:usb0="00000000" w:usb1="00000000" w:usb2="00000000" w:usb3="00000000" w:csb0="80000000" w:csb1="00000000"/>
    <w:embedRegular r:id="rId3" w:fontKey="{4D848D2B-D5BA-4261-BF60-120159B4911E}"/>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rPr>
    </w:pPr>
    <w:r>
      <w:rPr>
        <w:rStyle w:val="60"/>
      </w:rPr>
      <w:fldChar w:fldCharType="begin"/>
    </w:r>
    <w:r>
      <w:rPr>
        <w:rStyle w:val="60"/>
      </w:rPr>
      <w:instrText xml:space="preserve">PAGE  </w:instrText>
    </w:r>
    <w:r>
      <w:rPr>
        <w:rStyle w:val="60"/>
      </w:rPr>
      <w:fldChar w:fldCharType="separate"/>
    </w:r>
    <w:r>
      <w:rPr>
        <w:rStyle w:val="60"/>
      </w:rPr>
      <w:t>- 1 -</w:t>
    </w:r>
    <w:r>
      <w:rPr>
        <w:rStyle w:val="60"/>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jc w:val="center"/>
      <w:rPr>
        <w:rStyle w:val="60"/>
        <w:sz w:val="21"/>
        <w:szCs w:val="21"/>
      </w:rPr>
    </w:pPr>
    <w:r>
      <w:rPr>
        <w:rStyle w:val="60"/>
        <w:sz w:val="21"/>
        <w:szCs w:val="21"/>
      </w:rPr>
      <w:fldChar w:fldCharType="begin"/>
    </w:r>
    <w:r>
      <w:rPr>
        <w:rStyle w:val="60"/>
        <w:sz w:val="21"/>
        <w:szCs w:val="21"/>
      </w:rPr>
      <w:instrText xml:space="preserve">PAGE  </w:instrText>
    </w:r>
    <w:r>
      <w:rPr>
        <w:rStyle w:val="60"/>
        <w:sz w:val="21"/>
        <w:szCs w:val="21"/>
      </w:rPr>
      <w:fldChar w:fldCharType="separate"/>
    </w:r>
    <w:r>
      <w:rPr>
        <w:rStyle w:val="60"/>
        <w:sz w:val="21"/>
        <w:szCs w:val="21"/>
      </w:rPr>
      <w:t>- 20 -</w:t>
    </w:r>
    <w:r>
      <w:rPr>
        <w:rStyle w:val="60"/>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r>
      <w:rPr>
        <w:rStyle w:val="60"/>
      </w:rPr>
      <w:fldChar w:fldCharType="begin"/>
    </w:r>
    <w:r>
      <w:rPr>
        <w:rStyle w:val="60"/>
      </w:rPr>
      <w:instrText xml:space="preserve">PAGE  </w:instrText>
    </w:r>
    <w:r>
      <w:rPr>
        <w:rStyle w:val="60"/>
      </w:rP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uto" w:vAnchor="text" w:hAnchor="margin" w:xAlign="center" w:y="1"/>
      <w:rPr>
        <w:rStyle w:val="60"/>
      </w:rPr>
    </w:pPr>
  </w:p>
  <w:p>
    <w:pPr>
      <w:pStyle w:val="35"/>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sz w:val="21"/>
        <w:szCs w:val="21"/>
      </w:rPr>
    </w:pPr>
    <w:r>
      <w:rPr>
        <w:rStyle w:val="60"/>
        <w:sz w:val="21"/>
        <w:szCs w:val="21"/>
      </w:rPr>
      <w:fldChar w:fldCharType="begin"/>
    </w:r>
    <w:r>
      <w:rPr>
        <w:rStyle w:val="60"/>
        <w:sz w:val="21"/>
        <w:szCs w:val="21"/>
      </w:rPr>
      <w:instrText xml:space="preserve"> PAGE </w:instrText>
    </w:r>
    <w:r>
      <w:rPr>
        <w:rStyle w:val="60"/>
        <w:sz w:val="21"/>
        <w:szCs w:val="21"/>
      </w:rPr>
      <w:fldChar w:fldCharType="separate"/>
    </w:r>
    <w:r>
      <w:rPr>
        <w:rStyle w:val="60"/>
        <w:sz w:val="21"/>
        <w:szCs w:val="21"/>
      </w:rPr>
      <w:t>- 24 -</w:t>
    </w:r>
    <w:r>
      <w:rPr>
        <w:rStyle w:val="60"/>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6E5"/>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4F5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208"/>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0D6B"/>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D67"/>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1BFA"/>
    <w:rsid w:val="00A7324C"/>
    <w:rsid w:val="00A7339B"/>
    <w:rsid w:val="00A7358D"/>
    <w:rsid w:val="00A7593D"/>
    <w:rsid w:val="00A75ABC"/>
    <w:rsid w:val="00A81879"/>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86E4F"/>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29F9"/>
    <w:rsid w:val="00D032D5"/>
    <w:rsid w:val="00D032DB"/>
    <w:rsid w:val="00D03884"/>
    <w:rsid w:val="00D05BAA"/>
    <w:rsid w:val="00D07FB9"/>
    <w:rsid w:val="00D121B8"/>
    <w:rsid w:val="00D13B7A"/>
    <w:rsid w:val="00D14F14"/>
    <w:rsid w:val="00D1675A"/>
    <w:rsid w:val="00D21328"/>
    <w:rsid w:val="00D21E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87229"/>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394A"/>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575C81"/>
    <w:rsid w:val="03A70EE0"/>
    <w:rsid w:val="03CA039D"/>
    <w:rsid w:val="03CF1BDF"/>
    <w:rsid w:val="03D43E6B"/>
    <w:rsid w:val="04192F2D"/>
    <w:rsid w:val="04232897"/>
    <w:rsid w:val="04372F34"/>
    <w:rsid w:val="043A7135"/>
    <w:rsid w:val="04460410"/>
    <w:rsid w:val="04494917"/>
    <w:rsid w:val="047811F2"/>
    <w:rsid w:val="047F21D5"/>
    <w:rsid w:val="04803A5A"/>
    <w:rsid w:val="04C10DDC"/>
    <w:rsid w:val="04D46D43"/>
    <w:rsid w:val="04E01690"/>
    <w:rsid w:val="051C7DFB"/>
    <w:rsid w:val="051D7A78"/>
    <w:rsid w:val="05375EC4"/>
    <w:rsid w:val="054860B2"/>
    <w:rsid w:val="055E0C96"/>
    <w:rsid w:val="057743B8"/>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55501A"/>
    <w:rsid w:val="09885115"/>
    <w:rsid w:val="099B6B0C"/>
    <w:rsid w:val="09AF6CB3"/>
    <w:rsid w:val="09B92303"/>
    <w:rsid w:val="09D006AC"/>
    <w:rsid w:val="09D93CA9"/>
    <w:rsid w:val="0A0D0BA8"/>
    <w:rsid w:val="0A344626"/>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231B"/>
    <w:rsid w:val="0C1B5A3F"/>
    <w:rsid w:val="0C5E76FC"/>
    <w:rsid w:val="0C8D49CF"/>
    <w:rsid w:val="0C942A0F"/>
    <w:rsid w:val="0CAF4438"/>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B61AAE"/>
    <w:rsid w:val="0ECB05FB"/>
    <w:rsid w:val="0ED15CD9"/>
    <w:rsid w:val="0F2D6BFB"/>
    <w:rsid w:val="0F2F0918"/>
    <w:rsid w:val="0F636044"/>
    <w:rsid w:val="0F67709F"/>
    <w:rsid w:val="0F7846DB"/>
    <w:rsid w:val="0F7C4872"/>
    <w:rsid w:val="0F9E7ABF"/>
    <w:rsid w:val="0FAD1963"/>
    <w:rsid w:val="0FCC1C1A"/>
    <w:rsid w:val="0FCE469A"/>
    <w:rsid w:val="0FEC4DEA"/>
    <w:rsid w:val="0FFC147A"/>
    <w:rsid w:val="104F21B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8E1A9B"/>
    <w:rsid w:val="12A143B2"/>
    <w:rsid w:val="12D62551"/>
    <w:rsid w:val="13234B5E"/>
    <w:rsid w:val="135E71F0"/>
    <w:rsid w:val="13940AAE"/>
    <w:rsid w:val="13A423BD"/>
    <w:rsid w:val="13B77686"/>
    <w:rsid w:val="13C55164"/>
    <w:rsid w:val="144A5B35"/>
    <w:rsid w:val="144B2047"/>
    <w:rsid w:val="144D17AC"/>
    <w:rsid w:val="146C6E70"/>
    <w:rsid w:val="14737B05"/>
    <w:rsid w:val="148554EC"/>
    <w:rsid w:val="14970A7E"/>
    <w:rsid w:val="14DA5611"/>
    <w:rsid w:val="14F15102"/>
    <w:rsid w:val="14F43A1C"/>
    <w:rsid w:val="14FE4C41"/>
    <w:rsid w:val="15215BBC"/>
    <w:rsid w:val="153310AE"/>
    <w:rsid w:val="15507B8F"/>
    <w:rsid w:val="158575B5"/>
    <w:rsid w:val="15A17AB4"/>
    <w:rsid w:val="15E13760"/>
    <w:rsid w:val="15E753A6"/>
    <w:rsid w:val="15F41434"/>
    <w:rsid w:val="16055A19"/>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93CB5"/>
    <w:rsid w:val="1A3C3997"/>
    <w:rsid w:val="1A4137E1"/>
    <w:rsid w:val="1A584361"/>
    <w:rsid w:val="1A867420"/>
    <w:rsid w:val="1A8B2E09"/>
    <w:rsid w:val="1AB72FB8"/>
    <w:rsid w:val="1AE80834"/>
    <w:rsid w:val="1B066C34"/>
    <w:rsid w:val="1B0C4B10"/>
    <w:rsid w:val="1B2B1286"/>
    <w:rsid w:val="1B382EDB"/>
    <w:rsid w:val="1B3C7CCF"/>
    <w:rsid w:val="1B4D3361"/>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2D3883"/>
    <w:rsid w:val="1D335E75"/>
    <w:rsid w:val="1D464C29"/>
    <w:rsid w:val="1D532BBD"/>
    <w:rsid w:val="1D5451D2"/>
    <w:rsid w:val="1D65135D"/>
    <w:rsid w:val="1DA7257C"/>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0FA315B"/>
    <w:rsid w:val="21321F1B"/>
    <w:rsid w:val="213D35E2"/>
    <w:rsid w:val="213D6312"/>
    <w:rsid w:val="2141571A"/>
    <w:rsid w:val="217E5C96"/>
    <w:rsid w:val="218C3CE3"/>
    <w:rsid w:val="21FB0745"/>
    <w:rsid w:val="2203275D"/>
    <w:rsid w:val="22160D89"/>
    <w:rsid w:val="22460687"/>
    <w:rsid w:val="22701375"/>
    <w:rsid w:val="228931FD"/>
    <w:rsid w:val="22BC38C0"/>
    <w:rsid w:val="22D07D85"/>
    <w:rsid w:val="23092F8F"/>
    <w:rsid w:val="230D1CD2"/>
    <w:rsid w:val="23194350"/>
    <w:rsid w:val="23445482"/>
    <w:rsid w:val="23797C55"/>
    <w:rsid w:val="23847EF8"/>
    <w:rsid w:val="239E2570"/>
    <w:rsid w:val="23D64FBD"/>
    <w:rsid w:val="23F521B7"/>
    <w:rsid w:val="24136DFB"/>
    <w:rsid w:val="24137869"/>
    <w:rsid w:val="24166B48"/>
    <w:rsid w:val="242D11DE"/>
    <w:rsid w:val="245B32B8"/>
    <w:rsid w:val="24876393"/>
    <w:rsid w:val="24972D67"/>
    <w:rsid w:val="24A81685"/>
    <w:rsid w:val="24AD74FD"/>
    <w:rsid w:val="24BC2C8F"/>
    <w:rsid w:val="24F34EF3"/>
    <w:rsid w:val="24FA5E2B"/>
    <w:rsid w:val="2500018D"/>
    <w:rsid w:val="255340D4"/>
    <w:rsid w:val="25652831"/>
    <w:rsid w:val="257E3581"/>
    <w:rsid w:val="25923078"/>
    <w:rsid w:val="25C258B1"/>
    <w:rsid w:val="25C746DE"/>
    <w:rsid w:val="25D42492"/>
    <w:rsid w:val="25DA74AE"/>
    <w:rsid w:val="25E53025"/>
    <w:rsid w:val="25F6490A"/>
    <w:rsid w:val="26177E5B"/>
    <w:rsid w:val="26245BB9"/>
    <w:rsid w:val="26412451"/>
    <w:rsid w:val="2644426C"/>
    <w:rsid w:val="264839C0"/>
    <w:rsid w:val="26484704"/>
    <w:rsid w:val="26555BF8"/>
    <w:rsid w:val="268F48FA"/>
    <w:rsid w:val="26A465B6"/>
    <w:rsid w:val="26C10239"/>
    <w:rsid w:val="26CB49F1"/>
    <w:rsid w:val="26CC3E34"/>
    <w:rsid w:val="26FA35C9"/>
    <w:rsid w:val="270D40F1"/>
    <w:rsid w:val="27163959"/>
    <w:rsid w:val="272462B7"/>
    <w:rsid w:val="273962F5"/>
    <w:rsid w:val="276C49E9"/>
    <w:rsid w:val="27A93C2E"/>
    <w:rsid w:val="27BB768B"/>
    <w:rsid w:val="27BD2623"/>
    <w:rsid w:val="27C4091D"/>
    <w:rsid w:val="27D81D2D"/>
    <w:rsid w:val="27DA2EEC"/>
    <w:rsid w:val="27DB43E6"/>
    <w:rsid w:val="280E1C87"/>
    <w:rsid w:val="28173E13"/>
    <w:rsid w:val="28512A38"/>
    <w:rsid w:val="286E5FE0"/>
    <w:rsid w:val="286F14C3"/>
    <w:rsid w:val="287700A8"/>
    <w:rsid w:val="28934F64"/>
    <w:rsid w:val="28A53B98"/>
    <w:rsid w:val="28B11B76"/>
    <w:rsid w:val="28C179AA"/>
    <w:rsid w:val="28DF1E57"/>
    <w:rsid w:val="28F25563"/>
    <w:rsid w:val="29576D3C"/>
    <w:rsid w:val="296653B4"/>
    <w:rsid w:val="296E7010"/>
    <w:rsid w:val="297B7F78"/>
    <w:rsid w:val="297F1690"/>
    <w:rsid w:val="29904341"/>
    <w:rsid w:val="29EF167C"/>
    <w:rsid w:val="2A9D0C90"/>
    <w:rsid w:val="2AAA7A67"/>
    <w:rsid w:val="2ABF1770"/>
    <w:rsid w:val="2ACA41EE"/>
    <w:rsid w:val="2AD645B3"/>
    <w:rsid w:val="2AE55EB3"/>
    <w:rsid w:val="2AF24BD8"/>
    <w:rsid w:val="2AFC2AE6"/>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956D4E"/>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30041A3F"/>
    <w:rsid w:val="30203680"/>
    <w:rsid w:val="30726DE1"/>
    <w:rsid w:val="307F5775"/>
    <w:rsid w:val="30834AD3"/>
    <w:rsid w:val="30857C93"/>
    <w:rsid w:val="30CD05FB"/>
    <w:rsid w:val="30D548B4"/>
    <w:rsid w:val="30D54F94"/>
    <w:rsid w:val="30D94242"/>
    <w:rsid w:val="30E25EAC"/>
    <w:rsid w:val="30E56207"/>
    <w:rsid w:val="30FC3493"/>
    <w:rsid w:val="31012D73"/>
    <w:rsid w:val="31797231"/>
    <w:rsid w:val="31AE367F"/>
    <w:rsid w:val="31F309D7"/>
    <w:rsid w:val="3207110B"/>
    <w:rsid w:val="32270D4A"/>
    <w:rsid w:val="32320247"/>
    <w:rsid w:val="3242092B"/>
    <w:rsid w:val="32436963"/>
    <w:rsid w:val="32606412"/>
    <w:rsid w:val="326C1E3D"/>
    <w:rsid w:val="32730601"/>
    <w:rsid w:val="32753398"/>
    <w:rsid w:val="32853CBE"/>
    <w:rsid w:val="32A075CF"/>
    <w:rsid w:val="32A93554"/>
    <w:rsid w:val="32DA1741"/>
    <w:rsid w:val="33017D5F"/>
    <w:rsid w:val="33115A19"/>
    <w:rsid w:val="3327356F"/>
    <w:rsid w:val="332C3EFE"/>
    <w:rsid w:val="333C0920"/>
    <w:rsid w:val="334918DF"/>
    <w:rsid w:val="335E6781"/>
    <w:rsid w:val="33B347C5"/>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828C9"/>
    <w:rsid w:val="35CD6300"/>
    <w:rsid w:val="35DA0C25"/>
    <w:rsid w:val="360838BF"/>
    <w:rsid w:val="368F2F3D"/>
    <w:rsid w:val="36A5297B"/>
    <w:rsid w:val="36A755E3"/>
    <w:rsid w:val="36BA57DF"/>
    <w:rsid w:val="36EA2EF3"/>
    <w:rsid w:val="36FC6348"/>
    <w:rsid w:val="371C0798"/>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5D0BF4"/>
    <w:rsid w:val="39652705"/>
    <w:rsid w:val="39966FA3"/>
    <w:rsid w:val="39980881"/>
    <w:rsid w:val="399F036E"/>
    <w:rsid w:val="39A8329D"/>
    <w:rsid w:val="39BA0674"/>
    <w:rsid w:val="39C042ED"/>
    <w:rsid w:val="39E2116C"/>
    <w:rsid w:val="3A8D1323"/>
    <w:rsid w:val="3A9B5B8A"/>
    <w:rsid w:val="3ABC1282"/>
    <w:rsid w:val="3ADC2FD1"/>
    <w:rsid w:val="3AEB355D"/>
    <w:rsid w:val="3B0725F9"/>
    <w:rsid w:val="3B0922F6"/>
    <w:rsid w:val="3B0D2CD2"/>
    <w:rsid w:val="3B787AC5"/>
    <w:rsid w:val="3B955DA6"/>
    <w:rsid w:val="3BA23462"/>
    <w:rsid w:val="3BC804A7"/>
    <w:rsid w:val="3BD64206"/>
    <w:rsid w:val="3BE70FB8"/>
    <w:rsid w:val="3BEC625F"/>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254BCF"/>
    <w:rsid w:val="414C48A8"/>
    <w:rsid w:val="414E7159"/>
    <w:rsid w:val="41603530"/>
    <w:rsid w:val="41EC0C02"/>
    <w:rsid w:val="42310C07"/>
    <w:rsid w:val="42437D91"/>
    <w:rsid w:val="429F1E0D"/>
    <w:rsid w:val="42A17DA3"/>
    <w:rsid w:val="42A721F6"/>
    <w:rsid w:val="42BA1E87"/>
    <w:rsid w:val="42C269D6"/>
    <w:rsid w:val="42DD1413"/>
    <w:rsid w:val="42DE6F13"/>
    <w:rsid w:val="43014590"/>
    <w:rsid w:val="430A4993"/>
    <w:rsid w:val="4311195E"/>
    <w:rsid w:val="43155CD0"/>
    <w:rsid w:val="4317651D"/>
    <w:rsid w:val="433C4C0C"/>
    <w:rsid w:val="43470659"/>
    <w:rsid w:val="43644773"/>
    <w:rsid w:val="43651CA6"/>
    <w:rsid w:val="4383719D"/>
    <w:rsid w:val="438E5124"/>
    <w:rsid w:val="43A63C23"/>
    <w:rsid w:val="43BD59FD"/>
    <w:rsid w:val="43C1387E"/>
    <w:rsid w:val="43FA5F5F"/>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4F67AB"/>
    <w:rsid w:val="49682003"/>
    <w:rsid w:val="496D4395"/>
    <w:rsid w:val="497C3A9B"/>
    <w:rsid w:val="498B5DDB"/>
    <w:rsid w:val="49BB4F73"/>
    <w:rsid w:val="4A316C77"/>
    <w:rsid w:val="4A3C6604"/>
    <w:rsid w:val="4A460E14"/>
    <w:rsid w:val="4A72280E"/>
    <w:rsid w:val="4AAF2D97"/>
    <w:rsid w:val="4AB6357D"/>
    <w:rsid w:val="4ADC6C01"/>
    <w:rsid w:val="4AEF2A8D"/>
    <w:rsid w:val="4AFD0DD5"/>
    <w:rsid w:val="4B25054C"/>
    <w:rsid w:val="4B4B2CC5"/>
    <w:rsid w:val="4BC02D61"/>
    <w:rsid w:val="4BE3352B"/>
    <w:rsid w:val="4BE87EFB"/>
    <w:rsid w:val="4C1E1A78"/>
    <w:rsid w:val="4C2174FF"/>
    <w:rsid w:val="4C2329AA"/>
    <w:rsid w:val="4C3518E2"/>
    <w:rsid w:val="4C5658C8"/>
    <w:rsid w:val="4C7601C0"/>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5405D4"/>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03FB0"/>
    <w:rsid w:val="5428286E"/>
    <w:rsid w:val="54496C8E"/>
    <w:rsid w:val="545C6AF1"/>
    <w:rsid w:val="5463310B"/>
    <w:rsid w:val="54721CD5"/>
    <w:rsid w:val="54CE76EA"/>
    <w:rsid w:val="54DE33C1"/>
    <w:rsid w:val="54DE671E"/>
    <w:rsid w:val="54FA232C"/>
    <w:rsid w:val="55073145"/>
    <w:rsid w:val="55073A3F"/>
    <w:rsid w:val="550F521E"/>
    <w:rsid w:val="551212CA"/>
    <w:rsid w:val="55160375"/>
    <w:rsid w:val="55163BE3"/>
    <w:rsid w:val="552A0900"/>
    <w:rsid w:val="554A522D"/>
    <w:rsid w:val="55671958"/>
    <w:rsid w:val="5567483D"/>
    <w:rsid w:val="556A2B7D"/>
    <w:rsid w:val="5570616E"/>
    <w:rsid w:val="557F1240"/>
    <w:rsid w:val="5582190C"/>
    <w:rsid w:val="55B13F53"/>
    <w:rsid w:val="55B701BC"/>
    <w:rsid w:val="55B96C80"/>
    <w:rsid w:val="55C776C9"/>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26256C"/>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66388B"/>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33C5D"/>
    <w:rsid w:val="5A485873"/>
    <w:rsid w:val="5A533F53"/>
    <w:rsid w:val="5A572B1C"/>
    <w:rsid w:val="5A6015D1"/>
    <w:rsid w:val="5A866F7C"/>
    <w:rsid w:val="5AA2156A"/>
    <w:rsid w:val="5AA7218C"/>
    <w:rsid w:val="5AA77AC9"/>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1F61E7"/>
    <w:rsid w:val="5F3952C4"/>
    <w:rsid w:val="5F433287"/>
    <w:rsid w:val="5F4646CC"/>
    <w:rsid w:val="5F6A76D4"/>
    <w:rsid w:val="5F856F33"/>
    <w:rsid w:val="5FC26661"/>
    <w:rsid w:val="5FDB2465"/>
    <w:rsid w:val="5FE91007"/>
    <w:rsid w:val="604C40AD"/>
    <w:rsid w:val="60532490"/>
    <w:rsid w:val="60670929"/>
    <w:rsid w:val="607C32FC"/>
    <w:rsid w:val="609C1BB5"/>
    <w:rsid w:val="60A57742"/>
    <w:rsid w:val="60FC63BB"/>
    <w:rsid w:val="60FF2B34"/>
    <w:rsid w:val="610B17E9"/>
    <w:rsid w:val="614E387A"/>
    <w:rsid w:val="615279C1"/>
    <w:rsid w:val="6185637F"/>
    <w:rsid w:val="61A17971"/>
    <w:rsid w:val="61B33FAD"/>
    <w:rsid w:val="61C2086E"/>
    <w:rsid w:val="61DA0784"/>
    <w:rsid w:val="61ED62E4"/>
    <w:rsid w:val="62762F76"/>
    <w:rsid w:val="628D2BF4"/>
    <w:rsid w:val="62967A9C"/>
    <w:rsid w:val="62AD7B9B"/>
    <w:rsid w:val="62B94AEB"/>
    <w:rsid w:val="62CD048D"/>
    <w:rsid w:val="62CE0F90"/>
    <w:rsid w:val="62ED59EB"/>
    <w:rsid w:val="637B3CFF"/>
    <w:rsid w:val="637C5B04"/>
    <w:rsid w:val="637F6423"/>
    <w:rsid w:val="63A61110"/>
    <w:rsid w:val="63BB1C8B"/>
    <w:rsid w:val="63BC2754"/>
    <w:rsid w:val="63CC32A6"/>
    <w:rsid w:val="63CD254B"/>
    <w:rsid w:val="63F64763"/>
    <w:rsid w:val="64095351"/>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4F953C5"/>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6E96"/>
    <w:rsid w:val="686537DE"/>
    <w:rsid w:val="689941E8"/>
    <w:rsid w:val="68C46620"/>
    <w:rsid w:val="68EC5278"/>
    <w:rsid w:val="693A6625"/>
    <w:rsid w:val="6948245C"/>
    <w:rsid w:val="694B6920"/>
    <w:rsid w:val="69576764"/>
    <w:rsid w:val="69595AA9"/>
    <w:rsid w:val="696C656F"/>
    <w:rsid w:val="69864A8E"/>
    <w:rsid w:val="69B20260"/>
    <w:rsid w:val="69B54D89"/>
    <w:rsid w:val="69BB1FDC"/>
    <w:rsid w:val="69D916C2"/>
    <w:rsid w:val="6A164547"/>
    <w:rsid w:val="6A1E6150"/>
    <w:rsid w:val="6A227D76"/>
    <w:rsid w:val="6A4B4C70"/>
    <w:rsid w:val="6A64003C"/>
    <w:rsid w:val="6A643711"/>
    <w:rsid w:val="6A856E03"/>
    <w:rsid w:val="6AB6329A"/>
    <w:rsid w:val="6ABA55F7"/>
    <w:rsid w:val="6ACD5AD0"/>
    <w:rsid w:val="6ADA242B"/>
    <w:rsid w:val="6AE20CB8"/>
    <w:rsid w:val="6AFF46A8"/>
    <w:rsid w:val="6B1765A5"/>
    <w:rsid w:val="6B2111D2"/>
    <w:rsid w:val="6B390F75"/>
    <w:rsid w:val="6B655A6E"/>
    <w:rsid w:val="6B697F76"/>
    <w:rsid w:val="6BAA51E1"/>
    <w:rsid w:val="6BB140BD"/>
    <w:rsid w:val="6BD332A7"/>
    <w:rsid w:val="6BD727DC"/>
    <w:rsid w:val="6BEA13C0"/>
    <w:rsid w:val="6BF37700"/>
    <w:rsid w:val="6C0C784B"/>
    <w:rsid w:val="6C0E4D78"/>
    <w:rsid w:val="6C303D8F"/>
    <w:rsid w:val="6C3C1C06"/>
    <w:rsid w:val="6CA20189"/>
    <w:rsid w:val="6CAD0F6F"/>
    <w:rsid w:val="6CB03B06"/>
    <w:rsid w:val="6CB931AD"/>
    <w:rsid w:val="6CD417DC"/>
    <w:rsid w:val="6CDC10FC"/>
    <w:rsid w:val="6CE62274"/>
    <w:rsid w:val="6CFD4503"/>
    <w:rsid w:val="6D50176E"/>
    <w:rsid w:val="6D5732A7"/>
    <w:rsid w:val="6D72359E"/>
    <w:rsid w:val="6D84623E"/>
    <w:rsid w:val="6D887F94"/>
    <w:rsid w:val="6DA10986"/>
    <w:rsid w:val="6DDD7241"/>
    <w:rsid w:val="6DED06AC"/>
    <w:rsid w:val="6DF01340"/>
    <w:rsid w:val="6DF64E91"/>
    <w:rsid w:val="6E2A35BE"/>
    <w:rsid w:val="6E2A58A6"/>
    <w:rsid w:val="6E3508F0"/>
    <w:rsid w:val="6E613795"/>
    <w:rsid w:val="6E787F9F"/>
    <w:rsid w:val="6E857ACC"/>
    <w:rsid w:val="6ECE2029"/>
    <w:rsid w:val="6EDA64C0"/>
    <w:rsid w:val="6EE11B63"/>
    <w:rsid w:val="6F111D97"/>
    <w:rsid w:val="6F283302"/>
    <w:rsid w:val="6F8305B0"/>
    <w:rsid w:val="6F8E2D55"/>
    <w:rsid w:val="6FA81311"/>
    <w:rsid w:val="6FCC15BB"/>
    <w:rsid w:val="6FFA03B4"/>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5859AD"/>
    <w:rsid w:val="736B3E59"/>
    <w:rsid w:val="73766428"/>
    <w:rsid w:val="737A1EA8"/>
    <w:rsid w:val="73982B23"/>
    <w:rsid w:val="73A11424"/>
    <w:rsid w:val="73A90B1E"/>
    <w:rsid w:val="73AA2B9B"/>
    <w:rsid w:val="73C44C10"/>
    <w:rsid w:val="73CC3CE8"/>
    <w:rsid w:val="73D566B7"/>
    <w:rsid w:val="73DD6111"/>
    <w:rsid w:val="73F30493"/>
    <w:rsid w:val="746F1CB8"/>
    <w:rsid w:val="74886EF1"/>
    <w:rsid w:val="74AD1720"/>
    <w:rsid w:val="74D6302D"/>
    <w:rsid w:val="74E55D78"/>
    <w:rsid w:val="75401080"/>
    <w:rsid w:val="754C1EF6"/>
    <w:rsid w:val="75661CDA"/>
    <w:rsid w:val="757341CA"/>
    <w:rsid w:val="757B2C99"/>
    <w:rsid w:val="75D57D51"/>
    <w:rsid w:val="75E55A0B"/>
    <w:rsid w:val="75FE3BCF"/>
    <w:rsid w:val="76041EFA"/>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42376"/>
    <w:rsid w:val="791A4C41"/>
    <w:rsid w:val="797F0A67"/>
    <w:rsid w:val="799025D1"/>
    <w:rsid w:val="799302D4"/>
    <w:rsid w:val="79935E09"/>
    <w:rsid w:val="79A9773D"/>
    <w:rsid w:val="79AE474E"/>
    <w:rsid w:val="79EE0E28"/>
    <w:rsid w:val="7A2B4E79"/>
    <w:rsid w:val="7A322852"/>
    <w:rsid w:val="7A9A3F86"/>
    <w:rsid w:val="7AB22AAE"/>
    <w:rsid w:val="7AE40754"/>
    <w:rsid w:val="7AF535A1"/>
    <w:rsid w:val="7AF63B3F"/>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D479E"/>
    <w:rsid w:val="7CEE3200"/>
    <w:rsid w:val="7CEE69CD"/>
    <w:rsid w:val="7CF867F3"/>
    <w:rsid w:val="7CFA4A9E"/>
    <w:rsid w:val="7D02492E"/>
    <w:rsid w:val="7D177819"/>
    <w:rsid w:val="7D4912E4"/>
    <w:rsid w:val="7D9B0E68"/>
    <w:rsid w:val="7DE33B81"/>
    <w:rsid w:val="7E045A51"/>
    <w:rsid w:val="7E0743C1"/>
    <w:rsid w:val="7E600762"/>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6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8"/>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semiHidden/>
    <w:qFormat/>
    <w:uiPriority w:val="0"/>
    <w:pPr>
      <w:ind w:left="2520" w:leftChars="1200"/>
    </w:pPr>
  </w:style>
  <w:style w:type="paragraph" w:styleId="13">
    <w:name w:val="List Number 2"/>
    <w:basedOn w:val="1"/>
    <w:autoRedefine/>
    <w:qFormat/>
    <w:uiPriority w:val="0"/>
    <w:pPr>
      <w:tabs>
        <w:tab w:val="left" w:pos="780"/>
      </w:tabs>
      <w:spacing w:line="360" w:lineRule="auto"/>
      <w:ind w:left="425" w:hanging="425"/>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semiHidden/>
    <w:qFormat/>
    <w:uiPriority w:val="0"/>
    <w:pPr>
      <w:shd w:val="clear" w:color="auto" w:fill="000080"/>
    </w:pPr>
  </w:style>
  <w:style w:type="paragraph" w:styleId="18">
    <w:name w:val="toa heading"/>
    <w:basedOn w:val="1"/>
    <w:next w:val="1"/>
    <w:autoRedefine/>
    <w:semiHidden/>
    <w:qFormat/>
    <w:uiPriority w:val="0"/>
    <w:pPr>
      <w:spacing w:before="120"/>
    </w:pPr>
    <w:rPr>
      <w:rFonts w:ascii="Arial" w:hAnsi="Arial"/>
      <w:sz w:val="24"/>
    </w:rPr>
  </w:style>
  <w:style w:type="paragraph" w:styleId="19">
    <w:name w:val="annotation text"/>
    <w:basedOn w:val="1"/>
    <w:link w:val="69"/>
    <w:autoRedefine/>
    <w:semiHidden/>
    <w:qFormat/>
    <w:uiPriority w:val="0"/>
    <w:pPr>
      <w:adjustRightInd w:val="0"/>
      <w:spacing w:line="360" w:lineRule="atLeast"/>
      <w:jc w:val="left"/>
      <w:textAlignment w:val="baseline"/>
    </w:pPr>
    <w:rPr>
      <w:kern w:val="0"/>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tabs>
        <w:tab w:val="left" w:pos="1200"/>
      </w:tabs>
      <w:adjustRightInd w:val="0"/>
      <w:snapToGrid w:val="0"/>
      <w:spacing w:line="360" w:lineRule="auto"/>
      <w:ind w:left="1200" w:hanging="360"/>
    </w:pPr>
    <w:rPr>
      <w:sz w:val="24"/>
    </w:rPr>
  </w:style>
  <w:style w:type="paragraph" w:styleId="22">
    <w:name w:val="Body Text"/>
    <w:basedOn w:val="1"/>
    <w:autoRedefine/>
    <w:qFormat/>
    <w:uiPriority w:val="0"/>
    <w:rPr>
      <w:rFonts w:ascii="仿宋_GB2312" w:eastAsia="仿宋_GB2312"/>
      <w:sz w:val="32"/>
    </w:rPr>
  </w:style>
  <w:style w:type="paragraph" w:styleId="23">
    <w:name w:val="Body Text Indent"/>
    <w:basedOn w:val="1"/>
    <w:link w:val="70"/>
    <w:autoRedefine/>
    <w:qFormat/>
    <w:uiPriority w:val="0"/>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tabs>
        <w:tab w:val="left" w:pos="780"/>
      </w:tabs>
      <w:adjustRightInd w:val="0"/>
      <w:snapToGrid w:val="0"/>
      <w:spacing w:line="360" w:lineRule="auto"/>
      <w:ind w:left="780" w:hanging="360"/>
    </w:pPr>
    <w:rPr>
      <w:sz w:val="24"/>
    </w:rPr>
  </w:style>
  <w:style w:type="paragraph" w:styleId="28">
    <w:name w:val="toc 5"/>
    <w:basedOn w:val="1"/>
    <w:next w:val="1"/>
    <w:autoRedefine/>
    <w:semiHidden/>
    <w:qFormat/>
    <w:uiPriority w:val="0"/>
    <w:pPr>
      <w:ind w:left="1680" w:leftChars="800"/>
    </w:pPr>
  </w:style>
  <w:style w:type="paragraph" w:styleId="29">
    <w:name w:val="toc 3"/>
    <w:basedOn w:val="1"/>
    <w:next w:val="1"/>
    <w:autoRedefine/>
    <w:semiHidden/>
    <w:qFormat/>
    <w:uiPriority w:val="0"/>
    <w:pPr>
      <w:ind w:left="840" w:leftChars="400"/>
    </w:pPr>
  </w:style>
  <w:style w:type="paragraph" w:styleId="30">
    <w:name w:val="Plain Text"/>
    <w:basedOn w:val="1"/>
    <w:link w:val="71"/>
    <w:autoRedefine/>
    <w:qFormat/>
    <w:uiPriority w:val="0"/>
    <w:rPr>
      <w:rFonts w:ascii="宋体" w:hAnsi="Courier New"/>
      <w:sz w:val="21"/>
    </w:rPr>
  </w:style>
  <w:style w:type="paragraph" w:styleId="31">
    <w:name w:val="toc 8"/>
    <w:basedOn w:val="1"/>
    <w:next w:val="1"/>
    <w:autoRedefine/>
    <w:semiHidden/>
    <w:qFormat/>
    <w:uiPriority w:val="0"/>
    <w:pPr>
      <w:ind w:left="2940" w:leftChars="1400"/>
    </w:pPr>
  </w:style>
  <w:style w:type="paragraph" w:styleId="32">
    <w:name w:val="Date"/>
    <w:basedOn w:val="1"/>
    <w:next w:val="1"/>
    <w:link w:val="72"/>
    <w:autoRedefine/>
    <w:qFormat/>
    <w:uiPriority w:val="0"/>
  </w:style>
  <w:style w:type="paragraph" w:styleId="33">
    <w:name w:val="Body Text Indent 2"/>
    <w:basedOn w:val="1"/>
    <w:link w:val="73"/>
    <w:autoRedefine/>
    <w:qFormat/>
    <w:uiPriority w:val="0"/>
    <w:pPr>
      <w:snapToGrid w:val="0"/>
      <w:spacing w:line="560" w:lineRule="atLeast"/>
      <w:ind w:firstLine="540"/>
    </w:pPr>
  </w:style>
  <w:style w:type="paragraph" w:styleId="34">
    <w:name w:val="Balloon Text"/>
    <w:basedOn w:val="1"/>
    <w:autoRedefine/>
    <w:semiHidden/>
    <w:qFormat/>
    <w:uiPriority w:val="0"/>
    <w:rPr>
      <w:sz w:val="18"/>
    </w:rPr>
  </w:style>
  <w:style w:type="paragraph" w:styleId="35">
    <w:name w:val="footer"/>
    <w:basedOn w:val="1"/>
    <w:autoRedefine/>
    <w:qFormat/>
    <w:uiPriority w:val="0"/>
    <w:pPr>
      <w:tabs>
        <w:tab w:val="center" w:pos="4153"/>
        <w:tab w:val="right" w:pos="8306"/>
      </w:tabs>
      <w:snapToGrid w:val="0"/>
      <w:jc w:val="left"/>
    </w:pPr>
    <w:rPr>
      <w:sz w:val="18"/>
    </w:rPr>
  </w:style>
  <w:style w:type="paragraph" w:styleId="36">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semiHidden/>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semiHidden/>
    <w:qFormat/>
    <w:uiPriority w:val="0"/>
    <w:pPr>
      <w:ind w:left="1260" w:leftChars="600"/>
    </w:pPr>
  </w:style>
  <w:style w:type="paragraph" w:styleId="40">
    <w:name w:val="footnote text"/>
    <w:basedOn w:val="1"/>
    <w:link w:val="74"/>
    <w:autoRedefine/>
    <w:semiHidden/>
    <w:qFormat/>
    <w:uiPriority w:val="0"/>
    <w:pPr>
      <w:spacing w:line="360" w:lineRule="auto"/>
    </w:pPr>
    <w:rPr>
      <w:sz w:val="18"/>
    </w:rPr>
  </w:style>
  <w:style w:type="paragraph" w:styleId="41">
    <w:name w:val="toc 6"/>
    <w:basedOn w:val="1"/>
    <w:next w:val="1"/>
    <w:autoRedefine/>
    <w:semiHidden/>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semiHidden/>
    <w:qFormat/>
    <w:uiPriority w:val="0"/>
    <w:pPr>
      <w:tabs>
        <w:tab w:val="right" w:leader="dot" w:pos="8640"/>
      </w:tabs>
      <w:spacing w:line="360" w:lineRule="auto"/>
      <w:ind w:left="400" w:hanging="400"/>
    </w:pPr>
    <w:rPr>
      <w:sz w:val="24"/>
    </w:rPr>
  </w:style>
  <w:style w:type="paragraph" w:styleId="45">
    <w:name w:val="toc 2"/>
    <w:basedOn w:val="1"/>
    <w:next w:val="1"/>
    <w:autoRedefine/>
    <w:semiHidden/>
    <w:qFormat/>
    <w:uiPriority w:val="0"/>
    <w:pPr>
      <w:ind w:left="420" w:leftChars="200"/>
    </w:pPr>
  </w:style>
  <w:style w:type="paragraph" w:styleId="46">
    <w:name w:val="toc 9"/>
    <w:basedOn w:val="1"/>
    <w:next w:val="1"/>
    <w:autoRedefine/>
    <w:semiHidden/>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semiHidden/>
    <w:qFormat/>
    <w:uiPriority w:val="0"/>
    <w:pPr>
      <w:adjustRightInd w:val="0"/>
      <w:spacing w:line="240" w:lineRule="atLeast"/>
      <w:textAlignment w:val="baseline"/>
    </w:pPr>
    <w:rPr>
      <w:rFonts w:ascii="宋体"/>
      <w:kern w:val="0"/>
      <w:sz w:val="21"/>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5"/>
    <w:autoRedefine/>
    <w:semiHidden/>
    <w:qFormat/>
    <w:uiPriority w:val="0"/>
    <w:pPr>
      <w:adjustRightInd/>
      <w:spacing w:line="240" w:lineRule="auto"/>
      <w:textAlignment w:val="auto"/>
    </w:pPr>
  </w:style>
  <w:style w:type="paragraph" w:styleId="55">
    <w:name w:val="Body Text First Indent"/>
    <w:basedOn w:val="1"/>
    <w:autoRedefine/>
    <w:qFormat/>
    <w:uiPriority w:val="0"/>
    <w:pPr>
      <w:spacing w:line="360" w:lineRule="auto"/>
      <w:ind w:firstLine="420"/>
    </w:pPr>
    <w:rPr>
      <w:rFonts w:ascii="宋体" w:hAnsi="宋体"/>
      <w:sz w:val="24"/>
    </w:rPr>
  </w:style>
  <w:style w:type="paragraph" w:styleId="56">
    <w:name w:val="Body Text First Indent 2"/>
    <w:basedOn w:val="23"/>
    <w:link w:val="76"/>
    <w:autoRedefine/>
    <w:qFormat/>
    <w:uiPriority w:val="0"/>
    <w:pPr>
      <w:spacing w:after="120" w:line="240" w:lineRule="auto"/>
      <w:ind w:left="420" w:leftChars="200" w:firstLine="420" w:firstLineChars="200"/>
    </w:pPr>
  </w:style>
  <w:style w:type="character" w:styleId="59">
    <w:name w:val="Strong"/>
    <w:autoRedefine/>
    <w:qFormat/>
    <w:uiPriority w:val="0"/>
    <w:rPr>
      <w:b/>
    </w:rPr>
  </w:style>
  <w:style w:type="character" w:styleId="60">
    <w:name w:val="page number"/>
    <w:autoRedefine/>
    <w:qFormat/>
    <w:uiPriority w:val="0"/>
    <w:rPr>
      <w:rFonts w:cs="Times New Roman"/>
    </w:rPr>
  </w:style>
  <w:style w:type="character" w:styleId="61">
    <w:name w:val="FollowedHyperlink"/>
    <w:autoRedefine/>
    <w:qFormat/>
    <w:uiPriority w:val="0"/>
    <w:rPr>
      <w:color w:val="800080"/>
      <w:u w:val="single"/>
    </w:rPr>
  </w:style>
  <w:style w:type="character" w:styleId="62">
    <w:name w:val="Emphasis"/>
    <w:autoRedefine/>
    <w:qFormat/>
    <w:uiPriority w:val="0"/>
    <w:rPr>
      <w:i/>
    </w:rPr>
  </w:style>
  <w:style w:type="character" w:styleId="63">
    <w:name w:val="Hyperlink"/>
    <w:autoRedefine/>
    <w:qFormat/>
    <w:uiPriority w:val="0"/>
    <w:rPr>
      <w:color w:val="0000FF"/>
      <w:u w:val="single"/>
    </w:rPr>
  </w:style>
  <w:style w:type="character" w:styleId="64">
    <w:name w:val="annotation reference"/>
    <w:autoRedefine/>
    <w:semiHidden/>
    <w:qFormat/>
    <w:uiPriority w:val="0"/>
    <w:rPr>
      <w:sz w:val="21"/>
    </w:rPr>
  </w:style>
  <w:style w:type="character" w:styleId="65">
    <w:name w:val="footnote reference"/>
    <w:autoRedefine/>
    <w:semiHidden/>
    <w:qFormat/>
    <w:uiPriority w:val="0"/>
    <w:rPr>
      <w:position w:val="6"/>
      <w:sz w:val="14"/>
      <w:vertAlign w:val="superscript"/>
    </w:rPr>
  </w:style>
  <w:style w:type="paragraph" w:customStyle="1" w:styleId="66">
    <w:name w:val="_Style 242"/>
    <w:basedOn w:val="1"/>
    <w:autoRedefine/>
    <w:qFormat/>
    <w:uiPriority w:val="0"/>
    <w:pPr>
      <w:widowControl/>
      <w:spacing w:after="160" w:line="240" w:lineRule="exact"/>
      <w:jc w:val="left"/>
    </w:pPr>
    <w:rPr>
      <w:rFonts w:ascii="Verdana" w:hAnsi="Verdana" w:eastAsia="仿宋_GB2312"/>
      <w:kern w:val="0"/>
      <w:sz w:val="24"/>
      <w:lang w:eastAsia="en-US"/>
    </w:rPr>
  </w:style>
  <w:style w:type="character" w:customStyle="1" w:styleId="67">
    <w:name w:val="标题 2 Char"/>
    <w:link w:val="3"/>
    <w:autoRedefine/>
    <w:qFormat/>
    <w:locked/>
    <w:uiPriority w:val="0"/>
    <w:rPr>
      <w:rFonts w:ascii="Arial" w:hAnsi="Arial" w:eastAsia="黑体"/>
      <w:b/>
      <w:kern w:val="2"/>
      <w:sz w:val="32"/>
    </w:rPr>
  </w:style>
  <w:style w:type="character" w:customStyle="1" w:styleId="68">
    <w:name w:val="标题 3 Char"/>
    <w:link w:val="4"/>
    <w:autoRedefine/>
    <w:qFormat/>
    <w:locked/>
    <w:uiPriority w:val="0"/>
    <w:rPr>
      <w:rFonts w:eastAsia="宋体"/>
      <w:b/>
      <w:kern w:val="2"/>
      <w:sz w:val="32"/>
      <w:lang w:val="en-US" w:eastAsia="zh-CN"/>
    </w:rPr>
  </w:style>
  <w:style w:type="character" w:customStyle="1" w:styleId="69">
    <w:name w:val="批注文字 Char"/>
    <w:link w:val="19"/>
    <w:autoRedefine/>
    <w:qFormat/>
    <w:locked/>
    <w:uiPriority w:val="0"/>
    <w:rPr>
      <w:sz w:val="24"/>
    </w:rPr>
  </w:style>
  <w:style w:type="character" w:customStyle="1" w:styleId="70">
    <w:name w:val="正文文本缩进 Char"/>
    <w:link w:val="23"/>
    <w:autoRedefine/>
    <w:qFormat/>
    <w:locked/>
    <w:uiPriority w:val="0"/>
    <w:rPr>
      <w:kern w:val="2"/>
      <w:sz w:val="44"/>
    </w:rPr>
  </w:style>
  <w:style w:type="character" w:customStyle="1" w:styleId="71">
    <w:name w:val="纯文本 Char"/>
    <w:link w:val="30"/>
    <w:autoRedefine/>
    <w:qFormat/>
    <w:locked/>
    <w:uiPriority w:val="0"/>
    <w:rPr>
      <w:rFonts w:ascii="宋体" w:hAnsi="Courier New"/>
      <w:kern w:val="2"/>
      <w:sz w:val="21"/>
    </w:rPr>
  </w:style>
  <w:style w:type="character" w:customStyle="1" w:styleId="72">
    <w:name w:val="日期 Char"/>
    <w:link w:val="32"/>
    <w:autoRedefine/>
    <w:qFormat/>
    <w:locked/>
    <w:uiPriority w:val="0"/>
    <w:rPr>
      <w:kern w:val="2"/>
      <w:sz w:val="28"/>
    </w:rPr>
  </w:style>
  <w:style w:type="character" w:customStyle="1" w:styleId="73">
    <w:name w:val="正文文本缩进 2 Char"/>
    <w:link w:val="33"/>
    <w:autoRedefine/>
    <w:qFormat/>
    <w:locked/>
    <w:uiPriority w:val="0"/>
    <w:rPr>
      <w:kern w:val="2"/>
      <w:sz w:val="28"/>
    </w:rPr>
  </w:style>
  <w:style w:type="character" w:customStyle="1" w:styleId="74">
    <w:name w:val="脚注文本 Char"/>
    <w:link w:val="40"/>
    <w:autoRedefine/>
    <w:qFormat/>
    <w:locked/>
    <w:uiPriority w:val="0"/>
    <w:rPr>
      <w:kern w:val="2"/>
      <w:sz w:val="18"/>
    </w:rPr>
  </w:style>
  <w:style w:type="character" w:customStyle="1" w:styleId="75">
    <w:name w:val="批注主题 Char"/>
    <w:link w:val="54"/>
    <w:autoRedefine/>
    <w:qFormat/>
    <w:locked/>
    <w:uiPriority w:val="0"/>
    <w:rPr>
      <w:rFonts w:cs="Times New Roman"/>
      <w:sz w:val="24"/>
    </w:rPr>
  </w:style>
  <w:style w:type="character" w:customStyle="1" w:styleId="76">
    <w:name w:val="正文首行缩进 2 Char"/>
    <w:link w:val="56"/>
    <w:autoRedefine/>
    <w:qFormat/>
    <w:locked/>
    <w:uiPriority w:val="0"/>
    <w:rPr>
      <w:rFonts w:cs="Times New Roman"/>
      <w:kern w:val="2"/>
      <w:sz w:val="44"/>
    </w:rPr>
  </w:style>
  <w:style w:type="character" w:customStyle="1" w:styleId="77">
    <w:name w:val="Char Char2"/>
    <w:autoRedefine/>
    <w:qFormat/>
    <w:uiPriority w:val="0"/>
    <w:rPr>
      <w:rFonts w:eastAsia="宋体"/>
      <w:kern w:val="2"/>
      <w:sz w:val="18"/>
      <w:lang w:val="en-US" w:eastAsia="zh-CN"/>
    </w:rPr>
  </w:style>
  <w:style w:type="character" w:customStyle="1" w:styleId="78">
    <w:name w:val="Char Char11"/>
    <w:autoRedefine/>
    <w:qFormat/>
    <w:uiPriority w:val="0"/>
    <w:rPr>
      <w:rFonts w:ascii="宋体"/>
      <w:kern w:val="2"/>
      <w:sz w:val="28"/>
    </w:rPr>
  </w:style>
  <w:style w:type="character" w:customStyle="1" w:styleId="79">
    <w:name w:val="title_emph1"/>
    <w:autoRedefine/>
    <w:qFormat/>
    <w:uiPriority w:val="0"/>
    <w:rPr>
      <w:rFonts w:ascii="Arial" w:hAnsi="Arial"/>
      <w:b/>
      <w:sz w:val="20"/>
    </w:rPr>
  </w:style>
  <w:style w:type="character" w:customStyle="1" w:styleId="80">
    <w:name w:val="Char Char3"/>
    <w:autoRedefine/>
    <w:qFormat/>
    <w:uiPriority w:val="0"/>
    <w:rPr>
      <w:rFonts w:eastAsia="宋体"/>
      <w:kern w:val="2"/>
      <w:sz w:val="18"/>
      <w:lang w:val="en-US" w:eastAsia="zh-CN"/>
    </w:rPr>
  </w:style>
  <w:style w:type="character" w:customStyle="1" w:styleId="81">
    <w:name w:val="Char Char7"/>
    <w:autoRedefine/>
    <w:qFormat/>
    <w:uiPriority w:val="0"/>
    <w:rPr>
      <w:rFonts w:ascii="宋体" w:hAnsi="宋体" w:eastAsia="宋体"/>
      <w:kern w:val="2"/>
      <w:sz w:val="28"/>
    </w:rPr>
  </w:style>
  <w:style w:type="character" w:customStyle="1" w:styleId="82">
    <w:name w:val="H2 Char"/>
    <w:autoRedefine/>
    <w:qFormat/>
    <w:uiPriority w:val="0"/>
    <w:rPr>
      <w:rFonts w:ascii="Arial" w:hAnsi="Arial" w:eastAsia="宋体"/>
      <w:kern w:val="2"/>
      <w:sz w:val="28"/>
      <w:lang w:val="en-US" w:eastAsia="zh-CN"/>
    </w:rPr>
  </w:style>
  <w:style w:type="character" w:customStyle="1" w:styleId="83">
    <w:name w:val="content-white1"/>
    <w:autoRedefine/>
    <w:qFormat/>
    <w:uiPriority w:val="0"/>
    <w:rPr>
      <w:color w:val="auto"/>
      <w:sz w:val="18"/>
      <w:u w:val="none"/>
    </w:rPr>
  </w:style>
  <w:style w:type="character" w:customStyle="1" w:styleId="84">
    <w:name w:val="Char Char"/>
    <w:autoRedefine/>
    <w:qFormat/>
    <w:uiPriority w:val="0"/>
    <w:rPr>
      <w:rFonts w:ascii="宋体" w:hAnsi="宋体" w:eastAsia="宋体"/>
      <w:kern w:val="2"/>
      <w:sz w:val="24"/>
      <w:lang w:val="en-US" w:eastAsia="zh-CN"/>
    </w:rPr>
  </w:style>
  <w:style w:type="character" w:customStyle="1" w:styleId="85">
    <w:name w:val="top-det1"/>
    <w:autoRedefine/>
    <w:qFormat/>
    <w:uiPriority w:val="0"/>
    <w:rPr>
      <w:b/>
      <w:color w:val="000000"/>
    </w:rPr>
  </w:style>
  <w:style w:type="character" w:customStyle="1" w:styleId="86">
    <w:name w:val="样式 宋体"/>
    <w:autoRedefine/>
    <w:qFormat/>
    <w:uiPriority w:val="0"/>
    <w:rPr>
      <w:rFonts w:ascii="宋体" w:hAnsi="宋体" w:eastAsia="宋体"/>
      <w:sz w:val="28"/>
    </w:rPr>
  </w:style>
  <w:style w:type="character" w:customStyle="1" w:styleId="87">
    <w:name w:val="Table Text Char1 Char"/>
    <w:autoRedefine/>
    <w:qFormat/>
    <w:uiPriority w:val="0"/>
    <w:rPr>
      <w:rFonts w:ascii="Arial" w:hAnsi="Arial"/>
      <w:kern w:val="2"/>
      <w:sz w:val="18"/>
      <w:lang w:val="en-US" w:eastAsia="zh-CN"/>
    </w:rPr>
  </w:style>
  <w:style w:type="character" w:customStyle="1" w:styleId="88">
    <w:name w:val="Char Char6"/>
    <w:autoRedefine/>
    <w:qFormat/>
    <w:uiPriority w:val="0"/>
    <w:rPr>
      <w:rFonts w:ascii="仿宋_GB2312" w:eastAsia="仿宋_GB2312"/>
      <w:kern w:val="2"/>
      <w:sz w:val="32"/>
    </w:rPr>
  </w:style>
  <w:style w:type="character" w:customStyle="1" w:styleId="89">
    <w:name w:val="crowed11"/>
    <w:autoRedefine/>
    <w:qFormat/>
    <w:uiPriority w:val="0"/>
    <w:rPr>
      <w:sz w:val="24"/>
    </w:rPr>
  </w:style>
  <w:style w:type="character" w:customStyle="1" w:styleId="90">
    <w:name w:val="Table Text Char Char Char Char"/>
    <w:link w:val="91"/>
    <w:autoRedefine/>
    <w:qFormat/>
    <w:locked/>
    <w:uiPriority w:val="0"/>
    <w:rPr>
      <w:rFonts w:ascii="Arial" w:hAnsi="Arial"/>
      <w:kern w:val="2"/>
      <w:sz w:val="18"/>
      <w:lang w:val="en-US" w:eastAsia="zh-CN"/>
    </w:rPr>
  </w:style>
  <w:style w:type="paragraph" w:customStyle="1" w:styleId="91">
    <w:name w:val="Table Text Char Char Char"/>
    <w:link w:val="90"/>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v151"/>
    <w:autoRedefine/>
    <w:qFormat/>
    <w:uiPriority w:val="0"/>
    <w:rPr>
      <w:sz w:val="18"/>
    </w:rPr>
  </w:style>
  <w:style w:type="character" w:customStyle="1" w:styleId="93">
    <w:name w:val="正文 + 三号 Char"/>
    <w:autoRedefine/>
    <w:qFormat/>
    <w:uiPriority w:val="0"/>
    <w:rPr>
      <w:rFonts w:eastAsia="宋体"/>
      <w:kern w:val="2"/>
      <w:sz w:val="21"/>
      <w:lang w:val="en-US" w:eastAsia="zh-CN"/>
    </w:rPr>
  </w:style>
  <w:style w:type="character" w:customStyle="1" w:styleId="94">
    <w:name w:val="font1"/>
    <w:autoRedefine/>
    <w:qFormat/>
    <w:uiPriority w:val="0"/>
    <w:rPr>
      <w:color w:val="000000"/>
      <w:sz w:val="18"/>
    </w:rPr>
  </w:style>
  <w:style w:type="character" w:customStyle="1" w:styleId="95">
    <w:name w:val="未命名11"/>
    <w:autoRedefine/>
    <w:qFormat/>
    <w:uiPriority w:val="0"/>
    <w:rPr>
      <w:color w:val="77FFFF"/>
      <w:sz w:val="24"/>
    </w:rPr>
  </w:style>
  <w:style w:type="character" w:customStyle="1" w:styleId="96">
    <w:name w:val="小 Char"/>
    <w:autoRedefine/>
    <w:qFormat/>
    <w:uiPriority w:val="0"/>
    <w:rPr>
      <w:rFonts w:ascii="宋体" w:hAnsi="Courier New" w:eastAsia="宋体"/>
      <w:kern w:val="2"/>
      <w:sz w:val="21"/>
      <w:lang w:val="en-US" w:eastAsia="zh-CN"/>
    </w:rPr>
  </w:style>
  <w:style w:type="character" w:customStyle="1" w:styleId="97">
    <w:name w:val="Table Heading Char Char"/>
    <w:autoRedefine/>
    <w:qFormat/>
    <w:uiPriority w:val="0"/>
    <w:rPr>
      <w:rFonts w:ascii="Arial" w:hAnsi="Arial" w:eastAsia="黑体"/>
      <w:kern w:val="2"/>
      <w:sz w:val="18"/>
      <w:lang w:val="en-US" w:eastAsia="zh-CN"/>
    </w:rPr>
  </w:style>
  <w:style w:type="character" w:customStyle="1" w:styleId="98">
    <w:name w:val="标书正文:  0.74 厘米 Char1"/>
    <w:autoRedefine/>
    <w:qFormat/>
    <w:uiPriority w:val="0"/>
    <w:rPr>
      <w:rFonts w:eastAsia="宋体"/>
      <w:kern w:val="2"/>
      <w:sz w:val="24"/>
      <w:lang w:val="en-US" w:eastAsia="zh-CN"/>
    </w:rPr>
  </w:style>
  <w:style w:type="character" w:customStyle="1" w:styleId="99">
    <w:name w:val="Char Char4"/>
    <w:autoRedefine/>
    <w:qFormat/>
    <w:uiPriority w:val="0"/>
    <w:rPr>
      <w:rFonts w:eastAsia="宋体"/>
      <w:b/>
      <w:kern w:val="2"/>
      <w:sz w:val="21"/>
      <w:lang w:val="en-US" w:eastAsia="zh-CN"/>
    </w:rPr>
  </w:style>
  <w:style w:type="character" w:customStyle="1" w:styleId="100">
    <w:name w:val="Char Char5"/>
    <w:autoRedefine/>
    <w:qFormat/>
    <w:uiPriority w:val="0"/>
    <w:rPr>
      <w:rFonts w:ascii="Arial" w:hAnsi="Arial" w:eastAsia="宋体"/>
      <w:b/>
      <w:smallCaps/>
      <w:kern w:val="28"/>
      <w:sz w:val="36"/>
      <w:lang w:val="en-US" w:eastAsia="en-US"/>
    </w:rPr>
  </w:style>
  <w:style w:type="character" w:customStyle="1" w:styleId="101">
    <w:name w:val="文字 Char"/>
    <w:link w:val="102"/>
    <w:autoRedefine/>
    <w:qFormat/>
    <w:locked/>
    <w:uiPriority w:val="0"/>
    <w:rPr>
      <w:rFonts w:ascii="宋体"/>
      <w:kern w:val="2"/>
      <w:sz w:val="28"/>
    </w:rPr>
  </w:style>
  <w:style w:type="paragraph" w:customStyle="1" w:styleId="102">
    <w:name w:val="文字"/>
    <w:basedOn w:val="1"/>
    <w:link w:val="101"/>
    <w:autoRedefine/>
    <w:qFormat/>
    <w:uiPriority w:val="0"/>
    <w:pPr>
      <w:tabs>
        <w:tab w:val="left" w:pos="8520"/>
      </w:tabs>
      <w:spacing w:line="312" w:lineRule="auto"/>
      <w:ind w:right="-210" w:firstLine="556"/>
    </w:pPr>
    <w:rPr>
      <w:rFonts w:ascii="宋体"/>
    </w:rPr>
  </w:style>
  <w:style w:type="character" w:customStyle="1" w:styleId="103">
    <w:name w:val="Table Text Char"/>
    <w:link w:val="104"/>
    <w:autoRedefine/>
    <w:qFormat/>
    <w:locked/>
    <w:uiPriority w:val="0"/>
    <w:rPr>
      <w:rFonts w:ascii="Arial" w:hAnsi="Arial"/>
      <w:kern w:val="2"/>
      <w:sz w:val="18"/>
      <w:lang w:val="en-US" w:eastAsia="zh-CN"/>
    </w:rPr>
  </w:style>
  <w:style w:type="paragraph" w:customStyle="1" w:styleId="104">
    <w:name w:val="Table Text"/>
    <w:link w:val="103"/>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0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106">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7">
    <w:name w:val="编号正文"/>
    <w:basedOn w:val="108"/>
    <w:autoRedefine/>
    <w:qFormat/>
    <w:uiPriority w:val="0"/>
    <w:pPr>
      <w:snapToGrid/>
      <w:spacing w:line="360" w:lineRule="auto"/>
      <w:ind w:left="1407" w:hanging="1047"/>
      <w:jc w:val="left"/>
    </w:pPr>
    <w:rPr>
      <w:rFonts w:eastAsia="仿宋_GB2312"/>
    </w:rPr>
  </w:style>
  <w:style w:type="paragraph" w:customStyle="1" w:styleId="108">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9">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0">
    <w:name w:val="样式 首行缩进:  0.74 厘米"/>
    <w:basedOn w:val="1"/>
    <w:autoRedefine/>
    <w:qFormat/>
    <w:uiPriority w:val="0"/>
    <w:pPr>
      <w:spacing w:line="360" w:lineRule="auto"/>
      <w:ind w:firstLine="420"/>
    </w:pPr>
    <w:rPr>
      <w:sz w:val="24"/>
    </w:rPr>
  </w:style>
  <w:style w:type="paragraph" w:customStyle="1" w:styleId="111">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3">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114">
    <w:name w:val="Char Char Char"/>
    <w:basedOn w:val="1"/>
    <w:autoRedefine/>
    <w:qFormat/>
    <w:uiPriority w:val="0"/>
    <w:rPr>
      <w:rFonts w:ascii="Tahoma" w:hAnsi="Tahoma"/>
      <w:sz w:val="24"/>
    </w:rPr>
  </w:style>
  <w:style w:type="paragraph" w:customStyle="1" w:styleId="115">
    <w:name w:val="正文文本缩进 21"/>
    <w:basedOn w:val="1"/>
    <w:autoRedefine/>
    <w:qFormat/>
    <w:uiPriority w:val="0"/>
    <w:pPr>
      <w:adjustRightInd w:val="0"/>
      <w:spacing w:before="120"/>
      <w:ind w:firstLine="420"/>
      <w:textAlignment w:val="baseline"/>
    </w:pPr>
    <w:rPr>
      <w:sz w:val="24"/>
    </w:rPr>
  </w:style>
  <w:style w:type="paragraph" w:customStyle="1" w:styleId="116">
    <w:name w:val="标准正文"/>
    <w:basedOn w:val="23"/>
    <w:autoRedefine/>
    <w:qFormat/>
    <w:uiPriority w:val="0"/>
    <w:pPr>
      <w:spacing w:before="60" w:after="60" w:line="360" w:lineRule="auto"/>
      <w:ind w:left="0" w:firstLine="482"/>
    </w:pPr>
    <w:rPr>
      <w:rFonts w:ascii="Arial" w:hAnsi="Arial"/>
      <w:sz w:val="24"/>
    </w:rPr>
  </w:style>
  <w:style w:type="paragraph" w:customStyle="1" w:styleId="117">
    <w:name w:val="Title - Revision"/>
    <w:basedOn w:val="53"/>
    <w:autoRedefine/>
    <w:qFormat/>
    <w:uiPriority w:val="0"/>
    <w:pPr>
      <w:spacing w:before="720"/>
    </w:pPr>
  </w:style>
  <w:style w:type="paragraph" w:customStyle="1" w:styleId="118">
    <w:name w:val="样式 宋体 五号 行距: 单倍行距"/>
    <w:basedOn w:val="1"/>
    <w:autoRedefine/>
    <w:qFormat/>
    <w:uiPriority w:val="0"/>
    <w:pPr>
      <w:adjustRightInd w:val="0"/>
      <w:jc w:val="left"/>
    </w:pPr>
    <w:rPr>
      <w:rFonts w:ascii="宋体" w:hAnsi="宋体"/>
      <w:kern w:val="0"/>
      <w:sz w:val="21"/>
    </w:rPr>
  </w:style>
  <w:style w:type="paragraph" w:customStyle="1" w:styleId="119">
    <w:name w:val="首行缩进 1"/>
    <w:basedOn w:val="1"/>
    <w:autoRedefine/>
    <w:qFormat/>
    <w:uiPriority w:val="0"/>
    <w:pPr>
      <w:spacing w:after="120" w:line="360" w:lineRule="auto"/>
      <w:ind w:firstLine="200" w:firstLineChars="200"/>
    </w:pPr>
    <w:rPr>
      <w:sz w:val="24"/>
    </w:rPr>
  </w:style>
  <w:style w:type="paragraph" w:customStyle="1" w:styleId="120">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1">
    <w:name w:val="Char"/>
    <w:basedOn w:val="1"/>
    <w:autoRedefine/>
    <w:qFormat/>
    <w:uiPriority w:val="0"/>
    <w:pPr>
      <w:spacing w:line="240" w:lineRule="atLeast"/>
      <w:ind w:left="420" w:firstLine="420"/>
    </w:pPr>
    <w:rPr>
      <w:kern w:val="0"/>
      <w:sz w:val="21"/>
    </w:rPr>
  </w:style>
  <w:style w:type="paragraph" w:customStyle="1" w:styleId="122">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2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25">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6">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7">
    <w:name w:val="摘要"/>
    <w:basedOn w:val="1"/>
    <w:next w:val="3"/>
    <w:autoRedefine/>
    <w:qFormat/>
    <w:uiPriority w:val="0"/>
    <w:pPr>
      <w:spacing w:line="360" w:lineRule="auto"/>
    </w:pPr>
    <w:rPr>
      <w:rFonts w:eastAsia="黑体"/>
      <w:sz w:val="20"/>
    </w:rPr>
  </w:style>
  <w:style w:type="paragraph" w:customStyle="1" w:styleId="128">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29">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13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31">
    <w:name w:val="表头样式"/>
    <w:basedOn w:val="1"/>
    <w:autoRedefine/>
    <w:qFormat/>
    <w:uiPriority w:val="0"/>
    <w:pPr>
      <w:autoSpaceDE w:val="0"/>
      <w:autoSpaceDN w:val="0"/>
      <w:adjustRightInd w:val="0"/>
      <w:spacing w:line="360" w:lineRule="auto"/>
      <w:jc w:val="left"/>
    </w:pPr>
    <w:rPr>
      <w:b/>
      <w:kern w:val="0"/>
      <w:sz w:val="21"/>
    </w:rPr>
  </w:style>
  <w:style w:type="paragraph" w:customStyle="1" w:styleId="132">
    <w:name w:val="一级条标题"/>
    <w:basedOn w:val="133"/>
    <w:next w:val="112"/>
    <w:autoRedefine/>
    <w:qFormat/>
    <w:uiPriority w:val="0"/>
    <w:pPr>
      <w:spacing w:beforeLines="0" w:afterLines="0"/>
      <w:ind w:left="525"/>
      <w:outlineLvl w:val="2"/>
    </w:pPr>
    <w:rPr>
      <w:sz w:val="21"/>
    </w:rPr>
  </w:style>
  <w:style w:type="paragraph" w:customStyle="1" w:styleId="133">
    <w:name w:val="章标题"/>
    <w:next w:val="1"/>
    <w:autoRedefine/>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4">
    <w:name w:val="默认段落字体 Para Char Char Char Char Char Char Char"/>
    <w:basedOn w:val="1"/>
    <w:autoRedefine/>
    <w:qFormat/>
    <w:uiPriority w:val="0"/>
    <w:rPr>
      <w:rFonts w:ascii="Tahoma" w:hAnsi="Tahoma"/>
      <w:sz w:val="24"/>
    </w:rPr>
  </w:style>
  <w:style w:type="paragraph" w:customStyle="1" w:styleId="135">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6">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137">
    <w:name w:val="表格内文字"/>
    <w:basedOn w:val="30"/>
    <w:autoRedefine/>
    <w:qFormat/>
    <w:uiPriority w:val="0"/>
    <w:pPr>
      <w:adjustRightInd w:val="0"/>
    </w:pPr>
    <w:rPr>
      <w:color w:val="000000"/>
      <w:lang w:val="en-GB"/>
    </w:rPr>
  </w:style>
  <w:style w:type="paragraph" w:customStyle="1" w:styleId="138">
    <w:name w:val="简单回函地址"/>
    <w:basedOn w:val="1"/>
    <w:autoRedefine/>
    <w:qFormat/>
    <w:uiPriority w:val="0"/>
    <w:pPr>
      <w:adjustRightInd w:val="0"/>
      <w:snapToGrid w:val="0"/>
      <w:spacing w:line="360" w:lineRule="auto"/>
    </w:pPr>
    <w:rPr>
      <w:sz w:val="24"/>
    </w:rPr>
  </w:style>
  <w:style w:type="paragraph" w:customStyle="1" w:styleId="139">
    <w:name w:val="段落正文"/>
    <w:basedOn w:val="1"/>
    <w:autoRedefine/>
    <w:qFormat/>
    <w:uiPriority w:val="0"/>
    <w:pPr>
      <w:spacing w:beforeLines="50" w:line="360" w:lineRule="auto"/>
      <w:ind w:firstLine="200" w:firstLineChars="200"/>
    </w:pPr>
    <w:rPr>
      <w:spacing w:val="2"/>
      <w:sz w:val="24"/>
    </w:rPr>
  </w:style>
  <w:style w:type="paragraph" w:customStyle="1" w:styleId="140">
    <w:name w:val="1.正文"/>
    <w:basedOn w:val="1"/>
    <w:autoRedefine/>
    <w:qFormat/>
    <w:uiPriority w:val="0"/>
    <w:pPr>
      <w:spacing w:line="360" w:lineRule="auto"/>
      <w:ind w:left="540" w:leftChars="225" w:firstLine="540" w:firstLineChars="225"/>
    </w:pPr>
    <w:rPr>
      <w:sz w:val="24"/>
    </w:rPr>
  </w:style>
  <w:style w:type="paragraph" w:customStyle="1" w:styleId="141">
    <w:name w:val="Char1"/>
    <w:basedOn w:val="1"/>
    <w:autoRedefine/>
    <w:qFormat/>
    <w:uiPriority w:val="0"/>
    <w:rPr>
      <w:sz w:val="21"/>
    </w:rPr>
  </w:style>
  <w:style w:type="paragraph" w:customStyle="1" w:styleId="142">
    <w:name w:val="正文字缩2字"/>
    <w:basedOn w:val="1"/>
    <w:autoRedefine/>
    <w:qFormat/>
    <w:uiPriority w:val="0"/>
    <w:pPr>
      <w:spacing w:before="60" w:after="60" w:line="360" w:lineRule="auto"/>
      <w:ind w:left="200" w:leftChars="200" w:firstLine="200" w:firstLineChars="200"/>
    </w:pPr>
    <w:rPr>
      <w:sz w:val="24"/>
    </w:rPr>
  </w:style>
  <w:style w:type="paragraph" w:customStyle="1" w:styleId="143">
    <w:name w:val="标题无"/>
    <w:basedOn w:val="1"/>
    <w:autoRedefine/>
    <w:qFormat/>
    <w:uiPriority w:val="0"/>
    <w:pPr>
      <w:spacing w:line="360" w:lineRule="auto"/>
    </w:pPr>
    <w:rPr>
      <w:sz w:val="24"/>
    </w:rPr>
  </w:style>
  <w:style w:type="paragraph" w:customStyle="1" w:styleId="144">
    <w:name w:val="Char Char 字元 字元 字元 Char Char Char Char"/>
    <w:basedOn w:val="1"/>
    <w:autoRedefine/>
    <w:qFormat/>
    <w:uiPriority w:val="0"/>
    <w:pPr>
      <w:adjustRightInd w:val="0"/>
      <w:spacing w:line="360" w:lineRule="auto"/>
    </w:pPr>
    <w:rPr>
      <w:kern w:val="0"/>
      <w:sz w:val="24"/>
    </w:rPr>
  </w:style>
  <w:style w:type="paragraph" w:customStyle="1" w:styleId="145">
    <w:name w:val="Char Char14 Char Char"/>
    <w:basedOn w:val="1"/>
    <w:autoRedefine/>
    <w:qFormat/>
    <w:uiPriority w:val="0"/>
    <w:rPr>
      <w:sz w:val="21"/>
      <w:szCs w:val="24"/>
    </w:rPr>
  </w:style>
  <w:style w:type="paragraph" w:customStyle="1" w:styleId="146">
    <w:name w:val="Char Char Char Char Char Char Char"/>
    <w:basedOn w:val="1"/>
    <w:autoRedefine/>
    <w:qFormat/>
    <w:uiPriority w:val="0"/>
    <w:rPr>
      <w:rFonts w:ascii="Tahoma" w:hAnsi="Tahoma"/>
      <w:sz w:val="24"/>
    </w:rPr>
  </w:style>
  <w:style w:type="paragraph" w:customStyle="1" w:styleId="147">
    <w:name w:val="修订1"/>
    <w:autoRedefine/>
    <w:qFormat/>
    <w:uiPriority w:val="0"/>
    <w:rPr>
      <w:rFonts w:ascii="Times New Roman" w:hAnsi="Times New Roman" w:eastAsia="宋体" w:cs="Times New Roman"/>
      <w:kern w:val="2"/>
      <w:sz w:val="21"/>
      <w:lang w:val="en-US" w:eastAsia="zh-CN" w:bidi="ar-SA"/>
    </w:rPr>
  </w:style>
  <w:style w:type="paragraph" w:customStyle="1" w:styleId="14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49">
    <w:name w:val="È¡ÀÊ¡ÎÄ¡À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150">
    <w:name w:val="样式 正文缩进正文（首行缩进两字）表正文正文非缩进特点标题4段1 + 首行缩进:  2 字符"/>
    <w:basedOn w:val="15"/>
    <w:autoRedefine/>
    <w:qFormat/>
    <w:uiPriority w:val="0"/>
    <w:pPr>
      <w:ind w:firstLine="480" w:firstLineChars="200"/>
    </w:pPr>
  </w:style>
  <w:style w:type="paragraph" w:customStyle="1" w:styleId="15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52">
    <w:name w:val="二级列表"/>
    <w:basedOn w:val="139"/>
    <w:next w:val="139"/>
    <w:autoRedefine/>
    <w:qFormat/>
    <w:uiPriority w:val="0"/>
    <w:pPr>
      <w:tabs>
        <w:tab w:val="left" w:pos="2120"/>
      </w:tabs>
      <w:ind w:firstLine="0" w:firstLineChars="0"/>
    </w:pPr>
    <w:rPr>
      <w:b/>
    </w:rPr>
  </w:style>
  <w:style w:type="paragraph" w:customStyle="1" w:styleId="153">
    <w:name w:val="样式 行距: 1.5 倍行距1"/>
    <w:basedOn w:val="1"/>
    <w:autoRedefine/>
    <w:qFormat/>
    <w:uiPriority w:val="0"/>
    <w:pPr>
      <w:snapToGrid w:val="0"/>
    </w:pPr>
    <w:rPr>
      <w:sz w:val="21"/>
    </w:rPr>
  </w:style>
  <w:style w:type="paragraph" w:customStyle="1" w:styleId="154">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155">
    <w:name w:val="表文字"/>
    <w:autoRedefine/>
    <w:qFormat/>
    <w:uiPriority w:val="0"/>
    <w:rPr>
      <w:rFonts w:ascii="宋体" w:hAnsi="Times New Roman" w:eastAsia="宋体" w:cs="Times New Roman"/>
      <w:kern w:val="2"/>
      <w:lang w:val="en-US" w:eastAsia="zh-CN" w:bidi="ar-SA"/>
    </w:rPr>
  </w:style>
  <w:style w:type="paragraph" w:customStyle="1" w:styleId="156">
    <w:name w:val="文章正文"/>
    <w:basedOn w:val="1"/>
    <w:autoRedefine/>
    <w:qFormat/>
    <w:uiPriority w:val="0"/>
    <w:pPr>
      <w:ind w:firstLine="560" w:firstLineChars="200"/>
    </w:pPr>
    <w:rPr>
      <w:rFonts w:ascii="仿宋_GB2312" w:hAnsi="宋体" w:eastAsia="仿宋_GB2312"/>
      <w:color w:val="000000"/>
    </w:rPr>
  </w:style>
  <w:style w:type="paragraph" w:customStyle="1" w:styleId="157">
    <w:name w:val="列表项目"/>
    <w:basedOn w:val="1"/>
    <w:autoRedefine/>
    <w:qFormat/>
    <w:uiPriority w:val="0"/>
    <w:pPr>
      <w:tabs>
        <w:tab w:val="left" w:pos="420"/>
      </w:tabs>
      <w:spacing w:line="288" w:lineRule="auto"/>
      <w:ind w:left="840" w:leftChars="200" w:hanging="420" w:hangingChars="200"/>
    </w:pPr>
    <w:rPr>
      <w:sz w:val="21"/>
    </w:rPr>
  </w:style>
  <w:style w:type="paragraph" w:customStyle="1" w:styleId="158">
    <w:name w:val="Item List"/>
    <w:autoRedefine/>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59">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160">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1">
    <w:name w:val="正文表格"/>
    <w:basedOn w:val="1"/>
    <w:autoRedefine/>
    <w:qFormat/>
    <w:uiPriority w:val="0"/>
    <w:pPr>
      <w:adjustRightInd w:val="0"/>
      <w:spacing w:before="40" w:after="40"/>
    </w:pPr>
    <w:rPr>
      <w:sz w:val="24"/>
    </w:rPr>
  </w:style>
  <w:style w:type="paragraph" w:customStyle="1" w:styleId="162">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3">
    <w:name w:val="内容标题"/>
    <w:basedOn w:val="17"/>
    <w:autoRedefine/>
    <w:qFormat/>
    <w:uiPriority w:val="0"/>
    <w:rPr>
      <w:rFonts w:ascii="Tahoma" w:hAnsi="Tahoma"/>
      <w:sz w:val="24"/>
    </w:rPr>
  </w:style>
  <w:style w:type="paragraph" w:customStyle="1" w:styleId="164">
    <w:name w:val="标题5"/>
    <w:basedOn w:val="1"/>
    <w:autoRedefine/>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5">
    <w:name w:val="Style Heading 3h3Heading 3 - oldLevel 3 HeadH3level_3PIM 3se..."/>
    <w:basedOn w:val="4"/>
    <w:autoRedefine/>
    <w:qFormat/>
    <w:uiPriority w:val="0"/>
    <w:pPr>
      <w:tabs>
        <w:tab w:val="left" w:pos="709"/>
        <w:tab w:val="left" w:pos="1620"/>
      </w:tabs>
      <w:ind w:left="1620" w:hanging="360"/>
    </w:pPr>
  </w:style>
  <w:style w:type="paragraph" w:customStyle="1" w:styleId="16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167">
    <w:name w:val="可研正文"/>
    <w:basedOn w:val="22"/>
    <w:autoRedefine/>
    <w:qFormat/>
    <w:uiPriority w:val="0"/>
    <w:pPr>
      <w:adjustRightInd w:val="0"/>
      <w:snapToGrid w:val="0"/>
      <w:spacing w:line="440" w:lineRule="exact"/>
      <w:ind w:firstLine="567"/>
    </w:pPr>
    <w:rPr>
      <w:sz w:val="28"/>
    </w:rPr>
  </w:style>
  <w:style w:type="paragraph" w:customStyle="1" w:styleId="168">
    <w:name w:val="样式2"/>
    <w:basedOn w:val="5"/>
    <w:autoRedefine/>
    <w:qFormat/>
    <w:uiPriority w:val="0"/>
    <w:pPr>
      <w:tabs>
        <w:tab w:val="left" w:pos="720"/>
      </w:tabs>
      <w:spacing w:before="560" w:line="400" w:lineRule="exact"/>
      <w:ind w:left="420" w:hanging="420"/>
      <w:jc w:val="center"/>
      <w:outlineLvl w:val="0"/>
    </w:pPr>
    <w:rPr>
      <w:b w:val="0"/>
      <w:sz w:val="44"/>
    </w:rPr>
  </w:style>
  <w:style w:type="paragraph" w:customStyle="1" w:styleId="169">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170">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1">
    <w:name w:val="图例"/>
    <w:basedOn w:val="1"/>
    <w:autoRedefine/>
    <w:qFormat/>
    <w:uiPriority w:val="0"/>
    <w:pPr>
      <w:spacing w:before="120" w:after="120" w:line="360" w:lineRule="auto"/>
      <w:jc w:val="center"/>
    </w:pPr>
    <w:rPr>
      <w:rFonts w:eastAsia="仿宋_GB2312"/>
      <w:b/>
      <w:sz w:val="24"/>
    </w:rPr>
  </w:style>
  <w:style w:type="paragraph" w:customStyle="1" w:styleId="172">
    <w:name w:val="1"/>
    <w:basedOn w:val="1"/>
    <w:next w:val="30"/>
    <w:autoRedefine/>
    <w:qFormat/>
    <w:uiPriority w:val="0"/>
    <w:rPr>
      <w:rFonts w:ascii="宋体" w:hAnsi="Courier New"/>
      <w:sz w:val="21"/>
    </w:rPr>
  </w:style>
  <w:style w:type="paragraph" w:customStyle="1" w:styleId="173">
    <w:name w:val="附录3"/>
    <w:basedOn w:val="1"/>
    <w:next w:val="1"/>
    <w:autoRedefine/>
    <w:qFormat/>
    <w:uiPriority w:val="0"/>
    <w:pPr>
      <w:tabs>
        <w:tab w:val="left" w:pos="851"/>
      </w:tabs>
      <w:ind w:left="425" w:hanging="425"/>
      <w:outlineLvl w:val="2"/>
    </w:pPr>
    <w:rPr>
      <w:rFonts w:eastAsia="黑体"/>
      <w:b/>
      <w:sz w:val="32"/>
    </w:rPr>
  </w:style>
  <w:style w:type="paragraph" w:customStyle="1" w:styleId="174">
    <w:name w:val="表头"/>
    <w:basedOn w:val="175"/>
    <w:autoRedefine/>
    <w:qFormat/>
    <w:uiPriority w:val="0"/>
    <w:pPr>
      <w:jc w:val="center"/>
    </w:pPr>
    <w:rPr>
      <w:b/>
      <w:bCs/>
    </w:rPr>
  </w:style>
  <w:style w:type="paragraph" w:customStyle="1" w:styleId="175">
    <w:name w:val="表格正文"/>
    <w:basedOn w:val="1"/>
    <w:autoRedefine/>
    <w:qFormat/>
    <w:uiPriority w:val="0"/>
    <w:rPr>
      <w:rFonts w:ascii="Calibri" w:hAnsi="Calibri" w:eastAsia="仿宋" w:cs="宋体"/>
      <w:sz w:val="24"/>
    </w:rPr>
  </w:style>
  <w:style w:type="paragraph" w:customStyle="1" w:styleId="176">
    <w:name w:val="Item Step in Table"/>
    <w:autoRedefin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7">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8">
    <w:name w:val="正文（首行不缩进）"/>
    <w:basedOn w:val="1"/>
    <w:autoRedefine/>
    <w:qFormat/>
    <w:uiPriority w:val="0"/>
    <w:pPr>
      <w:autoSpaceDE w:val="0"/>
      <w:autoSpaceDN w:val="0"/>
      <w:adjustRightInd w:val="0"/>
      <w:spacing w:line="360" w:lineRule="auto"/>
      <w:jc w:val="left"/>
    </w:pPr>
    <w:rPr>
      <w:kern w:val="0"/>
      <w:sz w:val="21"/>
    </w:rPr>
  </w:style>
  <w:style w:type="paragraph" w:customStyle="1" w:styleId="179">
    <w:name w:val="首行缩进"/>
    <w:basedOn w:val="1"/>
    <w:autoRedefine/>
    <w:qFormat/>
    <w:uiPriority w:val="0"/>
    <w:pPr>
      <w:tabs>
        <w:tab w:val="left" w:pos="540"/>
      </w:tabs>
      <w:spacing w:line="360" w:lineRule="auto"/>
      <w:ind w:left="540"/>
    </w:pPr>
    <w:rPr>
      <w:rFonts w:eastAsia="仿宋_GB2312"/>
    </w:rPr>
  </w:style>
  <w:style w:type="paragraph" w:customStyle="1" w:styleId="180">
    <w:name w:val="文本1"/>
    <w:basedOn w:val="1"/>
    <w:autoRedefine/>
    <w:qFormat/>
    <w:uiPriority w:val="0"/>
    <w:pPr>
      <w:adjustRightInd w:val="0"/>
      <w:spacing w:line="312" w:lineRule="atLeast"/>
      <w:jc w:val="center"/>
      <w:textAlignment w:val="baseline"/>
    </w:pPr>
    <w:rPr>
      <w:kern w:val="0"/>
      <w:sz w:val="18"/>
    </w:rPr>
  </w:style>
  <w:style w:type="paragraph" w:customStyle="1" w:styleId="181">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2">
    <w:name w:val="Char1 Char Char Char"/>
    <w:basedOn w:val="1"/>
    <w:autoRedefine/>
    <w:qFormat/>
    <w:uiPriority w:val="0"/>
    <w:rPr>
      <w:rFonts w:ascii="Tahoma" w:hAnsi="Tahoma"/>
      <w:sz w:val="24"/>
    </w:rPr>
  </w:style>
  <w:style w:type="paragraph" w:customStyle="1" w:styleId="18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84">
    <w:name w:val="关键词"/>
    <w:basedOn w:val="1"/>
    <w:next w:val="1"/>
    <w:autoRedefine/>
    <w:qFormat/>
    <w:uiPriority w:val="0"/>
    <w:pPr>
      <w:spacing w:line="360" w:lineRule="auto"/>
    </w:pPr>
    <w:rPr>
      <w:rFonts w:eastAsia="黑体"/>
      <w:sz w:val="20"/>
    </w:rPr>
  </w:style>
  <w:style w:type="paragraph" w:customStyle="1" w:styleId="185">
    <w:name w:val="IN Feature"/>
    <w:next w:val="120"/>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6">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7">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8">
    <w:name w:val="Char Char Char Char Char Char Char1"/>
    <w:basedOn w:val="17"/>
    <w:autoRedefine/>
    <w:qFormat/>
    <w:uiPriority w:val="0"/>
    <w:rPr>
      <w:rFonts w:ascii="宋体" w:hAnsi="Tahoma"/>
    </w:rPr>
  </w:style>
  <w:style w:type="paragraph" w:customStyle="1" w:styleId="189">
    <w:name w:val="正文文本 21"/>
    <w:basedOn w:val="1"/>
    <w:autoRedefine/>
    <w:qFormat/>
    <w:uiPriority w:val="0"/>
    <w:pPr>
      <w:adjustRightInd w:val="0"/>
      <w:spacing w:before="120" w:line="360" w:lineRule="auto"/>
      <w:ind w:firstLine="480"/>
      <w:textAlignment w:val="baseline"/>
    </w:pPr>
    <w:rPr>
      <w:sz w:val="24"/>
    </w:rPr>
  </w:style>
  <w:style w:type="paragraph" w:customStyle="1" w:styleId="19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1">
    <w:name w:val="Title - Date"/>
    <w:basedOn w:val="53"/>
    <w:next w:val="1"/>
    <w:autoRedefine/>
    <w:qFormat/>
    <w:uiPriority w:val="0"/>
    <w:pPr>
      <w:spacing w:before="240" w:after="720"/>
    </w:pPr>
    <w:rPr>
      <w:sz w:val="28"/>
    </w:rPr>
  </w:style>
  <w:style w:type="paragraph" w:customStyle="1" w:styleId="192">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193">
    <w:name w:val="样式 宋体 五号 两端对齐 行距: 单倍行距"/>
    <w:basedOn w:val="1"/>
    <w:autoRedefine/>
    <w:qFormat/>
    <w:uiPriority w:val="0"/>
    <w:pPr>
      <w:adjustRightInd w:val="0"/>
      <w:textAlignment w:val="baseline"/>
    </w:pPr>
    <w:rPr>
      <w:rFonts w:ascii="宋体" w:hAnsi="宋体"/>
      <w:kern w:val="0"/>
      <w:sz w:val="21"/>
    </w:rPr>
  </w:style>
  <w:style w:type="paragraph" w:customStyle="1" w:styleId="194">
    <w:name w:val="Char Char Char Char Char Char Char Char Char Char Char Char Char Char Char Char"/>
    <w:basedOn w:val="1"/>
    <w:autoRedefine/>
    <w:qFormat/>
    <w:uiPriority w:val="0"/>
    <w:pPr>
      <w:tabs>
        <w:tab w:val="left" w:pos="360"/>
      </w:tabs>
    </w:pPr>
    <w:rPr>
      <w:sz w:val="24"/>
    </w:rPr>
  </w:style>
  <w:style w:type="paragraph" w:customStyle="1" w:styleId="195">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6">
    <w:name w:val="默认段落字体 Para Char Char Char Char Char Char Char Char Char1 Char Char Char Char"/>
    <w:basedOn w:val="1"/>
    <w:autoRedefine/>
    <w:qFormat/>
    <w:uiPriority w:val="0"/>
    <w:rPr>
      <w:rFonts w:ascii="Tahoma" w:hAnsi="Tahoma"/>
      <w:sz w:val="24"/>
    </w:rPr>
  </w:style>
  <w:style w:type="paragraph" w:customStyle="1" w:styleId="197">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8">
    <w:name w:val="Char Char Char Char Char"/>
    <w:basedOn w:val="1"/>
    <w:autoRedefine/>
    <w:qFormat/>
    <w:uiPriority w:val="0"/>
    <w:pPr>
      <w:tabs>
        <w:tab w:val="left" w:pos="425"/>
      </w:tabs>
      <w:ind w:left="1620" w:hanging="360"/>
    </w:pPr>
    <w:rPr>
      <w:rFonts w:ascii="Tahoma" w:hAnsi="Tahoma"/>
      <w:sz w:val="24"/>
    </w:rPr>
  </w:style>
  <w:style w:type="paragraph" w:customStyle="1" w:styleId="199">
    <w:name w:val="Char1 Char Char Char1"/>
    <w:basedOn w:val="1"/>
    <w:autoRedefine/>
    <w:qFormat/>
    <w:uiPriority w:val="0"/>
    <w:rPr>
      <w:rFonts w:ascii="Tahoma" w:hAnsi="Tahoma"/>
      <w:sz w:val="30"/>
    </w:rPr>
  </w:style>
  <w:style w:type="paragraph" w:customStyle="1" w:styleId="200">
    <w:name w:val="正文 + 三号"/>
    <w:basedOn w:val="1"/>
    <w:autoRedefine/>
    <w:qFormat/>
    <w:uiPriority w:val="0"/>
    <w:rPr>
      <w:sz w:val="21"/>
    </w:rPr>
  </w:style>
  <w:style w:type="paragraph" w:customStyle="1" w:styleId="201">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202">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203">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4">
    <w:name w:val="Char Char1 Char"/>
    <w:basedOn w:val="1"/>
    <w:autoRedefine/>
    <w:qFormat/>
    <w:uiPriority w:val="0"/>
    <w:rPr>
      <w:rFonts w:ascii="Tahoma" w:hAnsi="Tahoma"/>
      <w:sz w:val="24"/>
      <w:szCs w:val="24"/>
    </w:rPr>
  </w:style>
  <w:style w:type="paragraph" w:customStyle="1" w:styleId="205">
    <w:name w:val="样式 样式 首行缩进:  2 字符 + 首行缩进:  2 字符"/>
    <w:basedOn w:val="1"/>
    <w:autoRedefine/>
    <w:qFormat/>
    <w:uiPriority w:val="0"/>
    <w:pPr>
      <w:spacing w:line="360" w:lineRule="auto"/>
      <w:ind w:firstLine="480" w:firstLineChars="200"/>
    </w:pPr>
    <w:rPr>
      <w:sz w:val="24"/>
    </w:rPr>
  </w:style>
  <w:style w:type="paragraph" w:customStyle="1" w:styleId="206">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207">
    <w:name w:val="Table Contents"/>
    <w:basedOn w:val="22"/>
    <w:autoRedefine/>
    <w:qFormat/>
    <w:uiPriority w:val="0"/>
    <w:pPr>
      <w:suppressAutoHyphens/>
      <w:jc w:val="left"/>
    </w:pPr>
    <w:rPr>
      <w:rFonts w:ascii="Times New Roman" w:eastAsia="宋体"/>
      <w:kern w:val="0"/>
      <w:sz w:val="24"/>
    </w:rPr>
  </w:style>
  <w:style w:type="paragraph" w:customStyle="1" w:styleId="208">
    <w:name w:val="样式 样式 正文首行缩进 2 + 左  0 字符 + 首行缩进:  2.57 字符"/>
    <w:basedOn w:val="1"/>
    <w:next w:val="1"/>
    <w:autoRedefine/>
    <w:qFormat/>
    <w:uiPriority w:val="0"/>
    <w:pPr>
      <w:adjustRightInd w:val="0"/>
      <w:snapToGrid w:val="0"/>
      <w:spacing w:after="120"/>
      <w:ind w:firstLine="540" w:firstLineChars="257"/>
    </w:pPr>
    <w:rPr>
      <w:sz w:val="21"/>
    </w:rPr>
  </w:style>
  <w:style w:type="paragraph" w:customStyle="1" w:styleId="209">
    <w:name w:val="样式1xz"/>
    <w:basedOn w:val="1"/>
    <w:autoRedefine/>
    <w:qFormat/>
    <w:uiPriority w:val="0"/>
    <w:pPr>
      <w:tabs>
        <w:tab w:val="left" w:pos="1050"/>
        <w:tab w:val="right" w:leader="dot" w:pos="8296"/>
      </w:tabs>
    </w:pPr>
    <w:rPr>
      <w:caps/>
      <w:spacing w:val="20"/>
      <w:sz w:val="24"/>
    </w:rPr>
  </w:style>
  <w:style w:type="paragraph" w:customStyle="1" w:styleId="210">
    <w:name w:val="样式1"/>
    <w:basedOn w:val="5"/>
    <w:autoRedefine/>
    <w:qFormat/>
    <w:uiPriority w:val="0"/>
    <w:pPr>
      <w:tabs>
        <w:tab w:val="left" w:pos="720"/>
      </w:tabs>
      <w:spacing w:before="500" w:after="260" w:line="560" w:lineRule="atLeast"/>
      <w:ind w:left="420" w:hanging="420"/>
    </w:pPr>
  </w:style>
  <w:style w:type="paragraph" w:customStyle="1" w:styleId="211">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图片文字"/>
    <w:basedOn w:val="1"/>
    <w:autoRedefine/>
    <w:qFormat/>
    <w:uiPriority w:val="0"/>
    <w:pPr>
      <w:spacing w:line="240" w:lineRule="atLeast"/>
      <w:jc w:val="center"/>
    </w:pPr>
    <w:rPr>
      <w:sz w:val="21"/>
    </w:rPr>
  </w:style>
  <w:style w:type="paragraph" w:customStyle="1" w:styleId="213">
    <w:name w:val="af"/>
    <w:basedOn w:val="1"/>
    <w:autoRedefine/>
    <w:qFormat/>
    <w:uiPriority w:val="0"/>
    <w:pPr>
      <w:widowControl/>
      <w:spacing w:line="300" w:lineRule="atLeast"/>
      <w:jc w:val="left"/>
    </w:pPr>
    <w:rPr>
      <w:rFonts w:ascii="宋体" w:hAnsi="宋体"/>
      <w:kern w:val="0"/>
      <w:sz w:val="18"/>
    </w:rPr>
  </w:style>
  <w:style w:type="paragraph" w:customStyle="1" w:styleId="214">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216">
    <w:name w:val="表头文本"/>
    <w:autoRedefine/>
    <w:qFormat/>
    <w:uiPriority w:val="0"/>
    <w:pPr>
      <w:jc w:val="center"/>
    </w:pPr>
    <w:rPr>
      <w:rFonts w:ascii="Arial" w:hAnsi="Arial" w:eastAsia="宋体" w:cs="Times New Roman"/>
      <w:b/>
      <w:sz w:val="21"/>
      <w:lang w:val="en-US" w:eastAsia="zh-CN" w:bidi="ar-SA"/>
    </w:rPr>
  </w:style>
  <w:style w:type="paragraph" w:customStyle="1" w:styleId="217">
    <w:name w:val="Char Char Char Char Char Char1 Char"/>
    <w:basedOn w:val="1"/>
    <w:autoRedefine/>
    <w:qFormat/>
    <w:uiPriority w:val="0"/>
    <w:pPr>
      <w:widowControl/>
      <w:spacing w:after="160" w:line="240" w:lineRule="exact"/>
      <w:jc w:val="left"/>
    </w:pPr>
    <w:rPr>
      <w:rFonts w:ascii="Verdana" w:hAnsi="Verdana"/>
      <w:kern w:val="0"/>
      <w:sz w:val="21"/>
      <w:lang w:eastAsia="en-US"/>
    </w:rPr>
  </w:style>
  <w:style w:type="paragraph" w:customStyle="1" w:styleId="218">
    <w:name w:val="二级条标题"/>
    <w:basedOn w:val="132"/>
    <w:next w:val="112"/>
    <w:autoRedefine/>
    <w:qFormat/>
    <w:uiPriority w:val="0"/>
    <w:pPr>
      <w:ind w:left="840"/>
      <w:outlineLvl w:val="3"/>
    </w:pPr>
  </w:style>
  <w:style w:type="paragraph" w:customStyle="1" w:styleId="219">
    <w:name w:val="正文1"/>
    <w:basedOn w:val="1"/>
    <w:autoRedefine/>
    <w:qFormat/>
    <w:uiPriority w:val="0"/>
    <w:pPr>
      <w:spacing w:line="300" w:lineRule="auto"/>
      <w:ind w:firstLine="200" w:firstLineChars="200"/>
    </w:pPr>
    <w:rPr>
      <w:sz w:val="24"/>
    </w:rPr>
  </w:style>
  <w:style w:type="paragraph" w:customStyle="1" w:styleId="220">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21">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222">
    <w:name w:val="样式 标题 6第五层条 + 三号 段前: 0.5 行"/>
    <w:basedOn w:val="7"/>
    <w:autoRedefine/>
    <w:qFormat/>
    <w:uiPriority w:val="0"/>
    <w:pPr>
      <w:widowControl/>
      <w:adjustRightInd/>
      <w:snapToGrid/>
      <w:spacing w:beforeLines="50"/>
      <w:jc w:val="left"/>
    </w:pPr>
    <w:rPr>
      <w:kern w:val="24"/>
      <w:sz w:val="28"/>
    </w:rPr>
  </w:style>
  <w:style w:type="paragraph" w:customStyle="1" w:styleId="223">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4">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5">
    <w:name w:val="Char2"/>
    <w:basedOn w:val="1"/>
    <w:autoRedefine/>
    <w:qFormat/>
    <w:uiPriority w:val="0"/>
    <w:pPr>
      <w:spacing w:line="240" w:lineRule="atLeast"/>
      <w:ind w:left="420" w:firstLine="420"/>
    </w:pPr>
    <w:rPr>
      <w:kern w:val="0"/>
      <w:sz w:val="21"/>
    </w:rPr>
  </w:style>
  <w:style w:type="paragraph" w:customStyle="1" w:styleId="226">
    <w:name w:val="没有缩进（为图形使用）"/>
    <w:basedOn w:val="1"/>
    <w:autoRedefine/>
    <w:qFormat/>
    <w:uiPriority w:val="0"/>
    <w:pPr>
      <w:spacing w:before="120" w:after="120" w:line="360" w:lineRule="auto"/>
    </w:pPr>
    <w:rPr>
      <w:sz w:val="24"/>
    </w:rPr>
  </w:style>
  <w:style w:type="paragraph" w:customStyle="1" w:styleId="227">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228">
    <w:name w:val="00"/>
    <w:basedOn w:val="1"/>
    <w:autoRedefine/>
    <w:qFormat/>
    <w:uiPriority w:val="0"/>
    <w:pPr>
      <w:autoSpaceDE w:val="0"/>
      <w:autoSpaceDN w:val="0"/>
      <w:adjustRightInd w:val="0"/>
      <w:jc w:val="left"/>
    </w:pPr>
    <w:rPr>
      <w:rFonts w:ascii="黑体" w:eastAsia="黑体"/>
      <w:b/>
      <w:kern w:val="0"/>
      <w:sz w:val="20"/>
    </w:rPr>
  </w:style>
  <w:style w:type="paragraph" w:customStyle="1" w:styleId="229">
    <w:name w:val="Char2 Char Char Char Char Char Char"/>
    <w:basedOn w:val="1"/>
    <w:autoRedefine/>
    <w:qFormat/>
    <w:uiPriority w:val="0"/>
    <w:rPr>
      <w:rFonts w:ascii="仿宋_GB2312"/>
      <w:b/>
      <w:sz w:val="30"/>
    </w:rPr>
  </w:style>
  <w:style w:type="paragraph" w:customStyle="1" w:styleId="230">
    <w:name w:val="表号"/>
    <w:basedOn w:val="1"/>
    <w:autoRedefine/>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1">
    <w:name w:val="标题3——2"/>
    <w:basedOn w:val="4"/>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2">
    <w:name w:val="样式 正文首行缩进 2 + 首行缩进:  2 字符"/>
    <w:basedOn w:val="1"/>
    <w:autoRedefine/>
    <w:qFormat/>
    <w:uiPriority w:val="0"/>
    <w:pPr>
      <w:tabs>
        <w:tab w:val="left" w:pos="987"/>
      </w:tabs>
      <w:adjustRightInd w:val="0"/>
      <w:snapToGrid w:val="0"/>
      <w:spacing w:line="360" w:lineRule="auto"/>
      <w:ind w:left="987" w:hanging="420"/>
    </w:pPr>
    <w:rPr>
      <w:rFonts w:ascii="Arial" w:hAnsi="Arial"/>
      <w:b/>
      <w:sz w:val="24"/>
    </w:rPr>
  </w:style>
  <w:style w:type="paragraph" w:customStyle="1" w:styleId="233">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4">
    <w:name w:val="标书正文:  0.74 厘米"/>
    <w:basedOn w:val="1"/>
    <w:autoRedefine/>
    <w:qFormat/>
    <w:uiPriority w:val="0"/>
    <w:pPr>
      <w:snapToGrid w:val="0"/>
      <w:spacing w:line="360" w:lineRule="auto"/>
      <w:ind w:firstLine="420"/>
    </w:pPr>
    <w:rPr>
      <w:sz w:val="24"/>
    </w:rPr>
  </w:style>
  <w:style w:type="paragraph" w:customStyle="1" w:styleId="235">
    <w:name w:val="文本框样式1"/>
    <w:basedOn w:val="1"/>
    <w:autoRedefine/>
    <w:qFormat/>
    <w:uiPriority w:val="0"/>
    <w:pPr>
      <w:adjustRightInd w:val="0"/>
      <w:snapToGrid w:val="0"/>
      <w:spacing w:before="60" w:line="180" w:lineRule="exact"/>
      <w:jc w:val="center"/>
    </w:pPr>
    <w:rPr>
      <w:sz w:val="21"/>
    </w:rPr>
  </w:style>
  <w:style w:type="paragraph" w:customStyle="1" w:styleId="236">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7">
    <w:name w:val="操作步骤"/>
    <w:basedOn w:val="1"/>
    <w:autoRedefine/>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8">
    <w:name w:val="样式4"/>
    <w:basedOn w:val="5"/>
    <w:autoRedefine/>
    <w:qFormat/>
    <w:uiPriority w:val="0"/>
    <w:pPr>
      <w:adjustRightInd w:val="0"/>
      <w:snapToGrid w:val="0"/>
    </w:pPr>
  </w:style>
  <w:style w:type="paragraph" w:customStyle="1" w:styleId="239">
    <w:name w:val="列出段落1"/>
    <w:basedOn w:val="1"/>
    <w:autoRedefine/>
    <w:qFormat/>
    <w:uiPriority w:val="0"/>
    <w:pPr>
      <w:ind w:firstLine="420" w:firstLineChars="200"/>
    </w:pPr>
  </w:style>
  <w:style w:type="character" w:customStyle="1" w:styleId="240">
    <w:name w:val="日期 字符"/>
    <w:autoRedefine/>
    <w:qFormat/>
    <w:uiPriority w:val="0"/>
    <w:rPr>
      <w:rFonts w:ascii="Times New Roman" w:hAnsi="Times New Roman" w:eastAsia="宋体"/>
      <w:sz w:val="20"/>
    </w:rPr>
  </w:style>
  <w:style w:type="paragraph" w:customStyle="1" w:styleId="241">
    <w:name w:val="List Paragraph1"/>
    <w:basedOn w:val="1"/>
    <w:autoRedefine/>
    <w:qFormat/>
    <w:uiPriority w:val="0"/>
    <w:pPr>
      <w:ind w:firstLine="420" w:firstLineChars="200"/>
    </w:pPr>
    <w:rPr>
      <w:rFonts w:ascii="Calibri" w:hAnsi="Calibri" w:cs="Calibri"/>
      <w:sz w:val="21"/>
      <w:szCs w:val="21"/>
    </w:rPr>
  </w:style>
  <w:style w:type="paragraph" w:customStyle="1" w:styleId="242">
    <w:name w:val="正文文本缩进 22"/>
    <w:basedOn w:val="1"/>
    <w:autoRedefine/>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54</Pages>
  <Words>4184</Words>
  <Characters>23851</Characters>
  <Lines>198</Lines>
  <Paragraphs>55</Paragraphs>
  <TotalTime>0</TotalTime>
  <ScaleCrop>false</ScaleCrop>
  <LinksUpToDate>false</LinksUpToDate>
  <CharactersWithSpaces>27980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2023-06-01T08:33:00Z</dcterms:created>
  <dc:creator>罗成</dc:creator>
  <cp:lastModifiedBy>奥利佛</cp:lastModifiedBy>
  <cp:lastPrinted>2022-10-31T09:40:00Z</cp:lastPrinted>
  <dcterms:modified xsi:type="dcterms:W3CDTF">2024-03-28T07:58:07Z</dcterms:modified>
  <dc:title>竞争性谈判文件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0D66E365F7034EBE8E6C25958A38D3C5_13</vt:lpwstr>
  </property>
</Properties>
</file>