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color w:val="auto"/>
          <w:sz w:val="44"/>
          <w:szCs w:val="44"/>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20"/>
                    <a:stretch>
                      <a:fillRect/>
                    </a:stretch>
                  </pic:blipFill>
                  <pic:spPr>
                    <a:xfrm>
                      <a:off x="0" y="0"/>
                      <a:ext cx="2352675" cy="755650"/>
                    </a:xfrm>
                    <a:prstGeom prst="rect">
                      <a:avLst/>
                    </a:prstGeom>
                    <a:noFill/>
                    <a:ln>
                      <a:noFill/>
                    </a:ln>
                  </pic:spPr>
                </pic:pic>
              </a:graphicData>
            </a:graphic>
          </wp:anchor>
        </w:drawing>
      </w: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bookmarkStart w:id="110" w:name="_GoBack"/>
      <w:bookmarkEnd w:id="110"/>
    </w:p>
    <w:p>
      <w:pPr>
        <w:spacing w:line="760" w:lineRule="exact"/>
        <w:jc w:val="center"/>
        <w:rPr>
          <w:rFonts w:asciiTheme="minorEastAsia" w:hAnsiTheme="minorEastAsia" w:eastAsiaTheme="minorEastAsia"/>
          <w:color w:val="auto"/>
          <w:sz w:val="72"/>
          <w:szCs w:val="72"/>
          <w:highlight w:val="none"/>
        </w:rPr>
      </w:pPr>
      <w:r>
        <w:rPr>
          <w:rFonts w:hint="eastAsia" w:asciiTheme="minorEastAsia" w:hAnsiTheme="minorEastAsia" w:eastAsiaTheme="minorEastAsia"/>
          <w:color w:val="auto"/>
          <w:sz w:val="72"/>
          <w:szCs w:val="72"/>
          <w:highlight w:val="none"/>
        </w:rPr>
        <w:t>重庆医科大学</w:t>
      </w:r>
    </w:p>
    <w:p>
      <w:pPr>
        <w:spacing w:line="760" w:lineRule="exact"/>
        <w:jc w:val="center"/>
        <w:outlineLvl w:val="0"/>
        <w:rPr>
          <w:rFonts w:asciiTheme="minorEastAsia" w:hAnsiTheme="minorEastAsia" w:eastAsiaTheme="minorEastAsia"/>
          <w:color w:val="auto"/>
          <w:sz w:val="72"/>
          <w:szCs w:val="72"/>
          <w:highlight w:val="none"/>
        </w:rPr>
      </w:pPr>
    </w:p>
    <w:p>
      <w:pPr>
        <w:spacing w:line="760" w:lineRule="exact"/>
        <w:jc w:val="center"/>
        <w:outlineLvl w:val="0"/>
        <w:rPr>
          <w:rFonts w:asciiTheme="minorEastAsia" w:hAnsiTheme="minorEastAsia" w:eastAsiaTheme="minorEastAsia"/>
          <w:color w:val="auto"/>
          <w:sz w:val="72"/>
          <w:szCs w:val="72"/>
          <w:highlight w:val="none"/>
        </w:rPr>
      </w:pPr>
      <w:r>
        <w:rPr>
          <w:rFonts w:hint="eastAsia" w:asciiTheme="minorEastAsia" w:hAnsiTheme="minorEastAsia" w:eastAsiaTheme="minorEastAsia"/>
          <w:color w:val="auto"/>
          <w:sz w:val="72"/>
          <w:szCs w:val="72"/>
          <w:highlight w:val="none"/>
        </w:rPr>
        <w:t>竞争性磋商文件</w:t>
      </w:r>
    </w:p>
    <w:p>
      <w:pPr>
        <w:spacing w:line="760" w:lineRule="exact"/>
        <w:rPr>
          <w:rFonts w:asciiTheme="minorEastAsia" w:hAnsiTheme="minorEastAsia" w:eastAsiaTheme="minorEastAsia"/>
          <w:color w:val="auto"/>
          <w:spacing w:val="80"/>
          <w:sz w:val="44"/>
          <w:szCs w:val="44"/>
          <w:highlight w:val="none"/>
        </w:rPr>
      </w:pPr>
    </w:p>
    <w:p>
      <w:pPr>
        <w:spacing w:line="760" w:lineRule="exact"/>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color w:val="auto"/>
          <w:sz w:val="44"/>
          <w:szCs w:val="44"/>
          <w:highlight w:val="none"/>
        </w:rPr>
        <w:t xml:space="preserve">  采购计划编号：JCCS202310090030</w:t>
      </w:r>
    </w:p>
    <w:p>
      <w:pPr>
        <w:spacing w:line="760" w:lineRule="exact"/>
        <w:ind w:left="3518" w:leftChars="628" w:hanging="1760" w:hangingChars="400"/>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44"/>
          <w:szCs w:val="44"/>
          <w:highlight w:val="none"/>
        </w:rPr>
        <w:t>采购项目名称:</w:t>
      </w:r>
      <w:bookmarkStart w:id="0" w:name="_Hlk134546640"/>
      <w:r>
        <w:rPr>
          <w:rFonts w:hint="eastAsia" w:asciiTheme="minorEastAsia" w:hAnsiTheme="minorEastAsia" w:eastAsiaTheme="minorEastAsia"/>
          <w:color w:val="auto"/>
          <w:sz w:val="36"/>
          <w:szCs w:val="36"/>
          <w:highlight w:val="none"/>
        </w:rPr>
        <w:t xml:space="preserve"> 重庆医科大学基础医学院医学可视化传播微专业课程建设项目</w:t>
      </w:r>
    </w:p>
    <w:bookmarkEnd w:id="0"/>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采购人：重庆医科大学</w:t>
      </w:r>
    </w:p>
    <w:p>
      <w:pPr>
        <w:spacing w:line="760" w:lineRule="exact"/>
        <w:jc w:val="center"/>
        <w:rPr>
          <w:rFonts w:asciiTheme="minorEastAsia" w:hAnsiTheme="minorEastAsia" w:eastAsiaTheme="minorEastAsia"/>
          <w:color w:val="auto"/>
          <w:sz w:val="44"/>
          <w:szCs w:val="44"/>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992" w:bottom="1134" w:left="1304" w:header="851" w:footer="992" w:gutter="0"/>
          <w:pgNumType w:fmt="numberInDash" w:start="0"/>
          <w:cols w:space="720" w:num="1"/>
          <w:titlePg/>
          <w:docGrid w:linePitch="380" w:charSpace="-5735"/>
        </w:sectPr>
      </w:pPr>
      <w:r>
        <w:rPr>
          <w:rFonts w:hint="eastAsia" w:asciiTheme="minorEastAsia" w:hAnsiTheme="minorEastAsia" w:eastAsiaTheme="minorEastAsia"/>
          <w:color w:val="auto"/>
          <w:sz w:val="32"/>
          <w:szCs w:val="32"/>
          <w:highlight w:val="none"/>
        </w:rPr>
        <w:t>二〇二三年</w:t>
      </w:r>
      <w:r>
        <w:rPr>
          <w:rFonts w:hint="eastAsia" w:asciiTheme="minorEastAsia" w:hAnsiTheme="minorEastAsia" w:eastAsiaTheme="minorEastAsia"/>
          <w:color w:val="auto"/>
          <w:sz w:val="32"/>
          <w:szCs w:val="32"/>
          <w:highlight w:val="none"/>
          <w:lang w:val="en-US" w:eastAsia="zh-CN"/>
        </w:rPr>
        <w:t>十</w:t>
      </w:r>
      <w:r>
        <w:rPr>
          <w:rFonts w:hint="eastAsia" w:asciiTheme="minorEastAsia" w:hAnsiTheme="minorEastAsia" w:eastAsiaTheme="minorEastAsia"/>
          <w:color w:val="auto"/>
          <w:sz w:val="32"/>
          <w:szCs w:val="32"/>
          <w:highlight w:val="none"/>
        </w:rPr>
        <w:t>月</w:t>
      </w:r>
    </w:p>
    <w:p>
      <w:pPr>
        <w:spacing w:line="3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目   录</w:t>
      </w:r>
    </w:p>
    <w:p>
      <w:pPr>
        <w:pStyle w:val="45"/>
        <w:tabs>
          <w:tab w:val="right" w:leader="dot" w:pos="9402"/>
        </w:tabs>
        <w:ind w:left="560"/>
        <w:rPr>
          <w:rFonts w:asciiTheme="minorEastAsia" w:hAnsiTheme="minorEastAsia" w:eastAsiaTheme="minorEastAsia"/>
          <w:color w:val="auto"/>
          <w:sz w:val="21"/>
          <w:szCs w:val="22"/>
          <w:highlight w:val="none"/>
        </w:rPr>
      </w:pPr>
      <w:r>
        <w:rPr>
          <w:rFonts w:hint="eastAsia" w:asciiTheme="minorEastAsia" w:hAnsiTheme="minorEastAsia" w:eastAsiaTheme="minorEastAsia"/>
          <w:color w:val="auto"/>
          <w:sz w:val="24"/>
          <w:szCs w:val="24"/>
          <w:highlight w:val="none"/>
        </w:rPr>
        <w:fldChar w:fldCharType="begin"/>
      </w:r>
      <w:r>
        <w:rPr>
          <w:rFonts w:hint="eastAsia" w:asciiTheme="minorEastAsia" w:hAnsiTheme="minorEastAsia" w:eastAsiaTheme="minorEastAsia"/>
          <w:color w:val="auto"/>
          <w:sz w:val="24"/>
          <w:szCs w:val="24"/>
          <w:highlight w:val="none"/>
        </w:rPr>
        <w:instrText xml:space="preserve"> TOC \o "1-3" \h \z </w:instrText>
      </w:r>
      <w:r>
        <w:rPr>
          <w:rFonts w:hint="eastAsia" w:asciiTheme="minorEastAsia" w:hAnsiTheme="minorEastAsia" w:eastAsiaTheme="minorEastAsia"/>
          <w:color w:val="auto"/>
          <w:sz w:val="24"/>
          <w:szCs w:val="24"/>
          <w:highlight w:val="none"/>
        </w:rPr>
        <w:fldChar w:fldCharType="separate"/>
      </w:r>
      <w:r>
        <w:rPr>
          <w:color w:val="auto"/>
          <w:highlight w:val="none"/>
        </w:rPr>
        <w:fldChar w:fldCharType="begin"/>
      </w:r>
      <w:r>
        <w:rPr>
          <w:color w:val="auto"/>
          <w:highlight w:val="none"/>
        </w:rPr>
        <w:instrText xml:space="preserve"> HYPERLINK \l "_Toc105060879" </w:instrText>
      </w:r>
      <w:r>
        <w:rPr>
          <w:color w:val="auto"/>
          <w:highlight w:val="none"/>
        </w:rPr>
        <w:fldChar w:fldCharType="separate"/>
      </w:r>
      <w:r>
        <w:rPr>
          <w:rStyle w:val="64"/>
          <w:rFonts w:hint="eastAsia" w:asciiTheme="minorEastAsia" w:hAnsiTheme="minorEastAsia" w:eastAsiaTheme="minorEastAsia"/>
          <w:color w:val="auto"/>
          <w:highlight w:val="none"/>
        </w:rPr>
        <w:t>第一篇</w:t>
      </w:r>
      <w:r>
        <w:rPr>
          <w:rStyle w:val="64"/>
          <w:rFonts w:asciiTheme="minorEastAsia" w:hAnsiTheme="minorEastAsia" w:eastAsiaTheme="minorEastAsia"/>
          <w:color w:val="auto"/>
          <w:highlight w:val="none"/>
        </w:rPr>
        <w:t xml:space="preserve">  </w:t>
      </w:r>
      <w:r>
        <w:rPr>
          <w:rStyle w:val="64"/>
          <w:rFonts w:hint="eastAsia" w:asciiTheme="minorEastAsia" w:hAnsiTheme="minorEastAsia" w:eastAsiaTheme="minorEastAsia"/>
          <w:color w:val="auto"/>
          <w:highlight w:val="none"/>
        </w:rPr>
        <w:t>采购邀请书</w:t>
      </w:r>
      <w:r>
        <w:rPr>
          <w:rStyle w:val="64"/>
          <w:rFonts w:asciiTheme="minorEastAsia" w:hAnsiTheme="minorEastAsia" w:eastAsiaTheme="minorEastAsia"/>
          <w:color w:val="auto"/>
          <w:highlight w:val="none"/>
        </w:rPr>
        <w:t>.</w:t>
      </w:r>
      <w:r>
        <w:rPr>
          <w:rStyle w:val="64"/>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t>.......................................</w:t>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"_Toc105060880" </w:instrText>
      </w:r>
      <w:r>
        <w:rPr>
          <w:color w:val="auto"/>
          <w:highlight w:val="none"/>
        </w:rPr>
        <w:fldChar w:fldCharType="separate"/>
      </w:r>
      <w:r>
        <w:rPr>
          <w:rStyle w:val="64"/>
          <w:rFonts w:hint="eastAsia" w:asciiTheme="minorEastAsia" w:hAnsiTheme="minorEastAsia" w:eastAsiaTheme="minorEastAsia"/>
          <w:bCs/>
          <w:color w:val="auto"/>
          <w:highlight w:val="none"/>
        </w:rPr>
        <w:t>一、竞争性磋商内容</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"_Toc105060881" </w:instrText>
      </w:r>
      <w:r>
        <w:rPr>
          <w:color w:val="auto"/>
          <w:highlight w:val="none"/>
        </w:rPr>
        <w:fldChar w:fldCharType="separate"/>
      </w:r>
      <w:r>
        <w:rPr>
          <w:rStyle w:val="64"/>
          <w:rFonts w:hint="eastAsia" w:asciiTheme="minorEastAsia" w:hAnsiTheme="minorEastAsia" w:eastAsiaTheme="minorEastAsia"/>
          <w:bCs/>
          <w:color w:val="auto"/>
          <w:highlight w:val="none"/>
        </w:rPr>
        <w:t>二、资金来源</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"_Toc105060882" </w:instrText>
      </w:r>
      <w:r>
        <w:rPr>
          <w:color w:val="auto"/>
          <w:highlight w:val="none"/>
        </w:rPr>
        <w:fldChar w:fldCharType="separate"/>
      </w:r>
      <w:r>
        <w:rPr>
          <w:rStyle w:val="64"/>
          <w:rFonts w:hint="eastAsia" w:asciiTheme="minorEastAsia" w:hAnsiTheme="minorEastAsia" w:eastAsiaTheme="minorEastAsia"/>
          <w:bCs/>
          <w:color w:val="auto"/>
          <w:highlight w:val="none"/>
        </w:rPr>
        <w:t>三、供应商资格条件</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"_Toc105060883" </w:instrText>
      </w:r>
      <w:r>
        <w:rPr>
          <w:color w:val="auto"/>
          <w:highlight w:val="none"/>
        </w:rPr>
        <w:fldChar w:fldCharType="separate"/>
      </w:r>
      <w:r>
        <w:rPr>
          <w:rStyle w:val="64"/>
          <w:rFonts w:hint="eastAsia" w:asciiTheme="minorEastAsia" w:hAnsiTheme="minorEastAsia" w:eastAsiaTheme="minorEastAsia"/>
          <w:bCs/>
          <w:color w:val="auto"/>
          <w:highlight w:val="none"/>
        </w:rPr>
        <w:t>四、磋商有关说明</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"_Toc105060884" </w:instrText>
      </w:r>
      <w:r>
        <w:rPr>
          <w:color w:val="auto"/>
          <w:highlight w:val="none"/>
        </w:rPr>
        <w:fldChar w:fldCharType="separate"/>
      </w:r>
      <w:r>
        <w:rPr>
          <w:rStyle w:val="64"/>
          <w:rFonts w:hint="eastAsia" w:asciiTheme="minorEastAsia" w:hAnsiTheme="minorEastAsia" w:eastAsiaTheme="minorEastAsia"/>
          <w:bCs/>
          <w:color w:val="auto"/>
          <w:highlight w:val="none"/>
        </w:rPr>
        <w:t>五、保证金</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- 5 -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"_Toc105060885" </w:instrText>
      </w:r>
      <w:r>
        <w:rPr>
          <w:color w:val="auto"/>
          <w:highlight w:val="none"/>
        </w:rPr>
        <w:fldChar w:fldCharType="separate"/>
      </w:r>
      <w:r>
        <w:rPr>
          <w:rStyle w:val="64"/>
          <w:rFonts w:hint="eastAsia" w:asciiTheme="minorEastAsia" w:hAnsiTheme="minorEastAsia" w:eastAsiaTheme="minorEastAsia"/>
          <w:bCs/>
          <w:color w:val="auto"/>
          <w:highlight w:val="none"/>
        </w:rPr>
        <w:t>六、采购项目需落实的政府采购政策</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"_Toc105060886" </w:instrText>
      </w:r>
      <w:r>
        <w:rPr>
          <w:color w:val="auto"/>
          <w:highlight w:val="none"/>
        </w:rPr>
        <w:fldChar w:fldCharType="separate"/>
      </w:r>
      <w:r>
        <w:rPr>
          <w:rStyle w:val="64"/>
          <w:rFonts w:hint="eastAsia" w:asciiTheme="minorEastAsia" w:hAnsiTheme="minorEastAsia" w:eastAsiaTheme="minorEastAsia"/>
          <w:bCs/>
          <w:color w:val="auto"/>
          <w:highlight w:val="none"/>
        </w:rPr>
        <w:t>七、其它有关规定</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"_Toc105060887" </w:instrText>
      </w:r>
      <w:r>
        <w:rPr>
          <w:color w:val="auto"/>
          <w:highlight w:val="none"/>
        </w:rPr>
        <w:fldChar w:fldCharType="separate"/>
      </w:r>
      <w:r>
        <w:rPr>
          <w:rStyle w:val="64"/>
          <w:rFonts w:hint="eastAsia" w:asciiTheme="minorEastAsia" w:hAnsiTheme="minorEastAsia" w:eastAsiaTheme="minorEastAsia"/>
          <w:bCs/>
          <w:color w:val="auto"/>
          <w:highlight w:val="none"/>
        </w:rPr>
        <w:t>八、联系方式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"_Toc105060888" </w:instrText>
      </w:r>
      <w:r>
        <w:rPr>
          <w:color w:val="auto"/>
          <w:highlight w:val="none"/>
        </w:rPr>
        <w:fldChar w:fldCharType="separate"/>
      </w:r>
      <w:r>
        <w:rPr>
          <w:rStyle w:val="64"/>
          <w:rFonts w:hint="eastAsia" w:asciiTheme="minorEastAsia" w:hAnsiTheme="minorEastAsia" w:eastAsiaTheme="minorEastAsia"/>
          <w:color w:val="auto"/>
          <w:highlight w:val="none"/>
        </w:rPr>
        <w:t>第二篇</w:t>
      </w:r>
      <w:r>
        <w:rPr>
          <w:rStyle w:val="64"/>
          <w:rFonts w:asciiTheme="minorEastAsia" w:hAnsiTheme="minorEastAsia" w:eastAsiaTheme="minorEastAsia"/>
          <w:color w:val="auto"/>
          <w:highlight w:val="none"/>
        </w:rPr>
        <w:t xml:space="preserve">  </w:t>
      </w:r>
      <w:r>
        <w:rPr>
          <w:rStyle w:val="64"/>
          <w:rFonts w:hint="eastAsia" w:asciiTheme="minorEastAsia" w:hAnsiTheme="minorEastAsia" w:eastAsiaTheme="minorEastAsia"/>
          <w:color w:val="auto"/>
          <w:highlight w:val="none"/>
        </w:rPr>
        <w:t>项目服务需求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left" w:pos="1680"/>
          <w:tab w:val="right" w:leader="dot" w:pos="9402"/>
        </w:tabs>
        <w:ind w:left="1120"/>
        <w:jc w:val="left"/>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"_Toc105060889" </w:instrText>
      </w:r>
      <w:r>
        <w:rPr>
          <w:color w:val="auto"/>
          <w:highlight w:val="none"/>
        </w:rPr>
        <w:fldChar w:fldCharType="separate"/>
      </w:r>
      <w:r>
        <w:rPr>
          <w:rStyle w:val="64"/>
          <w:rFonts w:hint="eastAsia" w:asciiTheme="minorEastAsia" w:hAnsiTheme="minorEastAsia" w:eastAsiaTheme="minorEastAsia"/>
          <w:color w:val="auto"/>
          <w:highlight w:val="none"/>
        </w:rPr>
        <w:t>一、项目基本概况介绍</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"_Toc105060890" </w:instrText>
      </w:r>
      <w:r>
        <w:rPr>
          <w:color w:val="auto"/>
          <w:highlight w:val="none"/>
        </w:rPr>
        <w:fldChar w:fldCharType="separate"/>
      </w:r>
      <w:r>
        <w:rPr>
          <w:rStyle w:val="64"/>
          <w:rFonts w:hint="eastAsia" w:asciiTheme="minorEastAsia" w:hAnsiTheme="minorEastAsia" w:eastAsiaTheme="minorEastAsia"/>
          <w:color w:val="auto"/>
          <w:highlight w:val="none"/>
        </w:rPr>
        <w:t>二、项目内容（必须包含但不限</w:t>
      </w:r>
      <w:bookmarkStart w:id="1" w:name="_Hlt105060919"/>
      <w:bookmarkEnd w:id="1"/>
      <w:r>
        <w:rPr>
          <w:rStyle w:val="64"/>
          <w:rFonts w:hint="eastAsia" w:asciiTheme="minorEastAsia" w:hAnsiTheme="minorEastAsia" w:eastAsiaTheme="minorEastAsia"/>
          <w:color w:val="auto"/>
          <w:highlight w:val="none"/>
        </w:rPr>
        <w:t>于以下内容）</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"_Toc105060891" </w:instrText>
      </w:r>
      <w:r>
        <w:rPr>
          <w:color w:val="auto"/>
          <w:highlight w:val="none"/>
        </w:rPr>
        <w:fldChar w:fldCharType="separate"/>
      </w:r>
      <w:r>
        <w:rPr>
          <w:rStyle w:val="64"/>
          <w:rFonts w:hint="eastAsia" w:asciiTheme="minorEastAsia" w:hAnsiTheme="minorEastAsia" w:eastAsiaTheme="minorEastAsia"/>
          <w:color w:val="auto"/>
          <w:highlight w:val="none"/>
        </w:rPr>
        <w:t>三、项目功能及技术要求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_Toc105060891 \h </w:instrText>
      </w:r>
      <w:r>
        <w:rPr>
          <w:rFonts w:asciiTheme="minorEastAsia" w:hAnsiTheme="minorEastAsia" w:eastAsiaTheme="minorEastAsia"/>
          <w:color w:val="auto"/>
          <w:highlight w:val="none"/>
        </w:rPr>
        <w:fldChar w:fldCharType="separate"/>
      </w:r>
      <w:r>
        <w:rPr>
          <w:b/>
        </w:rPr>
        <w:t>错误！未定义书签。</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"_Toc105060892" </w:instrText>
      </w:r>
      <w:r>
        <w:rPr>
          <w:color w:val="auto"/>
          <w:highlight w:val="none"/>
        </w:rPr>
        <w:fldChar w:fldCharType="separate"/>
      </w:r>
      <w:r>
        <w:rPr>
          <w:rStyle w:val="64"/>
          <w:rFonts w:hint="eastAsia" w:asciiTheme="minorEastAsia" w:hAnsiTheme="minorEastAsia" w:eastAsiaTheme="minorEastAsia"/>
          <w:color w:val="auto"/>
          <w:highlight w:val="none"/>
        </w:rPr>
        <w:t>第三篇</w:t>
      </w:r>
      <w:r>
        <w:rPr>
          <w:rStyle w:val="64"/>
          <w:rFonts w:asciiTheme="minorEastAsia" w:hAnsiTheme="minorEastAsia" w:eastAsiaTheme="minorEastAsia"/>
          <w:color w:val="auto"/>
          <w:highlight w:val="none"/>
        </w:rPr>
        <w:t xml:space="preserve">  </w:t>
      </w:r>
      <w:r>
        <w:rPr>
          <w:rStyle w:val="64"/>
          <w:rFonts w:hint="eastAsia" w:asciiTheme="minorEastAsia" w:hAnsiTheme="minorEastAsia" w:eastAsiaTheme="minorEastAsia"/>
          <w:color w:val="auto"/>
          <w:highlight w:val="none"/>
        </w:rPr>
        <w:t>项目商务需求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- 15 -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"_Toc105060893" </w:instrText>
      </w:r>
      <w:r>
        <w:rPr>
          <w:color w:val="auto"/>
          <w:highlight w:val="none"/>
        </w:rPr>
        <w:fldChar w:fldCharType="separate"/>
      </w:r>
      <w:r>
        <w:rPr>
          <w:rStyle w:val="64"/>
          <w:rFonts w:hint="eastAsia" w:asciiTheme="minorEastAsia" w:hAnsiTheme="minorEastAsia" w:eastAsiaTheme="minorEastAsia"/>
          <w:bCs/>
          <w:color w:val="auto"/>
          <w:highlight w:val="none"/>
        </w:rPr>
        <w:t>一、服务期、地点及验收方式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- 15 -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"_Toc105060894" </w:instrText>
      </w:r>
      <w:r>
        <w:rPr>
          <w:color w:val="auto"/>
          <w:highlight w:val="none"/>
        </w:rPr>
        <w:fldChar w:fldCharType="separate"/>
      </w:r>
      <w:r>
        <w:rPr>
          <w:rStyle w:val="64"/>
          <w:rFonts w:hint="eastAsia" w:asciiTheme="minorEastAsia" w:hAnsiTheme="minorEastAsia" w:eastAsiaTheme="minorEastAsia"/>
          <w:bCs/>
          <w:color w:val="auto"/>
          <w:highlight w:val="none"/>
        </w:rPr>
        <w:t>二、报价要求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- 15 -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"_Toc105060895" </w:instrText>
      </w:r>
      <w:r>
        <w:rPr>
          <w:color w:val="auto"/>
          <w:highlight w:val="none"/>
        </w:rPr>
        <w:fldChar w:fldCharType="separate"/>
      </w:r>
      <w:r>
        <w:rPr>
          <w:rStyle w:val="64"/>
          <w:rFonts w:hint="eastAsia" w:asciiTheme="minorEastAsia" w:hAnsiTheme="minorEastAsia" w:eastAsiaTheme="minorEastAsia"/>
          <w:bCs/>
          <w:color w:val="auto"/>
          <w:highlight w:val="none"/>
        </w:rPr>
        <w:t>三、质量保证及售后服务</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- 15 -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"_Toc105060896" </w:instrText>
      </w:r>
      <w:r>
        <w:rPr>
          <w:color w:val="auto"/>
          <w:highlight w:val="none"/>
        </w:rPr>
        <w:fldChar w:fldCharType="separate"/>
      </w:r>
      <w:r>
        <w:rPr>
          <w:rStyle w:val="64"/>
          <w:rFonts w:hint="eastAsia" w:asciiTheme="minorEastAsia" w:hAnsiTheme="minorEastAsia" w:eastAsiaTheme="minorEastAsia"/>
          <w:bCs/>
          <w:color w:val="auto"/>
          <w:highlight w:val="none"/>
        </w:rPr>
        <w:t>四、付款方式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"_Toc105060897" </w:instrText>
      </w:r>
      <w:r>
        <w:rPr>
          <w:color w:val="auto"/>
          <w:highlight w:val="none"/>
        </w:rPr>
        <w:fldChar w:fldCharType="separate"/>
      </w:r>
      <w:r>
        <w:rPr>
          <w:rStyle w:val="64"/>
          <w:rFonts w:hint="eastAsia" w:asciiTheme="minorEastAsia" w:hAnsiTheme="minorEastAsia" w:eastAsiaTheme="minorEastAsia"/>
          <w:bCs/>
          <w:color w:val="auto"/>
          <w:highlight w:val="none"/>
        </w:rPr>
        <w:t>五、培训</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"_Toc105060898" </w:instrText>
      </w:r>
      <w:r>
        <w:rPr>
          <w:color w:val="auto"/>
          <w:highlight w:val="none"/>
        </w:rPr>
        <w:fldChar w:fldCharType="separate"/>
      </w:r>
      <w:r>
        <w:rPr>
          <w:rStyle w:val="64"/>
          <w:rFonts w:hint="eastAsia" w:asciiTheme="minorEastAsia" w:hAnsiTheme="minorEastAsia" w:eastAsiaTheme="minorEastAsia"/>
          <w:bCs/>
          <w:color w:val="auto"/>
          <w:highlight w:val="none"/>
        </w:rPr>
        <w:t>六、知识产权</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"_Toc105060899" </w:instrText>
      </w:r>
      <w:r>
        <w:rPr>
          <w:color w:val="auto"/>
          <w:highlight w:val="none"/>
        </w:rPr>
        <w:fldChar w:fldCharType="separate"/>
      </w:r>
      <w:r>
        <w:rPr>
          <w:rStyle w:val="64"/>
          <w:rFonts w:hint="eastAsia" w:asciiTheme="minorEastAsia" w:hAnsiTheme="minorEastAsia" w:eastAsiaTheme="minorEastAsia"/>
          <w:bCs/>
          <w:color w:val="auto"/>
          <w:highlight w:val="none"/>
        </w:rPr>
        <w:t>七、其他</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"_Toc105060900" </w:instrText>
      </w:r>
      <w:r>
        <w:rPr>
          <w:color w:val="auto"/>
          <w:highlight w:val="none"/>
        </w:rPr>
        <w:fldChar w:fldCharType="separate"/>
      </w:r>
      <w:r>
        <w:rPr>
          <w:rStyle w:val="64"/>
          <w:rFonts w:hint="eastAsia" w:asciiTheme="minorEastAsia" w:hAnsiTheme="minorEastAsia" w:eastAsiaTheme="minorEastAsia"/>
          <w:color w:val="auto"/>
          <w:highlight w:val="none"/>
        </w:rPr>
        <w:t>第四篇</w:t>
      </w:r>
      <w:r>
        <w:rPr>
          <w:rStyle w:val="64"/>
          <w:rFonts w:asciiTheme="minorEastAsia" w:hAnsiTheme="minorEastAsia" w:eastAsiaTheme="minorEastAsia"/>
          <w:color w:val="auto"/>
          <w:highlight w:val="none"/>
        </w:rPr>
        <w:t xml:space="preserve">  </w:t>
      </w:r>
      <w:r>
        <w:rPr>
          <w:rStyle w:val="64"/>
          <w:rFonts w:hint="eastAsia" w:asciiTheme="minorEastAsia" w:hAnsiTheme="minorEastAsia" w:eastAsiaTheme="minorEastAsia"/>
          <w:color w:val="auto"/>
          <w:highlight w:val="none"/>
        </w:rPr>
        <w:t>磋商程序及方法、评审标准、无效响应和采购终止</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"_Toc105060901" </w:instrText>
      </w:r>
      <w:r>
        <w:rPr>
          <w:color w:val="auto"/>
          <w:highlight w:val="none"/>
        </w:rPr>
        <w:fldChar w:fldCharType="separate"/>
      </w:r>
      <w:r>
        <w:rPr>
          <w:rStyle w:val="64"/>
          <w:rFonts w:hint="eastAsia" w:asciiTheme="minorEastAsia" w:hAnsiTheme="minorEastAsia" w:eastAsiaTheme="minorEastAsia"/>
          <w:bCs/>
          <w:color w:val="auto"/>
          <w:highlight w:val="none"/>
        </w:rPr>
        <w:t>一、磋商程序及方法</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left" w:pos="1680"/>
          <w:tab w:val="right" w:leader="dot" w:pos="9402"/>
        </w:tabs>
        <w:ind w:left="1120"/>
        <w:jc w:val="left"/>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"_Toc105060902" </w:instrText>
      </w:r>
      <w:r>
        <w:rPr>
          <w:color w:val="auto"/>
          <w:highlight w:val="none"/>
        </w:rPr>
        <w:fldChar w:fldCharType="separate"/>
      </w:r>
      <w:r>
        <w:rPr>
          <w:rStyle w:val="64"/>
          <w:rFonts w:hint="eastAsia" w:asciiTheme="minorEastAsia" w:hAnsiTheme="minorEastAsia" w:eastAsiaTheme="minorEastAsia"/>
          <w:bCs/>
          <w:color w:val="auto"/>
          <w:highlight w:val="none"/>
        </w:rPr>
        <w:t>二、评审标准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- 22 -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"_Toc105060903" </w:instrText>
      </w:r>
      <w:r>
        <w:rPr>
          <w:color w:val="auto"/>
          <w:highlight w:val="none"/>
        </w:rPr>
        <w:fldChar w:fldCharType="separate"/>
      </w:r>
      <w:r>
        <w:rPr>
          <w:rStyle w:val="64"/>
          <w:rFonts w:hint="eastAsia" w:asciiTheme="minorEastAsia" w:hAnsiTheme="minorEastAsia" w:eastAsiaTheme="minorEastAsia"/>
          <w:color w:val="auto"/>
          <w:highlight w:val="none"/>
        </w:rPr>
        <w:t>三、无效响应</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- 24 -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"_Toc105060904" </w:instrText>
      </w:r>
      <w:r>
        <w:rPr>
          <w:color w:val="auto"/>
          <w:highlight w:val="none"/>
        </w:rPr>
        <w:fldChar w:fldCharType="separate"/>
      </w:r>
      <w:r>
        <w:rPr>
          <w:rStyle w:val="64"/>
          <w:rFonts w:hint="eastAsia" w:asciiTheme="minorEastAsia" w:hAnsiTheme="minorEastAsia" w:eastAsiaTheme="minorEastAsia"/>
          <w:color w:val="auto"/>
          <w:highlight w:val="none"/>
        </w:rPr>
        <w:t>四、采购终止</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- 24 -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"_Toc105060905" </w:instrText>
      </w:r>
      <w:r>
        <w:rPr>
          <w:color w:val="auto"/>
          <w:highlight w:val="none"/>
        </w:rPr>
        <w:fldChar w:fldCharType="separate"/>
      </w:r>
      <w:r>
        <w:rPr>
          <w:rStyle w:val="64"/>
          <w:rFonts w:hint="eastAsia" w:asciiTheme="minorEastAsia" w:hAnsiTheme="minorEastAsia" w:eastAsiaTheme="minorEastAsia"/>
          <w:color w:val="auto"/>
          <w:highlight w:val="none"/>
        </w:rPr>
        <w:t>第五篇</w:t>
      </w:r>
      <w:r>
        <w:rPr>
          <w:rStyle w:val="64"/>
          <w:rFonts w:asciiTheme="minorEastAsia" w:hAnsiTheme="minorEastAsia" w:eastAsiaTheme="minorEastAsia"/>
          <w:color w:val="auto"/>
          <w:highlight w:val="none"/>
        </w:rPr>
        <w:t xml:space="preserve">  </w:t>
      </w:r>
      <w:r>
        <w:rPr>
          <w:rStyle w:val="64"/>
          <w:rFonts w:hint="eastAsia" w:asciiTheme="minorEastAsia" w:hAnsiTheme="minorEastAsia" w:eastAsiaTheme="minorEastAsia"/>
          <w:color w:val="auto"/>
          <w:highlight w:val="none"/>
        </w:rPr>
        <w:t>供应商须知</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"_Toc105060906" </w:instrText>
      </w:r>
      <w:r>
        <w:rPr>
          <w:color w:val="auto"/>
          <w:highlight w:val="none"/>
        </w:rPr>
        <w:fldChar w:fldCharType="separate"/>
      </w:r>
      <w:r>
        <w:rPr>
          <w:rStyle w:val="64"/>
          <w:rFonts w:hint="eastAsia" w:asciiTheme="minorEastAsia" w:hAnsiTheme="minorEastAsia" w:eastAsiaTheme="minorEastAsia"/>
          <w:color w:val="auto"/>
          <w:highlight w:val="none"/>
        </w:rPr>
        <w:t>一、磋商费用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"_Toc105060907" </w:instrText>
      </w:r>
      <w:r>
        <w:rPr>
          <w:color w:val="auto"/>
          <w:highlight w:val="none"/>
        </w:rPr>
        <w:fldChar w:fldCharType="separate"/>
      </w:r>
      <w:r>
        <w:rPr>
          <w:rStyle w:val="64"/>
          <w:rFonts w:hint="eastAsia" w:asciiTheme="minorEastAsia" w:hAnsiTheme="minorEastAsia" w:eastAsiaTheme="minorEastAsia"/>
          <w:color w:val="auto"/>
          <w:highlight w:val="none"/>
        </w:rPr>
        <w:t>二、竞争性磋商文件</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"_Toc105060908" </w:instrText>
      </w:r>
      <w:r>
        <w:rPr>
          <w:color w:val="auto"/>
          <w:highlight w:val="none"/>
        </w:rPr>
        <w:fldChar w:fldCharType="separate"/>
      </w:r>
      <w:r>
        <w:rPr>
          <w:rStyle w:val="64"/>
          <w:rFonts w:hint="eastAsia" w:asciiTheme="minorEastAsia" w:hAnsiTheme="minorEastAsia" w:eastAsiaTheme="minorEastAsia"/>
          <w:color w:val="auto"/>
          <w:highlight w:val="none"/>
        </w:rPr>
        <w:t>三、磋商要求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"_Toc105060909" </w:instrText>
      </w:r>
      <w:r>
        <w:rPr>
          <w:color w:val="auto"/>
          <w:highlight w:val="none"/>
        </w:rPr>
        <w:fldChar w:fldCharType="separate"/>
      </w:r>
      <w:r>
        <w:rPr>
          <w:rStyle w:val="64"/>
          <w:rFonts w:hint="eastAsia" w:asciiTheme="minorEastAsia" w:hAnsiTheme="minorEastAsia" w:eastAsiaTheme="minorEastAsia"/>
          <w:color w:val="auto"/>
          <w:highlight w:val="none"/>
        </w:rPr>
        <w:t>四、成交供应商的确认和变更</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"_Toc105060910" </w:instrText>
      </w:r>
      <w:r>
        <w:rPr>
          <w:color w:val="auto"/>
          <w:highlight w:val="none"/>
        </w:rPr>
        <w:fldChar w:fldCharType="separate"/>
      </w:r>
      <w:r>
        <w:rPr>
          <w:rStyle w:val="64"/>
          <w:rFonts w:hint="eastAsia" w:asciiTheme="minorEastAsia" w:hAnsiTheme="minorEastAsia" w:eastAsiaTheme="minorEastAsia"/>
          <w:color w:val="auto"/>
          <w:highlight w:val="none"/>
        </w:rPr>
        <w:t>五、成交通知</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"_Toc105060911" </w:instrText>
      </w:r>
      <w:r>
        <w:rPr>
          <w:color w:val="auto"/>
          <w:highlight w:val="none"/>
        </w:rPr>
        <w:fldChar w:fldCharType="separate"/>
      </w:r>
      <w:r>
        <w:rPr>
          <w:rStyle w:val="64"/>
          <w:rFonts w:hint="eastAsia" w:asciiTheme="minorEastAsia" w:hAnsiTheme="minorEastAsia" w:eastAsiaTheme="minorEastAsia"/>
          <w:color w:val="auto"/>
          <w:highlight w:val="none"/>
        </w:rPr>
        <w:t>六、关于质疑和投诉</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"_Toc105060912" </w:instrText>
      </w:r>
      <w:r>
        <w:rPr>
          <w:color w:val="auto"/>
          <w:highlight w:val="none"/>
        </w:rPr>
        <w:fldChar w:fldCharType="separate"/>
      </w:r>
      <w:r>
        <w:rPr>
          <w:rStyle w:val="64"/>
          <w:rFonts w:hint="eastAsia" w:asciiTheme="minorEastAsia" w:hAnsiTheme="minorEastAsia" w:eastAsiaTheme="minorEastAsia"/>
          <w:color w:val="auto"/>
          <w:highlight w:val="none"/>
        </w:rPr>
        <w:t>第六篇</w:t>
      </w:r>
      <w:r>
        <w:rPr>
          <w:rStyle w:val="64"/>
          <w:rFonts w:asciiTheme="minorEastAsia" w:hAnsiTheme="minorEastAsia" w:eastAsiaTheme="minorEastAsia"/>
          <w:color w:val="auto"/>
          <w:highlight w:val="none"/>
        </w:rPr>
        <w:t xml:space="preserve">  </w:t>
      </w:r>
      <w:r>
        <w:rPr>
          <w:rStyle w:val="64"/>
          <w:rFonts w:hint="eastAsia" w:asciiTheme="minorEastAsia" w:hAnsiTheme="minorEastAsia" w:eastAsiaTheme="minorEastAsia"/>
          <w:color w:val="auto"/>
          <w:highlight w:val="none"/>
        </w:rPr>
        <w:t>采购合同</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- 32 -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"_Toc105060913" </w:instrText>
      </w:r>
      <w:r>
        <w:rPr>
          <w:color w:val="auto"/>
          <w:highlight w:val="none"/>
        </w:rPr>
        <w:fldChar w:fldCharType="separate"/>
      </w:r>
      <w:r>
        <w:rPr>
          <w:rStyle w:val="64"/>
          <w:rFonts w:hint="eastAsia" w:asciiTheme="minorEastAsia" w:hAnsiTheme="minorEastAsia" w:eastAsiaTheme="minorEastAsia"/>
          <w:color w:val="auto"/>
          <w:highlight w:val="none"/>
        </w:rPr>
        <w:t>第七篇</w:t>
      </w:r>
      <w:r>
        <w:rPr>
          <w:rStyle w:val="64"/>
          <w:rFonts w:asciiTheme="minorEastAsia" w:hAnsiTheme="minorEastAsia" w:eastAsiaTheme="minorEastAsia"/>
          <w:color w:val="auto"/>
          <w:highlight w:val="none"/>
        </w:rPr>
        <w:t xml:space="preserve">  </w:t>
      </w:r>
      <w:r>
        <w:rPr>
          <w:rStyle w:val="64"/>
          <w:rFonts w:hint="eastAsia" w:asciiTheme="minorEastAsia" w:hAnsiTheme="minorEastAsia" w:eastAsiaTheme="minorEastAsia"/>
          <w:color w:val="auto"/>
          <w:highlight w:val="none"/>
        </w:rPr>
        <w:t>响应文件编制要求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"_Toc105060914" </w:instrText>
      </w:r>
      <w:r>
        <w:rPr>
          <w:color w:val="auto"/>
          <w:highlight w:val="none"/>
        </w:rPr>
        <w:fldChar w:fldCharType="separate"/>
      </w:r>
      <w:r>
        <w:rPr>
          <w:rStyle w:val="64"/>
          <w:rFonts w:hint="eastAsia" w:asciiTheme="minorEastAsia" w:hAnsiTheme="minorEastAsia" w:eastAsiaTheme="minorEastAsia"/>
          <w:color w:val="auto"/>
          <w:highlight w:val="none"/>
        </w:rPr>
        <w:t>一、经济部分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- 41 -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"_Toc105060915" </w:instrText>
      </w:r>
      <w:r>
        <w:rPr>
          <w:color w:val="auto"/>
          <w:highlight w:val="none"/>
        </w:rPr>
        <w:fldChar w:fldCharType="separate"/>
      </w:r>
      <w:r>
        <w:rPr>
          <w:rStyle w:val="64"/>
          <w:rFonts w:hint="eastAsia" w:asciiTheme="minorEastAsia" w:hAnsiTheme="minorEastAsia" w:eastAsiaTheme="minorEastAsia"/>
          <w:color w:val="auto"/>
          <w:highlight w:val="none"/>
        </w:rPr>
        <w:t>二、服务部分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- 44 -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"_Toc105060916" </w:instrText>
      </w:r>
      <w:r>
        <w:rPr>
          <w:color w:val="auto"/>
          <w:highlight w:val="none"/>
        </w:rPr>
        <w:fldChar w:fldCharType="separate"/>
      </w:r>
      <w:r>
        <w:rPr>
          <w:rStyle w:val="64"/>
          <w:rFonts w:hint="eastAsia" w:asciiTheme="minorEastAsia" w:hAnsiTheme="minorEastAsia" w:eastAsiaTheme="minorEastAsia"/>
          <w:color w:val="auto"/>
          <w:highlight w:val="none"/>
        </w:rPr>
        <w:t>三、商务部分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"_Toc105060917" </w:instrText>
      </w:r>
      <w:r>
        <w:rPr>
          <w:color w:val="auto"/>
          <w:highlight w:val="none"/>
        </w:rPr>
        <w:fldChar w:fldCharType="separate"/>
      </w:r>
      <w:r>
        <w:rPr>
          <w:rStyle w:val="64"/>
          <w:rFonts w:hint="eastAsia" w:asciiTheme="minorEastAsia" w:hAnsiTheme="minorEastAsia" w:eastAsiaTheme="minorEastAsia"/>
          <w:color w:val="auto"/>
          <w:highlight w:val="none"/>
        </w:rPr>
        <w:t>四、资格条件及其他</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600" w:hanging="48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"_Toc105060918" </w:instrText>
      </w:r>
      <w:r>
        <w:rPr>
          <w:color w:val="auto"/>
          <w:highlight w:val="none"/>
        </w:rPr>
        <w:fldChar w:fldCharType="separate"/>
      </w:r>
      <w:r>
        <w:rPr>
          <w:rStyle w:val="64"/>
          <w:rFonts w:hint="eastAsia" w:asciiTheme="minorEastAsia" w:hAnsiTheme="minorEastAsia" w:eastAsiaTheme="minorEastAsia"/>
          <w:color w:val="auto"/>
          <w:highlight w:val="none"/>
        </w:rPr>
        <w:t>五、其他应提供的资料</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- 56 -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spacing w:line="360" w:lineRule="exact"/>
        <w:ind w:left="0" w:leftChars="0"/>
        <w:jc w:val="center"/>
        <w:rPr>
          <w:rFonts w:asciiTheme="minorEastAsia" w:hAnsiTheme="minorEastAsia" w:eastAsiaTheme="minorEastAsia"/>
          <w:color w:val="auto"/>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hint="eastAsia" w:asciiTheme="minorEastAsia" w:hAnsiTheme="minorEastAsia" w:eastAsiaTheme="minorEastAsia"/>
          <w:color w:val="auto"/>
          <w:sz w:val="24"/>
          <w:szCs w:val="24"/>
          <w:highlight w:val="none"/>
        </w:rPr>
        <w:fldChar w:fldCharType="end"/>
      </w:r>
    </w:p>
    <w:p>
      <w:pPr>
        <w:pStyle w:val="3"/>
        <w:spacing w:before="0" w:after="0" w:line="560" w:lineRule="exact"/>
        <w:jc w:val="center"/>
        <w:rPr>
          <w:rFonts w:asciiTheme="minorEastAsia" w:hAnsiTheme="minorEastAsia" w:eastAsiaTheme="minorEastAsia"/>
          <w:bCs/>
          <w:color w:val="auto"/>
          <w:sz w:val="44"/>
          <w:szCs w:val="44"/>
          <w:highlight w:val="none"/>
        </w:rPr>
      </w:pPr>
      <w:bookmarkStart w:id="2" w:name="_Toc12789052"/>
      <w:bookmarkStart w:id="3" w:name="_Toc11641050"/>
      <w:bookmarkStart w:id="4" w:name="_Toc105060879"/>
      <w:r>
        <w:rPr>
          <w:rFonts w:hint="eastAsia" w:asciiTheme="minorEastAsia" w:hAnsiTheme="minorEastAsia" w:eastAsiaTheme="minorEastAsia"/>
          <w:bCs/>
          <w:color w:val="auto"/>
          <w:sz w:val="44"/>
          <w:szCs w:val="44"/>
          <w:highlight w:val="none"/>
        </w:rPr>
        <w:t>第一篇  采购邀请书</w:t>
      </w:r>
      <w:bookmarkEnd w:id="2"/>
      <w:bookmarkEnd w:id="3"/>
      <w:bookmarkEnd w:id="4"/>
    </w:p>
    <w:p>
      <w:pPr>
        <w:spacing w:line="276"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szCs w:val="28"/>
          <w:highlight w:val="none"/>
        </w:rPr>
        <w:t xml:space="preserve">   </w:t>
      </w:r>
      <w:r>
        <w:rPr>
          <w:rFonts w:hint="eastAsia" w:asciiTheme="minorEastAsia" w:hAnsiTheme="minorEastAsia" w:eastAsiaTheme="minorEastAsia"/>
          <w:color w:val="auto"/>
          <w:szCs w:val="28"/>
          <w:highlight w:val="none"/>
        </w:rPr>
        <w:t>重庆医科大学对“重庆医科大学基础医学院医学可视化传播微专业课程建设项目”进行竞争性磋商采购。欢迎有资格的供应商前来参与磋商。</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5" w:name="_Toc317775175"/>
      <w:bookmarkStart w:id="6" w:name="_Toc105060880"/>
      <w:bookmarkStart w:id="7" w:name="_Toc313893526"/>
      <w:r>
        <w:rPr>
          <w:rFonts w:hint="eastAsia" w:asciiTheme="minorEastAsia" w:hAnsiTheme="minorEastAsia" w:eastAsiaTheme="minorEastAsia"/>
          <w:bCs/>
          <w:color w:val="auto"/>
          <w:sz w:val="28"/>
          <w:szCs w:val="28"/>
          <w:highlight w:val="none"/>
        </w:rPr>
        <w:t>一、竞争性磋商内容</w:t>
      </w:r>
      <w:bookmarkEnd w:id="5"/>
      <w:bookmarkEnd w:id="6"/>
      <w:bookmarkEnd w:id="7"/>
    </w:p>
    <w:tbl>
      <w:tblPr>
        <w:tblStyle w:val="58"/>
        <w:tblW w:w="47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5"/>
        <w:gridCol w:w="2454"/>
        <w:gridCol w:w="215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805" w:type="pct"/>
            <w:tcBorders>
              <w:top w:val="single" w:color="auto" w:sz="4" w:space="0"/>
              <w:left w:val="single" w:color="auto" w:sz="4" w:space="0"/>
              <w:right w:val="single" w:color="auto" w:sz="4" w:space="0"/>
            </w:tcBorders>
            <w:vAlign w:val="center"/>
          </w:tcPr>
          <w:p>
            <w:pPr>
              <w:widowControl/>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项目名称</w:t>
            </w:r>
          </w:p>
        </w:tc>
        <w:tc>
          <w:tcPr>
            <w:tcW w:w="1399" w:type="pct"/>
            <w:tcBorders>
              <w:top w:val="single" w:color="auto" w:sz="4" w:space="0"/>
              <w:left w:val="single" w:color="auto" w:sz="4" w:space="0"/>
              <w:right w:val="single" w:color="auto" w:sz="4" w:space="0"/>
            </w:tcBorders>
          </w:tcPr>
          <w:p>
            <w:pPr>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最高限价（万元）</w:t>
            </w:r>
          </w:p>
        </w:tc>
        <w:tc>
          <w:tcPr>
            <w:tcW w:w="1228" w:type="pct"/>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保证金（万元）</w:t>
            </w:r>
          </w:p>
        </w:tc>
        <w:tc>
          <w:tcPr>
            <w:tcW w:w="568" w:type="pct"/>
            <w:tcBorders>
              <w:top w:val="single" w:color="auto" w:sz="4" w:space="0"/>
              <w:left w:val="single" w:color="auto" w:sz="4" w:space="0"/>
              <w:right w:val="single" w:color="auto" w:sz="4" w:space="0"/>
            </w:tcBorders>
          </w:tcPr>
          <w:p>
            <w:pPr>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1805" w:type="pct"/>
            <w:tcBorders>
              <w:top w:val="single" w:color="auto" w:sz="4" w:space="0"/>
              <w:left w:val="single" w:color="auto" w:sz="4" w:space="0"/>
              <w:right w:val="single" w:color="auto" w:sz="4" w:space="0"/>
            </w:tcBorders>
            <w:vAlign w:val="center"/>
          </w:tcPr>
          <w:p>
            <w:pPr>
              <w:widowControl/>
              <w:ind w:right="-73" w:rightChars="-26"/>
              <w:jc w:val="center"/>
              <w:rPr>
                <w:rFonts w:cs="宋体" w:asciiTheme="minorEastAsia" w:hAnsiTheme="minorEastAsia" w:eastAsiaTheme="minorEastAsia"/>
                <w:color w:val="auto"/>
                <w:kern w:val="0"/>
                <w:sz w:val="21"/>
                <w:szCs w:val="21"/>
                <w:highlight w:val="none"/>
              </w:rPr>
            </w:pPr>
            <w:bookmarkStart w:id="8" w:name="_Hlk344477914"/>
            <w:r>
              <w:rPr>
                <w:rFonts w:hint="eastAsia" w:asciiTheme="minorEastAsia" w:hAnsiTheme="minorEastAsia" w:eastAsiaTheme="minorEastAsia"/>
                <w:color w:val="auto"/>
                <w:szCs w:val="28"/>
                <w:highlight w:val="none"/>
              </w:rPr>
              <w:t>重庆医科大学基础医学院医学可视化传播微专业课程建设项目</w:t>
            </w:r>
          </w:p>
        </w:tc>
        <w:tc>
          <w:tcPr>
            <w:tcW w:w="1399" w:type="pct"/>
            <w:tcBorders>
              <w:top w:val="single" w:color="auto" w:sz="4" w:space="0"/>
              <w:left w:val="single" w:color="auto" w:sz="4" w:space="0"/>
              <w:right w:val="single" w:color="auto" w:sz="4" w:space="0"/>
            </w:tcBorders>
            <w:vAlign w:val="center"/>
          </w:tcPr>
          <w:p>
            <w:pPr>
              <w:widowControl/>
              <w:spacing w:line="560" w:lineRule="exact"/>
              <w:jc w:val="center"/>
              <w:rPr>
                <w:rFonts w:hint="default" w:cs="宋体" w:asciiTheme="minorEastAsia" w:hAnsiTheme="minorEastAsia" w:eastAsiaTheme="minorEastAsia"/>
                <w:color w:val="auto"/>
                <w:kern w:val="0"/>
                <w:szCs w:val="28"/>
                <w:highlight w:val="none"/>
                <w:lang w:val="en-US" w:eastAsia="zh-CN"/>
              </w:rPr>
            </w:pPr>
            <w:r>
              <w:rPr>
                <w:rFonts w:hint="eastAsia" w:cs="宋体" w:asciiTheme="minorEastAsia" w:hAnsiTheme="minorEastAsia" w:eastAsiaTheme="minorEastAsia"/>
                <w:color w:val="auto"/>
                <w:kern w:val="0"/>
                <w:szCs w:val="28"/>
                <w:highlight w:val="none"/>
                <w:lang w:val="en-US" w:eastAsia="zh-CN"/>
              </w:rPr>
              <w:t>12</w:t>
            </w:r>
          </w:p>
        </w:tc>
        <w:tc>
          <w:tcPr>
            <w:tcW w:w="1228" w:type="pct"/>
            <w:tcBorders>
              <w:top w:val="single" w:color="auto" w:sz="4" w:space="0"/>
              <w:left w:val="single" w:color="auto" w:sz="4" w:space="0"/>
              <w:right w:val="single" w:color="auto" w:sz="4" w:space="0"/>
            </w:tcBorders>
            <w:vAlign w:val="center"/>
          </w:tcPr>
          <w:p>
            <w:pPr>
              <w:spacing w:line="560" w:lineRule="exact"/>
              <w:jc w:val="center"/>
              <w:rPr>
                <w:rFonts w:hint="default" w:asciiTheme="minorEastAsia" w:hAnsiTheme="minorEastAsia" w:eastAsiaTheme="minorEastAsia"/>
                <w:color w:val="auto"/>
                <w:szCs w:val="28"/>
                <w:highlight w:val="none"/>
                <w:lang w:val="en-US" w:eastAsia="zh-CN"/>
              </w:rPr>
            </w:pPr>
            <w:r>
              <w:rPr>
                <w:rFonts w:hint="eastAsia" w:asciiTheme="minorEastAsia" w:hAnsiTheme="minorEastAsia" w:eastAsiaTheme="minorEastAsia"/>
                <w:color w:val="auto"/>
                <w:szCs w:val="28"/>
                <w:highlight w:val="none"/>
                <w:lang w:val="en-US" w:eastAsia="zh-CN"/>
              </w:rPr>
              <w:t>0.24</w:t>
            </w:r>
          </w:p>
        </w:tc>
        <w:tc>
          <w:tcPr>
            <w:tcW w:w="568" w:type="pct"/>
            <w:tcBorders>
              <w:top w:val="single" w:color="auto" w:sz="4" w:space="0"/>
              <w:left w:val="single" w:color="auto" w:sz="4" w:space="0"/>
              <w:right w:val="single" w:color="auto" w:sz="4" w:space="0"/>
            </w:tcBorders>
            <w:vAlign w:val="center"/>
          </w:tcPr>
          <w:p>
            <w:pPr>
              <w:spacing w:line="560" w:lineRule="exact"/>
              <w:jc w:val="center"/>
              <w:rPr>
                <w:rFonts w:asciiTheme="minorEastAsia" w:hAnsiTheme="minorEastAsia" w:eastAsiaTheme="minorEastAsia"/>
                <w:color w:val="auto"/>
                <w:szCs w:val="28"/>
                <w:highlight w:val="none"/>
              </w:rPr>
            </w:pPr>
          </w:p>
        </w:tc>
      </w:tr>
      <w:bookmarkEnd w:id="8"/>
    </w:tbl>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9" w:name="_Toc105060881"/>
      <w:bookmarkStart w:id="10" w:name="_Toc373860293"/>
      <w:bookmarkStart w:id="11" w:name="_Toc317775178"/>
      <w:r>
        <w:rPr>
          <w:rFonts w:hint="eastAsia" w:asciiTheme="minorEastAsia" w:hAnsiTheme="minorEastAsia" w:eastAsiaTheme="minorEastAsia"/>
          <w:bCs/>
          <w:color w:val="auto"/>
          <w:sz w:val="28"/>
          <w:szCs w:val="28"/>
          <w:highlight w:val="none"/>
        </w:rPr>
        <w:t>二、资金来源</w:t>
      </w:r>
      <w:bookmarkEnd w:id="9"/>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学校自筹，资金已到位。</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12" w:name="_Toc105060882"/>
      <w:r>
        <w:rPr>
          <w:rFonts w:hint="eastAsia" w:asciiTheme="minorEastAsia" w:hAnsiTheme="minorEastAsia" w:eastAsiaTheme="minorEastAsia"/>
          <w:bCs/>
          <w:color w:val="auto"/>
          <w:sz w:val="28"/>
          <w:szCs w:val="28"/>
          <w:highlight w:val="none"/>
        </w:rPr>
        <w:t>三、供应商资格条件</w:t>
      </w:r>
      <w:bookmarkEnd w:id="12"/>
    </w:p>
    <w:p>
      <w:pPr>
        <w:spacing w:line="276" w:lineRule="auto"/>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供应商是指向采购人提供服务或者货物的法人、其他组织或者自然人。合格的供应商应首先符合政府采购法第二十二条规定的基本资格条件，同时符合根据该项目特殊要求设置的特定资格条件（如果有）。</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（一）基本资格条件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1.具有独立承担民事责任的能力；</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2.具有良好的商业信誉和健全的财务会计制度；</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3.具有履行合同所必需的设备和专业技术能力；</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4.有依法缴纳税收和社会保障资金的良好记录；</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5.参加政府采购活动前三年内，在经营活动中没有重大违法记录；</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6.法律、行政法规规定的其他条件。</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13" w:name="_Toc105060883"/>
      <w:r>
        <w:rPr>
          <w:rFonts w:hint="eastAsia" w:asciiTheme="minorEastAsia" w:hAnsiTheme="minorEastAsia" w:eastAsiaTheme="minorEastAsia"/>
          <w:bCs/>
          <w:color w:val="auto"/>
          <w:sz w:val="28"/>
          <w:szCs w:val="28"/>
          <w:highlight w:val="none"/>
        </w:rPr>
        <w:t>四、磋商有关说明</w:t>
      </w:r>
      <w:bookmarkEnd w:id="10"/>
      <w:bookmarkEnd w:id="13"/>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（一）根据《重庆市财政局关于印发〈重庆市政府采购供应商注册及诚信管理暂行办法〉的通知》（渝财采购〔</w:t>
      </w:r>
      <w:r>
        <w:rPr>
          <w:rFonts w:asciiTheme="minorEastAsia" w:hAnsiTheme="minorEastAsia" w:eastAsiaTheme="minorEastAsia"/>
          <w:color w:val="auto"/>
          <w:szCs w:val="28"/>
          <w:highlight w:val="none"/>
        </w:rPr>
        <w:t>2015</w:t>
      </w: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45</w:t>
      </w:r>
      <w:r>
        <w:rPr>
          <w:rFonts w:hint="eastAsia" w:asciiTheme="minorEastAsia" w:hAnsiTheme="minorEastAsia" w:eastAsiaTheme="minorEastAsia"/>
          <w:color w:val="auto"/>
          <w:szCs w:val="28"/>
          <w:highlight w:val="none"/>
        </w:rPr>
        <w:t>号）规定，供应商应按要求进行注册，“行采家”平台（www.gec123.com），登记加入“行采家供应商库”。</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（二）凡有意参加磋商的供应商，请于公告发布之日（202</w:t>
      </w:r>
      <w:r>
        <w:rPr>
          <w:rFonts w:asciiTheme="minorEastAsia" w:hAnsiTheme="minorEastAsia" w:eastAsiaTheme="minorEastAsia"/>
          <w:color w:val="auto"/>
          <w:szCs w:val="28"/>
          <w:highlight w:val="none"/>
        </w:rPr>
        <w:t>3</w:t>
      </w:r>
      <w:r>
        <w:rPr>
          <w:rFonts w:hint="eastAsia" w:asciiTheme="minorEastAsia" w:hAnsiTheme="minorEastAsia" w:eastAsiaTheme="minorEastAsia"/>
          <w:color w:val="auto"/>
          <w:szCs w:val="28"/>
          <w:highlight w:val="none"/>
        </w:rPr>
        <w:t>年</w:t>
      </w:r>
      <w:r>
        <w:rPr>
          <w:rFonts w:hint="eastAsia" w:asciiTheme="minorEastAsia" w:hAnsiTheme="minorEastAsia" w:eastAsiaTheme="minorEastAsia"/>
          <w:color w:val="auto"/>
          <w:szCs w:val="28"/>
          <w:highlight w:val="none"/>
          <w:lang w:val="en-US" w:eastAsia="zh-CN"/>
        </w:rPr>
        <w:t>10</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31</w:t>
      </w:r>
      <w:r>
        <w:rPr>
          <w:rFonts w:hint="eastAsia" w:asciiTheme="minorEastAsia" w:hAnsiTheme="minorEastAsia" w:eastAsiaTheme="minorEastAsia"/>
          <w:color w:val="auto"/>
          <w:szCs w:val="28"/>
          <w:highlight w:val="none"/>
        </w:rPr>
        <w:t>日）起至提交首次响应文件截止时间之前，在重庆医科大学校园网上（主页-服务大厅-招投标信息）下载本项目竞争性磋商文件以及图纸、补遗等磋商前公布的所有项目资料，无论供应商下载与否，均视为已知晓所有磋商实质性要求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（三）报名方式</w:t>
      </w:r>
    </w:p>
    <w:p>
      <w:pPr>
        <w:spacing w:line="560" w:lineRule="exact"/>
        <w:ind w:firstLine="560" w:firstLineChars="200"/>
        <w:rPr>
          <w:rFonts w:asciiTheme="minorEastAsia" w:hAnsiTheme="minorEastAsia" w:eastAsiaTheme="minorEastAsia"/>
          <w:color w:val="auto"/>
          <w:szCs w:val="28"/>
          <w:highlight w:val="none"/>
        </w:rPr>
      </w:pPr>
      <w:bookmarkStart w:id="14" w:name="_Toc521053053"/>
      <w:bookmarkStart w:id="15" w:name="_Toc525047161"/>
      <w:bookmarkStart w:id="16" w:name="_Toc535312134"/>
      <w:r>
        <w:rPr>
          <w:rFonts w:hint="eastAsia" w:asciiTheme="minorEastAsia" w:hAnsiTheme="minorEastAsia" w:eastAsiaTheme="minorEastAsia"/>
          <w:color w:val="auto"/>
          <w:szCs w:val="28"/>
          <w:highlight w:val="none"/>
        </w:rPr>
        <w:t>1.报名期限：2023年</w:t>
      </w:r>
      <w:r>
        <w:rPr>
          <w:rFonts w:hint="eastAsia" w:asciiTheme="minorEastAsia" w:hAnsiTheme="minorEastAsia" w:eastAsiaTheme="minorEastAsia"/>
          <w:color w:val="auto"/>
          <w:szCs w:val="28"/>
          <w:highlight w:val="none"/>
          <w:lang w:val="en-US" w:eastAsia="zh-CN"/>
        </w:rPr>
        <w:t>10</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31</w:t>
      </w:r>
      <w:r>
        <w:rPr>
          <w:rFonts w:hint="eastAsia" w:asciiTheme="minorEastAsia" w:hAnsiTheme="minorEastAsia" w:eastAsiaTheme="minorEastAsia"/>
          <w:color w:val="auto"/>
          <w:szCs w:val="28"/>
          <w:highlight w:val="none"/>
        </w:rPr>
        <w:t>日9：00至2023年</w:t>
      </w:r>
      <w:r>
        <w:rPr>
          <w:rFonts w:hint="eastAsia" w:asciiTheme="minorEastAsia" w:hAnsiTheme="minorEastAsia" w:eastAsiaTheme="minorEastAsia"/>
          <w:color w:val="auto"/>
          <w:szCs w:val="28"/>
          <w:highlight w:val="none"/>
          <w:lang w:val="en-US" w:eastAsia="zh-CN"/>
        </w:rPr>
        <w:t>11</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6</w:t>
      </w:r>
      <w:r>
        <w:rPr>
          <w:rFonts w:hint="eastAsia" w:asciiTheme="minorEastAsia" w:hAnsiTheme="minorEastAsia" w:eastAsiaTheme="minorEastAsia"/>
          <w:color w:val="auto"/>
          <w:szCs w:val="28"/>
          <w:highlight w:val="none"/>
        </w:rPr>
        <w:t>日17:00（法定公休日、法定节假日除外）</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2.在报名期限内，投标人将保证金汇款凭证（注明采购计划编号、采购项目名称）、供应商名称及地址、联系人姓名及联系方式、电子邮箱地址等相关信息，</w:t>
      </w:r>
      <w:r>
        <w:rPr>
          <w:color w:val="auto"/>
          <w:highlight w:val="none"/>
        </w:rPr>
        <w:fldChar w:fldCharType="begin"/>
      </w:r>
      <w:r>
        <w:rPr>
          <w:color w:val="auto"/>
          <w:highlight w:val="none"/>
        </w:rPr>
        <w:instrText xml:space="preserve"> HYPERLINK "mailto:在报名截止时间前发送至359781294@qq.com" </w:instrText>
      </w:r>
      <w:r>
        <w:rPr>
          <w:color w:val="auto"/>
          <w:highlight w:val="none"/>
        </w:rPr>
        <w:fldChar w:fldCharType="separate"/>
      </w:r>
      <w:r>
        <w:rPr>
          <w:rFonts w:hint="eastAsia" w:asciiTheme="minorEastAsia" w:hAnsiTheme="minorEastAsia" w:eastAsiaTheme="minorEastAsia"/>
          <w:color w:val="auto"/>
          <w:szCs w:val="28"/>
          <w:highlight w:val="none"/>
        </w:rPr>
        <w:t>在报名截止时间前发送至359781294@qq.com</w:t>
      </w:r>
      <w:r>
        <w:rPr>
          <w:rFonts w:hint="eastAsia" w:asciiTheme="minorEastAsia" w:hAnsiTheme="minorEastAsia" w:eastAsiaTheme="minorEastAsia"/>
          <w:color w:val="auto"/>
          <w:szCs w:val="28"/>
          <w:highlight w:val="none"/>
        </w:rPr>
        <w:fldChar w:fldCharType="end"/>
      </w:r>
      <w:r>
        <w:rPr>
          <w:rFonts w:hint="eastAsia" w:asciiTheme="minorEastAsia" w:hAnsiTheme="minorEastAsia" w:eastAsiaTheme="minorEastAsia"/>
          <w:color w:val="auto"/>
          <w:szCs w:val="28"/>
          <w:highlight w:val="none"/>
        </w:rPr>
        <w:t>邮箱。只有在规定时间内发送了报名信息的供应商的响应文件才被接收。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3.收到报名信息后，我校将为其办理进校备案，只有办理了备案的人员才能进入学校。</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（四）供应商须满足以下三种要件，其响应文件才被接受：</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1、按时递交了响应文件；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2、按时报名签到；</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3、缴纳了“重庆医科大学基础医学院医学可视化传播微专业课程建设项目”项目保证金；</w:t>
      </w:r>
    </w:p>
    <w:p>
      <w:pPr>
        <w:spacing w:line="560" w:lineRule="exact"/>
        <w:ind w:firstLine="560" w:firstLineChars="200"/>
        <w:rPr>
          <w:rFonts w:hint="default" w:asciiTheme="minorEastAsia" w:hAnsiTheme="minorEastAsia" w:eastAsiaTheme="minorEastAsia"/>
          <w:color w:val="auto"/>
          <w:szCs w:val="28"/>
          <w:highlight w:val="none"/>
          <w:lang w:val="en-US" w:eastAsia="zh-CN"/>
        </w:rPr>
      </w:pPr>
      <w:r>
        <w:rPr>
          <w:rFonts w:hint="eastAsia" w:asciiTheme="minorEastAsia" w:hAnsiTheme="minorEastAsia" w:eastAsiaTheme="minorEastAsia"/>
          <w:color w:val="auto"/>
          <w:szCs w:val="28"/>
          <w:highlight w:val="none"/>
        </w:rPr>
        <w:t>（五）磋商地点：</w:t>
      </w:r>
      <w:r>
        <w:rPr>
          <w:rFonts w:hint="eastAsia" w:asciiTheme="minorEastAsia" w:hAnsiTheme="minorEastAsia" w:eastAsiaTheme="minorEastAsia"/>
          <w:color w:val="auto"/>
          <w:szCs w:val="28"/>
          <w:highlight w:val="none"/>
        </w:rPr>
        <w:t>重庆医科大学</w:t>
      </w:r>
      <w:r>
        <w:rPr>
          <w:rFonts w:hint="eastAsia" w:asciiTheme="minorEastAsia" w:hAnsiTheme="minorEastAsia" w:eastAsiaTheme="minorEastAsia"/>
          <w:color w:val="auto"/>
          <w:szCs w:val="28"/>
          <w:highlight w:val="none"/>
          <w:lang w:val="en-US" w:eastAsia="zh-CN"/>
        </w:rPr>
        <w:t>博士后公寓二楼212室（医学院路1号）</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（六）提交响应文件开始时间：2023年</w:t>
      </w:r>
      <w:r>
        <w:rPr>
          <w:rFonts w:hint="eastAsia" w:asciiTheme="minorEastAsia" w:hAnsiTheme="minorEastAsia" w:eastAsiaTheme="minorEastAsia"/>
          <w:color w:val="auto"/>
          <w:szCs w:val="28"/>
          <w:highlight w:val="none"/>
          <w:lang w:val="en-US" w:eastAsia="zh-CN"/>
        </w:rPr>
        <w:t>11</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日北京时间上午</w:t>
      </w:r>
      <w:r>
        <w:rPr>
          <w:rFonts w:hint="eastAsia" w:asciiTheme="minorEastAsia" w:hAnsiTheme="minorEastAsia" w:eastAsiaTheme="minorEastAsia"/>
          <w:color w:val="auto"/>
          <w:szCs w:val="28"/>
          <w:highlight w:val="none"/>
          <w:lang w:val="en-US" w:eastAsia="zh-CN"/>
        </w:rPr>
        <w:t>9</w:t>
      </w: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val="en-US" w:eastAsia="zh-CN"/>
        </w:rPr>
        <w:t>0</w:t>
      </w:r>
      <w:r>
        <w:rPr>
          <w:rFonts w:hint="eastAsia" w:asciiTheme="minorEastAsia" w:hAnsiTheme="minorEastAsia" w:eastAsiaTheme="minorEastAsia"/>
          <w:color w:val="auto"/>
          <w:szCs w:val="28"/>
          <w:highlight w:val="none"/>
        </w:rPr>
        <w:t>0</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（七）提交响应文件截止时间：2023年</w:t>
      </w:r>
      <w:r>
        <w:rPr>
          <w:rFonts w:hint="eastAsia" w:asciiTheme="minorEastAsia" w:hAnsiTheme="minorEastAsia" w:eastAsiaTheme="minorEastAsia"/>
          <w:color w:val="auto"/>
          <w:szCs w:val="28"/>
          <w:highlight w:val="none"/>
          <w:lang w:val="en-US" w:eastAsia="zh-CN"/>
        </w:rPr>
        <w:t>11</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日北京时间上午</w:t>
      </w:r>
      <w:r>
        <w:rPr>
          <w:rFonts w:hint="eastAsia" w:asciiTheme="minorEastAsia" w:hAnsiTheme="minorEastAsia" w:eastAsiaTheme="minorEastAsia"/>
          <w:color w:val="auto"/>
          <w:szCs w:val="28"/>
          <w:highlight w:val="none"/>
          <w:lang w:val="en-US" w:eastAsia="zh-CN"/>
        </w:rPr>
        <w:t>9</w:t>
      </w: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val="en-US" w:eastAsia="zh-CN"/>
        </w:rPr>
        <w:t>3</w:t>
      </w:r>
      <w:r>
        <w:rPr>
          <w:rFonts w:hint="eastAsia" w:asciiTheme="minorEastAsia" w:hAnsiTheme="minorEastAsia" w:eastAsiaTheme="minorEastAsia"/>
          <w:color w:val="auto"/>
          <w:szCs w:val="28"/>
          <w:highlight w:val="none"/>
        </w:rPr>
        <w:t>0</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（八）磋商开始时间：2023年</w:t>
      </w:r>
      <w:r>
        <w:rPr>
          <w:rFonts w:hint="eastAsia" w:asciiTheme="minorEastAsia" w:hAnsiTheme="minorEastAsia" w:eastAsiaTheme="minorEastAsia"/>
          <w:color w:val="auto"/>
          <w:szCs w:val="28"/>
          <w:highlight w:val="none"/>
          <w:lang w:val="en-US" w:eastAsia="zh-CN"/>
        </w:rPr>
        <w:t>11</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日北京时间上午</w:t>
      </w:r>
      <w:r>
        <w:rPr>
          <w:rFonts w:hint="eastAsia" w:asciiTheme="minorEastAsia" w:hAnsiTheme="minorEastAsia" w:eastAsiaTheme="minorEastAsia"/>
          <w:color w:val="auto"/>
          <w:szCs w:val="28"/>
          <w:highlight w:val="none"/>
          <w:lang w:val="en-US" w:eastAsia="zh-CN"/>
        </w:rPr>
        <w:t>9</w:t>
      </w: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val="en-US" w:eastAsia="zh-CN"/>
        </w:rPr>
        <w:t>3</w:t>
      </w:r>
      <w:r>
        <w:rPr>
          <w:rFonts w:hint="eastAsia" w:asciiTheme="minorEastAsia" w:hAnsiTheme="minorEastAsia" w:eastAsiaTheme="minorEastAsia"/>
          <w:color w:val="auto"/>
          <w:szCs w:val="28"/>
          <w:highlight w:val="none"/>
        </w:rPr>
        <w:t>0</w:t>
      </w:r>
    </w:p>
    <w:bookmarkEnd w:id="14"/>
    <w:bookmarkEnd w:id="15"/>
    <w:bookmarkEnd w:id="16"/>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17" w:name="_Toc102683826"/>
      <w:bookmarkStart w:id="18" w:name="_Toc105060884"/>
      <w:bookmarkStart w:id="19" w:name="_Toc373860294"/>
      <w:r>
        <w:rPr>
          <w:rFonts w:hint="eastAsia" w:asciiTheme="minorEastAsia" w:hAnsiTheme="minorEastAsia" w:eastAsiaTheme="minorEastAsia"/>
          <w:bCs/>
          <w:color w:val="auto"/>
          <w:sz w:val="28"/>
          <w:szCs w:val="28"/>
          <w:highlight w:val="none"/>
        </w:rPr>
        <w:t>五、保证金</w:t>
      </w:r>
      <w:bookmarkEnd w:id="17"/>
      <w:bookmarkEnd w:id="18"/>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（一）缴纳保证金方式</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、按《重庆市财政局关于进一步规范投标报名及保证金缴纳的通知》的规定，具体缴纳方式如下：</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分项目单次递交的供应商，须按本项目规定的保证金数额进行缴纳，由供应商从其基本账户将保证金汇至重庆医科大学的账号上，同时在进账凭证上明确“重庆医科大学基础医学院医学可视化传播微专业课程建设项目”的采购计划编号，保证金的到账截止时间为谈判当天上午</w:t>
      </w:r>
      <w:r>
        <w:rPr>
          <w:rFonts w:asciiTheme="minorEastAsia" w:hAnsiTheme="minorEastAsia" w:eastAsiaTheme="minorEastAsia"/>
          <w:color w:val="auto"/>
          <w:szCs w:val="28"/>
          <w:highlight w:val="none"/>
        </w:rPr>
        <w:t>8:30</w:t>
      </w:r>
      <w:r>
        <w:rPr>
          <w:rFonts w:hint="eastAsia" w:asciiTheme="minorEastAsia" w:hAnsiTheme="minorEastAsia" w:eastAsiaTheme="minorEastAsia"/>
          <w:color w:val="auto"/>
          <w:szCs w:val="28"/>
          <w:highlight w:val="none"/>
        </w:rPr>
        <w:t>。</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供应商须在投标前到学校财务处（第二教学楼</w:t>
      </w:r>
      <w:r>
        <w:rPr>
          <w:rFonts w:asciiTheme="minorEastAsia" w:hAnsiTheme="minorEastAsia" w:eastAsiaTheme="minorEastAsia"/>
          <w:color w:val="auto"/>
          <w:szCs w:val="28"/>
          <w:highlight w:val="none"/>
        </w:rPr>
        <w:t>110</w:t>
      </w:r>
      <w:r>
        <w:rPr>
          <w:rFonts w:hint="eastAsia" w:asciiTheme="minorEastAsia" w:hAnsiTheme="minorEastAsia" w:eastAsiaTheme="minorEastAsia"/>
          <w:color w:val="auto"/>
          <w:szCs w:val="28"/>
          <w:highlight w:val="none"/>
        </w:rPr>
        <w:t>室）凭汇款凭证（原件或复印件）领取投标保证金的单据，以备投标时查验。投标人须充分考虑银行工作的时间差风险。</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递交保证金账号信息如下：</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户</w:t>
      </w:r>
      <w:r>
        <w:rPr>
          <w:rFonts w:asciiTheme="minorEastAsia" w:hAnsiTheme="minorEastAsia" w:eastAsiaTheme="minorEastAsia"/>
          <w:color w:val="auto"/>
          <w:szCs w:val="28"/>
          <w:highlight w:val="none"/>
        </w:rPr>
        <w:t> </w:t>
      </w:r>
      <w:r>
        <w:rPr>
          <w:rFonts w:hint="eastAsia" w:asciiTheme="minorEastAsia" w:hAnsiTheme="minorEastAsia" w:eastAsiaTheme="minorEastAsia"/>
          <w:color w:val="auto"/>
          <w:szCs w:val="28"/>
          <w:highlight w:val="none"/>
        </w:rPr>
        <w:t>名：重庆医科大学</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账</w:t>
      </w:r>
      <w:r>
        <w:rPr>
          <w:rFonts w:asciiTheme="minorEastAsia" w:hAnsiTheme="minorEastAsia" w:eastAsiaTheme="minorEastAsia"/>
          <w:color w:val="auto"/>
          <w:szCs w:val="28"/>
          <w:highlight w:val="none"/>
        </w:rPr>
        <w:t> </w:t>
      </w:r>
      <w:r>
        <w:rPr>
          <w:rFonts w:hint="eastAsia" w:asciiTheme="minorEastAsia" w:hAnsiTheme="minorEastAsia" w:eastAsiaTheme="minorEastAsia"/>
          <w:color w:val="auto"/>
          <w:szCs w:val="28"/>
          <w:highlight w:val="none"/>
        </w:rPr>
        <w:t>号：</w:t>
      </w:r>
      <w:r>
        <w:rPr>
          <w:rFonts w:asciiTheme="minorEastAsia" w:hAnsiTheme="minorEastAsia" w:eastAsiaTheme="minorEastAsia"/>
          <w:color w:val="auto"/>
          <w:szCs w:val="28"/>
          <w:highlight w:val="none"/>
        </w:rPr>
        <w:t>5000 1033 6000 5000 8726</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开户行：中国建设银行股份有限公司重庆高新区分行</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）供应商也可以通过微信公众号缴纳投标保证金，并在备注栏中注明拟投标的采购计划编号及项目名称。微信公众号缴纳步骤如下：关注“重庆医科大学财务处”公众号</w:t>
      </w: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服务大厅</w:t>
      </w: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校外服务平台</w:t>
      </w: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缴投标保证金。通过微信公众号缴纳保证金的供应商，需自行打印由学校财务处开具的投标保证金电子票据，以备投标时查验。保证金的到账截止时间为谈判当天上午</w:t>
      </w:r>
      <w:r>
        <w:rPr>
          <w:rFonts w:asciiTheme="minorEastAsia" w:hAnsiTheme="minorEastAsia" w:eastAsiaTheme="minorEastAsia"/>
          <w:color w:val="auto"/>
          <w:szCs w:val="28"/>
          <w:highlight w:val="none"/>
        </w:rPr>
        <w:t>8:30</w:t>
      </w:r>
      <w:r>
        <w:rPr>
          <w:rFonts w:hint="eastAsia" w:asciiTheme="minorEastAsia" w:hAnsiTheme="minorEastAsia" w:eastAsiaTheme="minorEastAsia"/>
          <w:color w:val="auto"/>
          <w:szCs w:val="28"/>
          <w:highlight w:val="none"/>
        </w:rPr>
        <w:t>。</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财务处联系电话：</w:t>
      </w:r>
      <w:r>
        <w:rPr>
          <w:rFonts w:asciiTheme="minorEastAsia" w:hAnsiTheme="minorEastAsia" w:eastAsiaTheme="minorEastAsia"/>
          <w:color w:val="auto"/>
          <w:szCs w:val="28"/>
          <w:highlight w:val="none"/>
        </w:rPr>
        <w:t>023-68486151  </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、缴纳保证金需注意事项：</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）供应商必须在付款凭证备注栏中注明“重庆医科大学基础医学院医学可视化传播微专业课程建设项目”的采购计划编号；</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3</w:t>
      </w:r>
      <w:r>
        <w:rPr>
          <w:rFonts w:hint="eastAsia" w:asciiTheme="minorEastAsia" w:hAnsiTheme="minorEastAsia" w:eastAsiaTheme="minorEastAsia"/>
          <w:color w:val="auto"/>
          <w:szCs w:val="28"/>
          <w:highlight w:val="none"/>
        </w:rPr>
        <w:t>）各供应商在递交保证金时，到款账户为上述指定的保证金专用账户。来款账户必须为本公司基本账户，否则，投标无效。</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4</w:t>
      </w:r>
      <w:r>
        <w:rPr>
          <w:rFonts w:hint="eastAsia" w:asciiTheme="minorEastAsia" w:hAnsiTheme="minorEastAsia" w:eastAsiaTheme="minorEastAsia"/>
          <w:color w:val="auto"/>
          <w:szCs w:val="28"/>
          <w:highlight w:val="none"/>
        </w:rPr>
        <w:t>）投标查验时，请出具由学校财务处开具的投标保证金电子票据。</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3</w:t>
      </w:r>
      <w:r>
        <w:rPr>
          <w:rFonts w:hint="eastAsia" w:asciiTheme="minorEastAsia" w:hAnsiTheme="minorEastAsia" w:eastAsiaTheme="minorEastAsia"/>
          <w:color w:val="auto"/>
          <w:szCs w:val="28"/>
          <w:highlight w:val="none"/>
        </w:rPr>
        <w:t>、保证金数额不超过采购预算的</w:t>
      </w: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（二）保证金退还方式</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、分项目单次递交的保证金</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1.1</w:t>
      </w:r>
      <w:r>
        <w:rPr>
          <w:rFonts w:hint="eastAsia" w:asciiTheme="minorEastAsia" w:hAnsiTheme="minorEastAsia" w:eastAsiaTheme="minorEastAsia"/>
          <w:color w:val="auto"/>
          <w:szCs w:val="28"/>
          <w:highlight w:val="none"/>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1.2</w:t>
      </w:r>
      <w:r>
        <w:rPr>
          <w:rFonts w:hint="eastAsia" w:asciiTheme="minorEastAsia" w:hAnsiTheme="minorEastAsia" w:eastAsiaTheme="minorEastAsia"/>
          <w:color w:val="auto"/>
          <w:szCs w:val="28"/>
          <w:highlight w:val="none"/>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1.3</w:t>
      </w:r>
      <w:r>
        <w:rPr>
          <w:rFonts w:hint="eastAsia" w:asciiTheme="minorEastAsia" w:hAnsiTheme="minorEastAsia" w:eastAsiaTheme="minorEastAsia"/>
          <w:color w:val="auto"/>
          <w:szCs w:val="28"/>
          <w:highlight w:val="none"/>
        </w:rPr>
        <w:t>保证金退还办理时间为每周四下午</w:t>
      </w:r>
      <w:r>
        <w:rPr>
          <w:rFonts w:asciiTheme="minorEastAsia" w:hAnsiTheme="minorEastAsia" w:eastAsiaTheme="minorEastAsia"/>
          <w:color w:val="auto"/>
          <w:szCs w:val="28"/>
          <w:highlight w:val="none"/>
        </w:rPr>
        <w:t>2:30</w:t>
      </w:r>
      <w:r>
        <w:rPr>
          <w:rFonts w:hint="eastAsia" w:asciiTheme="minorEastAsia" w:hAnsiTheme="minorEastAsia" w:eastAsiaTheme="minorEastAsia"/>
          <w:color w:val="auto"/>
          <w:szCs w:val="28"/>
          <w:highlight w:val="none"/>
        </w:rPr>
        <w:t>时到</w:t>
      </w:r>
      <w:r>
        <w:rPr>
          <w:rFonts w:asciiTheme="minorEastAsia" w:hAnsiTheme="minorEastAsia" w:eastAsiaTheme="minorEastAsia"/>
          <w:color w:val="auto"/>
          <w:szCs w:val="28"/>
          <w:highlight w:val="none"/>
        </w:rPr>
        <w:t>5:00</w:t>
      </w:r>
      <w:r>
        <w:rPr>
          <w:rFonts w:hint="eastAsia" w:asciiTheme="minorEastAsia" w:hAnsiTheme="minorEastAsia" w:eastAsiaTheme="minorEastAsia"/>
          <w:color w:val="auto"/>
          <w:szCs w:val="28"/>
          <w:highlight w:val="none"/>
        </w:rPr>
        <w:t>时。</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20" w:name="_Toc105060885"/>
      <w:r>
        <w:rPr>
          <w:rFonts w:hint="eastAsia" w:asciiTheme="minorEastAsia" w:hAnsiTheme="minorEastAsia" w:eastAsiaTheme="minorEastAsia"/>
          <w:bCs/>
          <w:color w:val="auto"/>
          <w:sz w:val="28"/>
          <w:szCs w:val="28"/>
          <w:highlight w:val="none"/>
        </w:rPr>
        <w:t>六、</w:t>
      </w:r>
      <w:bookmarkEnd w:id="11"/>
      <w:bookmarkEnd w:id="19"/>
      <w:bookmarkStart w:id="21" w:name="_Toc479668114"/>
      <w:bookmarkStart w:id="22" w:name="_Toc480466698"/>
      <w:r>
        <w:rPr>
          <w:rFonts w:hint="eastAsia" w:asciiTheme="minorEastAsia" w:hAnsiTheme="minorEastAsia" w:eastAsiaTheme="minorEastAsia"/>
          <w:bCs/>
          <w:color w:val="auto"/>
          <w:sz w:val="28"/>
          <w:szCs w:val="28"/>
          <w:highlight w:val="none"/>
        </w:rPr>
        <w:t>采购项目需落实的政府采购政策</w:t>
      </w:r>
      <w:bookmarkEnd w:id="20"/>
      <w:bookmarkEnd w:id="21"/>
      <w:bookmarkEnd w:id="22"/>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（二）按照《财政部 工业和信息化部关于印发&lt;政府采购促进中小企业发展暂行办法&gt;的通知》（财库〔2011〕181号）的规定，落实促进中小企业发展政策。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（三）按照《财政部、司法部关于政府采购支持监狱企业发展有关问题的通知》（财库〔2014〕68号）的规定，落实支持监狱企业发展政策。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（四）按照《三部门联合发布关于促进残疾人就业政府采购政策的通知》（财库〔2017〕 141号）的规定，落实支持残疾人福利性单位发展政策。</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23" w:name="_Toc480466699"/>
      <w:bookmarkStart w:id="24" w:name="_Toc105060886"/>
      <w:r>
        <w:rPr>
          <w:rFonts w:hint="eastAsia" w:asciiTheme="minorEastAsia" w:hAnsiTheme="minorEastAsia" w:eastAsiaTheme="minorEastAsia"/>
          <w:bCs/>
          <w:color w:val="auto"/>
          <w:sz w:val="28"/>
          <w:szCs w:val="28"/>
          <w:highlight w:val="none"/>
        </w:rPr>
        <w:t>七、其它有关规定</w:t>
      </w:r>
      <w:bookmarkEnd w:id="23"/>
      <w:bookmarkEnd w:id="24"/>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（一）单位负责人为同一人或者存在直接控股、管理关系的不同供应商，不得参加同一合同项（分包）下的政府采购活动，否则均为无效响应。</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（二）为采购项目提供整体设计、规范编制或者项目管理、监理、检测等服务的供应商，不得再参加该采购项目的其他采购活动。</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本项目在响应文件提交截止时间前发布的竞争性磋商文件及补遗文件（如果有）一律在重庆医科大学校园网上（主页-服务大厅-招投标信息）上发布，请各供应商注意下载；无论供应商下载与否，均视同供应商已知晓本项目竞争性磋商文件、补遗文件（如果有）的内容。</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（四）超过响应文件截止时间递交的响应文件，恕不接收。</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（五）磋商费用：无论磋商结果如何，供应商参与本项目磋商的所有费用均应由供应商自行承担。</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（六）本项目接受（或不接受）联合体参与磋商。</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w:t>
      </w:r>
      <w:bookmarkStart w:id="25" w:name="_Toc480466700"/>
      <w:r>
        <w:rPr>
          <w:rFonts w:hint="eastAsia" w:asciiTheme="minorEastAsia" w:hAnsiTheme="minorEastAsia" w:eastAsiaTheme="minorEastAsia"/>
          <w:color w:val="auto"/>
          <w:szCs w:val="28"/>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560" w:lineRule="exact"/>
        <w:rPr>
          <w:rFonts w:asciiTheme="minorEastAsia" w:hAnsiTheme="minorEastAsia" w:eastAsiaTheme="minorEastAsia"/>
          <w:bCs/>
          <w:color w:val="auto"/>
          <w:sz w:val="28"/>
          <w:szCs w:val="28"/>
          <w:highlight w:val="none"/>
        </w:rPr>
      </w:pPr>
      <w:bookmarkStart w:id="26" w:name="_Toc105060887"/>
      <w:r>
        <w:rPr>
          <w:rFonts w:hint="eastAsia" w:asciiTheme="minorEastAsia" w:hAnsiTheme="minorEastAsia" w:eastAsiaTheme="minorEastAsia"/>
          <w:bCs/>
          <w:color w:val="auto"/>
          <w:sz w:val="28"/>
          <w:szCs w:val="28"/>
          <w:highlight w:val="none"/>
        </w:rPr>
        <w:t>八、联系方式</w:t>
      </w:r>
      <w:bookmarkEnd w:id="25"/>
      <w:bookmarkEnd w:id="26"/>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采购人：重庆医科大学基础医学院</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联系人：彭老师</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电  话：（023）68486679</w:t>
      </w:r>
    </w:p>
    <w:p>
      <w:pPr>
        <w:snapToGrid w:val="0"/>
        <w:spacing w:line="560" w:lineRule="exact"/>
        <w:ind w:firstLine="560" w:firstLineChars="200"/>
        <w:rPr>
          <w:rFonts w:hint="default" w:asciiTheme="minorEastAsia" w:hAnsiTheme="minorEastAsia" w:eastAsiaTheme="minorEastAsia"/>
          <w:color w:val="auto"/>
          <w:szCs w:val="28"/>
          <w:highlight w:val="none"/>
          <w:lang w:val="en-US" w:eastAsia="zh-CN"/>
        </w:rPr>
        <w:sectPr>
          <w:pgSz w:w="11907" w:h="16840"/>
          <w:pgMar w:top="1134" w:right="1418" w:bottom="1134" w:left="1418" w:header="964" w:footer="992" w:gutter="0"/>
          <w:pgNumType w:fmt="numberInDash"/>
          <w:cols w:space="720" w:num="1"/>
          <w:docGrid w:linePitch="312" w:charSpace="0"/>
        </w:sectPr>
      </w:pPr>
      <w:r>
        <w:rPr>
          <w:rFonts w:hint="eastAsia" w:asciiTheme="minorEastAsia" w:hAnsiTheme="minorEastAsia" w:eastAsiaTheme="minorEastAsia"/>
          <w:color w:val="auto"/>
          <w:szCs w:val="28"/>
          <w:highlight w:val="none"/>
        </w:rPr>
        <w:t xml:space="preserve">地  址： </w:t>
      </w:r>
      <w:r>
        <w:rPr>
          <w:rFonts w:hint="eastAsia" w:asciiTheme="minorEastAsia" w:hAnsiTheme="minorEastAsia" w:eastAsiaTheme="minorEastAsia"/>
          <w:color w:val="auto"/>
          <w:szCs w:val="28"/>
          <w:highlight w:val="none"/>
        </w:rPr>
        <w:t>重庆市渝中区医学院路1号</w:t>
      </w:r>
      <w:r>
        <w:rPr>
          <w:rFonts w:hint="eastAsia" w:asciiTheme="minorEastAsia" w:hAnsiTheme="minorEastAsia" w:eastAsiaTheme="minorEastAsia"/>
          <w:color w:val="auto"/>
          <w:szCs w:val="28"/>
          <w:highlight w:val="none"/>
          <w:lang w:val="en-US" w:eastAsia="zh-CN"/>
        </w:rPr>
        <w:t>博士后公寓一楼</w:t>
      </w:r>
    </w:p>
    <w:p>
      <w:pPr>
        <w:pStyle w:val="3"/>
        <w:spacing w:before="0" w:after="0" w:line="560" w:lineRule="exact"/>
        <w:jc w:val="center"/>
        <w:rPr>
          <w:rFonts w:asciiTheme="minorEastAsia" w:hAnsiTheme="minorEastAsia" w:eastAsiaTheme="minorEastAsia"/>
          <w:bCs/>
          <w:color w:val="auto"/>
          <w:sz w:val="44"/>
          <w:szCs w:val="44"/>
          <w:highlight w:val="none"/>
        </w:rPr>
      </w:pPr>
      <w:bookmarkStart w:id="27" w:name="_Toc105060888"/>
      <w:r>
        <w:rPr>
          <w:rFonts w:hint="eastAsia" w:asciiTheme="minorEastAsia" w:hAnsiTheme="minorEastAsia" w:eastAsiaTheme="minorEastAsia"/>
          <w:bCs/>
          <w:color w:val="auto"/>
          <w:sz w:val="44"/>
          <w:szCs w:val="44"/>
          <w:highlight w:val="none"/>
        </w:rPr>
        <w:t>第二篇  项目服务需求</w:t>
      </w:r>
      <w:bookmarkEnd w:id="27"/>
    </w:p>
    <w:p>
      <w:pPr>
        <w:pStyle w:val="4"/>
        <w:numPr>
          <w:ilvl w:val="0"/>
          <w:numId w:val="13"/>
        </w:numPr>
        <w:spacing w:before="0" w:after="0" w:line="560" w:lineRule="exact"/>
        <w:jc w:val="left"/>
        <w:rPr>
          <w:rFonts w:asciiTheme="minorEastAsia" w:hAnsiTheme="minorEastAsia" w:eastAsiaTheme="minorEastAsia"/>
          <w:b w:val="0"/>
          <w:color w:val="auto"/>
          <w:sz w:val="28"/>
          <w:szCs w:val="28"/>
          <w:highlight w:val="none"/>
        </w:rPr>
      </w:pPr>
      <w:bookmarkStart w:id="28" w:name="_Toc105060889"/>
      <w:bookmarkStart w:id="29" w:name="_Toc12789058"/>
      <w:r>
        <w:rPr>
          <w:rFonts w:hint="eastAsia" w:asciiTheme="minorEastAsia" w:hAnsiTheme="minorEastAsia" w:eastAsiaTheme="minorEastAsia"/>
          <w:b w:val="0"/>
          <w:color w:val="auto"/>
          <w:sz w:val="28"/>
          <w:szCs w:val="28"/>
          <w:highlight w:val="none"/>
        </w:rPr>
        <w:t>项目基本概况介绍</w:t>
      </w:r>
      <w:bookmarkEnd w:id="28"/>
    </w:p>
    <w:p>
      <w:pPr>
        <w:rPr>
          <w:rFonts w:asciiTheme="minorEastAsia" w:hAnsiTheme="minorEastAsia" w:eastAsiaTheme="minorEastAsia"/>
          <w:color w:val="auto"/>
          <w:highlight w:val="none"/>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976"/>
        <w:gridCol w:w="1701"/>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83"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序号</w:t>
            </w:r>
          </w:p>
        </w:tc>
        <w:tc>
          <w:tcPr>
            <w:tcW w:w="2976"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产品名称（设备名称）</w:t>
            </w:r>
          </w:p>
        </w:tc>
        <w:tc>
          <w:tcPr>
            <w:tcW w:w="1701"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数量/单位</w:t>
            </w:r>
          </w:p>
        </w:tc>
        <w:tc>
          <w:tcPr>
            <w:tcW w:w="2814"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483" w:type="dxa"/>
            <w:vAlign w:val="center"/>
          </w:tcPr>
          <w:p>
            <w:pPr>
              <w:pStyle w:val="51"/>
              <w:widowControl w:val="0"/>
              <w:spacing w:before="0" w:beforeAutospacing="0" w:after="0" w:afterAutospacing="0"/>
              <w:jc w:val="center"/>
              <w:outlineLvl w:val="0"/>
              <w:rPr>
                <w:rFonts w:asciiTheme="minorEastAsia" w:hAnsiTheme="minorEastAsia" w:eastAsiaTheme="minorEastAsia"/>
                <w:color w:val="auto"/>
                <w:sz w:val="21"/>
                <w:szCs w:val="21"/>
                <w:highlight w:val="none"/>
              </w:rPr>
            </w:pPr>
            <w:r>
              <w:rPr>
                <w:rFonts w:ascii="Times New Roman" w:hAnsi="Times New Roman" w:cs="宋体"/>
                <w:color w:val="auto"/>
                <w:kern w:val="2"/>
                <w:szCs w:val="24"/>
                <w:highlight w:val="none"/>
                <w:lang w:bidi="ar"/>
              </w:rPr>
              <w:t>1</w:t>
            </w:r>
          </w:p>
        </w:tc>
        <w:tc>
          <w:tcPr>
            <w:tcW w:w="2976" w:type="dxa"/>
            <w:vAlign w:val="center"/>
          </w:tcPr>
          <w:p>
            <w:pPr>
              <w:widowControl/>
              <w:jc w:val="center"/>
              <w:rPr>
                <w:rFonts w:asciiTheme="minorEastAsia" w:hAnsiTheme="minorEastAsia" w:eastAsiaTheme="minorEastAsia"/>
                <w:color w:val="auto"/>
                <w:kern w:val="0"/>
                <w:sz w:val="21"/>
                <w:szCs w:val="21"/>
                <w:highlight w:val="none"/>
              </w:rPr>
            </w:pPr>
            <w:r>
              <w:rPr>
                <w:rFonts w:hint="eastAsia" w:cs="宋体"/>
                <w:color w:val="auto"/>
                <w:sz w:val="24"/>
                <w:szCs w:val="24"/>
                <w:highlight w:val="none"/>
                <w:lang w:bidi="ar"/>
              </w:rPr>
              <w:t>解剖医学插图课程服务</w:t>
            </w:r>
          </w:p>
        </w:tc>
        <w:tc>
          <w:tcPr>
            <w:tcW w:w="1701" w:type="dxa"/>
            <w:vAlign w:val="center"/>
          </w:tcPr>
          <w:p>
            <w:pPr>
              <w:widowControl/>
              <w:jc w:val="center"/>
              <w:rPr>
                <w:rFonts w:cs="宋体" w:asciiTheme="minorEastAsia" w:hAnsiTheme="minorEastAsia" w:eastAsiaTheme="minorEastAsia"/>
                <w:color w:val="auto"/>
                <w:sz w:val="21"/>
                <w:szCs w:val="21"/>
                <w:highlight w:val="none"/>
              </w:rPr>
            </w:pPr>
            <w:r>
              <w:rPr>
                <w:rFonts w:cs="宋体"/>
                <w:color w:val="auto"/>
                <w:sz w:val="24"/>
                <w:szCs w:val="24"/>
                <w:highlight w:val="none"/>
                <w:lang w:bidi="ar"/>
              </w:rPr>
              <w:t>1</w:t>
            </w:r>
            <w:r>
              <w:rPr>
                <w:rFonts w:hint="eastAsia" w:cs="宋体"/>
                <w:color w:val="auto"/>
                <w:sz w:val="24"/>
                <w:szCs w:val="24"/>
                <w:highlight w:val="none"/>
                <w:lang w:bidi="ar"/>
              </w:rPr>
              <w:t>门</w:t>
            </w:r>
          </w:p>
        </w:tc>
        <w:tc>
          <w:tcPr>
            <w:tcW w:w="2814" w:type="dxa"/>
            <w:vAlign w:val="center"/>
          </w:tcPr>
          <w:p>
            <w:pPr>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第一期课程包括心脏解剖标本观察、绘制准确心脏并进行文字标注达到信息传达目的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483" w:type="dxa"/>
            <w:vAlign w:val="center"/>
          </w:tcPr>
          <w:p>
            <w:pPr>
              <w:pStyle w:val="51"/>
              <w:widowControl w:val="0"/>
              <w:spacing w:before="0" w:beforeAutospacing="0" w:after="0" w:afterAutospacing="0"/>
              <w:jc w:val="center"/>
              <w:outlineLvl w:val="0"/>
              <w:rPr>
                <w:rFonts w:cs="宋体" w:asciiTheme="minorEastAsia" w:hAnsiTheme="minorEastAsia" w:eastAsiaTheme="minorEastAsia"/>
                <w:color w:val="auto"/>
                <w:sz w:val="21"/>
                <w:szCs w:val="21"/>
                <w:highlight w:val="none"/>
                <w:lang w:bidi="ar"/>
              </w:rPr>
            </w:pPr>
            <w:bookmarkStart w:id="30" w:name="_Toc19108350"/>
            <w:bookmarkStart w:id="31" w:name="_Hlk49085370"/>
            <w:bookmarkStart w:id="32" w:name="_Toc105060890"/>
            <w:r>
              <w:rPr>
                <w:rFonts w:ascii="Times New Roman" w:hAnsi="Times New Roman" w:cs="宋体"/>
                <w:color w:val="auto"/>
                <w:kern w:val="2"/>
                <w:szCs w:val="24"/>
                <w:highlight w:val="none"/>
                <w:lang w:bidi="ar"/>
              </w:rPr>
              <w:t>2</w:t>
            </w:r>
          </w:p>
        </w:tc>
        <w:tc>
          <w:tcPr>
            <w:tcW w:w="2976" w:type="dxa"/>
            <w:vAlign w:val="center"/>
          </w:tcPr>
          <w:p>
            <w:pPr>
              <w:widowControl/>
              <w:jc w:val="center"/>
              <w:rPr>
                <w:rFonts w:asciiTheme="minorEastAsia" w:hAnsiTheme="minorEastAsia" w:eastAsiaTheme="minorEastAsia"/>
                <w:color w:val="auto"/>
                <w:sz w:val="21"/>
                <w:szCs w:val="21"/>
                <w:highlight w:val="none"/>
              </w:rPr>
            </w:pPr>
            <w:r>
              <w:rPr>
                <w:rFonts w:hint="eastAsia" w:cs="宋体"/>
                <w:color w:val="auto"/>
                <w:sz w:val="24"/>
                <w:szCs w:val="24"/>
                <w:highlight w:val="none"/>
                <w:lang w:bidi="ar"/>
              </w:rPr>
              <w:t>科研制图课程服务</w:t>
            </w:r>
          </w:p>
        </w:tc>
        <w:tc>
          <w:tcPr>
            <w:tcW w:w="1701" w:type="dxa"/>
            <w:vAlign w:val="center"/>
          </w:tcPr>
          <w:p>
            <w:pPr>
              <w:widowControl/>
              <w:jc w:val="center"/>
              <w:rPr>
                <w:rFonts w:cs="宋体" w:asciiTheme="minorEastAsia" w:hAnsiTheme="minorEastAsia" w:eastAsiaTheme="minorEastAsia"/>
                <w:color w:val="auto"/>
                <w:sz w:val="21"/>
                <w:szCs w:val="21"/>
                <w:highlight w:val="none"/>
              </w:rPr>
            </w:pPr>
            <w:r>
              <w:rPr>
                <w:rFonts w:cs="宋体"/>
                <w:color w:val="auto"/>
                <w:sz w:val="24"/>
                <w:szCs w:val="24"/>
                <w:highlight w:val="none"/>
                <w:lang w:bidi="ar"/>
              </w:rPr>
              <w:t>1</w:t>
            </w:r>
            <w:r>
              <w:rPr>
                <w:rFonts w:hint="eastAsia" w:cs="宋体"/>
                <w:color w:val="auto"/>
                <w:sz w:val="24"/>
                <w:szCs w:val="24"/>
                <w:highlight w:val="none"/>
                <w:lang w:bidi="ar"/>
              </w:rPr>
              <w:t>门</w:t>
            </w:r>
          </w:p>
        </w:tc>
        <w:tc>
          <w:tcPr>
            <w:tcW w:w="2814" w:type="dxa"/>
            <w:vAlign w:val="center"/>
          </w:tcPr>
          <w:p>
            <w:pPr>
              <w:widowControl/>
              <w:jc w:val="center"/>
              <w:rPr>
                <w:rFonts w:asciiTheme="minorEastAsia" w:hAnsiTheme="minorEastAsia" w:eastAsiaTheme="minorEastAsia"/>
                <w:bCs/>
                <w:color w:val="auto"/>
                <w:sz w:val="21"/>
                <w:szCs w:val="21"/>
                <w:highlight w:val="none"/>
              </w:rPr>
            </w:pPr>
            <w:r>
              <w:rPr>
                <w:rFonts w:hint="eastAsia" w:cs="宋体" w:asciiTheme="minorEastAsia" w:hAnsiTheme="minorEastAsia" w:eastAsiaTheme="minorEastAsia"/>
                <w:color w:val="auto"/>
                <w:sz w:val="21"/>
                <w:szCs w:val="21"/>
                <w:highlight w:val="none"/>
              </w:rPr>
              <w:t>第一期课程包括心肌细胞电镜标本观察、绘制准确心肌细胞并进行文字标注达到信息传达目的</w:t>
            </w:r>
          </w:p>
        </w:tc>
      </w:tr>
      <w:bookmarkEnd w:id="30"/>
      <w:bookmarkEnd w:id="31"/>
      <w:bookmarkEnd w:id="32"/>
    </w:tbl>
    <w:p>
      <w:pPr>
        <w:pStyle w:val="4"/>
        <w:widowControl/>
        <w:spacing w:before="0" w:after="0" w:line="560" w:lineRule="exact"/>
        <w:ind w:firstLine="420" w:firstLineChars="150"/>
        <w:rPr>
          <w:rFonts w:ascii="方正仿宋_GBK" w:eastAsia="方正仿宋_GBK" w:cs="方正仿宋_GBK"/>
          <w:b w:val="0"/>
          <w:color w:val="auto"/>
          <w:sz w:val="28"/>
          <w:szCs w:val="28"/>
          <w:highlight w:val="none"/>
        </w:rPr>
      </w:pPr>
      <w:bookmarkStart w:id="33" w:name="_Toc2387"/>
      <w:bookmarkStart w:id="34" w:name="_Toc4040"/>
      <w:bookmarkStart w:id="35" w:name="_Toc105060951"/>
      <w:r>
        <w:rPr>
          <w:rFonts w:hint="eastAsia" w:ascii="方正仿宋_GBK" w:eastAsia="方正仿宋_GBK" w:cs="方正仿宋_GBK"/>
          <w:b w:val="0"/>
          <w:color w:val="auto"/>
          <w:sz w:val="28"/>
          <w:szCs w:val="28"/>
          <w:highlight w:val="none"/>
        </w:rPr>
        <w:t>二、项目内容（必须包含但不限于以下内容）</w:t>
      </w:r>
      <w:bookmarkEnd w:id="33"/>
      <w:bookmarkEnd w:id="34"/>
      <w:bookmarkEnd w:id="35"/>
    </w:p>
    <w:tbl>
      <w:tblPr>
        <w:tblStyle w:val="58"/>
        <w:tblW w:w="4600" w:type="pct"/>
        <w:tblInd w:w="392" w:type="dxa"/>
        <w:tblLayout w:type="fixed"/>
        <w:tblCellMar>
          <w:top w:w="0" w:type="dxa"/>
          <w:left w:w="108" w:type="dxa"/>
          <w:bottom w:w="0" w:type="dxa"/>
          <w:right w:w="108" w:type="dxa"/>
        </w:tblCellMar>
      </w:tblPr>
      <w:tblGrid>
        <w:gridCol w:w="1685"/>
        <w:gridCol w:w="2250"/>
        <w:gridCol w:w="4923"/>
      </w:tblGrid>
      <w:tr>
        <w:tblPrEx>
          <w:tblCellMar>
            <w:top w:w="0" w:type="dxa"/>
            <w:left w:w="108" w:type="dxa"/>
            <w:bottom w:w="0" w:type="dxa"/>
            <w:right w:w="108" w:type="dxa"/>
          </w:tblCellMar>
        </w:tblPrEx>
        <w:trPr>
          <w:trHeight w:val="320" w:hRule="atLeast"/>
        </w:trPr>
        <w:tc>
          <w:tcPr>
            <w:tcW w:w="95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方正仿宋_GBK"/>
                <w:b/>
                <w:color w:val="auto"/>
                <w:sz w:val="21"/>
                <w:szCs w:val="21"/>
                <w:highlight w:val="none"/>
              </w:rPr>
            </w:pPr>
            <w:r>
              <w:rPr>
                <w:rFonts w:hint="eastAsia" w:eastAsia="方正仿宋_GBK" w:cs="方正仿宋_GBK"/>
                <w:b/>
                <w:color w:val="auto"/>
                <w:sz w:val="21"/>
                <w:szCs w:val="21"/>
                <w:highlight w:val="none"/>
              </w:rPr>
              <w:t>项目</w:t>
            </w:r>
          </w:p>
        </w:tc>
        <w:tc>
          <w:tcPr>
            <w:tcW w:w="1270"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方正仿宋_GBK"/>
                <w:b/>
                <w:color w:val="auto"/>
                <w:sz w:val="21"/>
                <w:szCs w:val="21"/>
                <w:highlight w:val="none"/>
              </w:rPr>
            </w:pPr>
            <w:r>
              <w:rPr>
                <w:rFonts w:hint="eastAsia" w:eastAsia="方正仿宋_GBK" w:cs="方正仿宋_GBK"/>
                <w:b/>
                <w:color w:val="auto"/>
                <w:sz w:val="21"/>
                <w:szCs w:val="21"/>
                <w:highlight w:val="none"/>
              </w:rPr>
              <w:t>分项</w:t>
            </w:r>
          </w:p>
        </w:tc>
        <w:tc>
          <w:tcPr>
            <w:tcW w:w="2778"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方正仿宋_GBK"/>
                <w:b/>
                <w:color w:val="auto"/>
                <w:sz w:val="21"/>
                <w:szCs w:val="21"/>
                <w:highlight w:val="none"/>
              </w:rPr>
            </w:pPr>
            <w:r>
              <w:rPr>
                <w:rFonts w:hint="eastAsia" w:eastAsia="方正仿宋_GBK" w:cs="方正仿宋_GBK"/>
                <w:b/>
                <w:color w:val="auto"/>
                <w:sz w:val="21"/>
                <w:szCs w:val="21"/>
                <w:highlight w:val="none"/>
              </w:rPr>
              <w:t>子项</w:t>
            </w:r>
          </w:p>
        </w:tc>
      </w:tr>
      <w:tr>
        <w:tblPrEx>
          <w:tblCellMar>
            <w:top w:w="0" w:type="dxa"/>
            <w:left w:w="108" w:type="dxa"/>
            <w:bottom w:w="0" w:type="dxa"/>
            <w:right w:w="108" w:type="dxa"/>
          </w:tblCellMar>
        </w:tblPrEx>
        <w:trPr>
          <w:trHeight w:val="763" w:hRule="atLeast"/>
        </w:trPr>
        <w:tc>
          <w:tcPr>
            <w:tcW w:w="951" w:type="pct"/>
            <w:vMerge w:val="restart"/>
            <w:tcBorders>
              <w:top w:val="nil"/>
              <w:left w:val="single" w:color="auto" w:sz="4" w:space="0"/>
              <w:bottom w:val="single" w:color="auto" w:sz="4" w:space="0"/>
              <w:right w:val="single" w:color="auto" w:sz="4" w:space="0"/>
            </w:tcBorders>
            <w:shd w:val="clear" w:color="auto" w:fill="auto"/>
            <w:vAlign w:val="center"/>
          </w:tcPr>
          <w:p>
            <w:pPr>
              <w:pStyle w:val="51"/>
              <w:widowControl w:val="0"/>
              <w:adjustRightInd w:val="0"/>
              <w:snapToGrid w:val="0"/>
              <w:spacing w:before="0" w:beforeAutospacing="0" w:after="0" w:afterAutospacing="0"/>
              <w:jc w:val="center"/>
              <w:outlineLvl w:val="0"/>
              <w:rPr>
                <w:rFonts w:cs="宋体"/>
                <w:color w:val="auto"/>
                <w:szCs w:val="24"/>
                <w:highlight w:val="none"/>
                <w:lang w:bidi="ar"/>
              </w:rPr>
            </w:pPr>
            <w:r>
              <w:rPr>
                <w:rFonts w:hint="eastAsia" w:cs="宋体"/>
                <w:color w:val="auto"/>
                <w:szCs w:val="24"/>
                <w:highlight w:val="none"/>
                <w:lang w:bidi="ar"/>
              </w:rPr>
              <w:t>解剖插图</w:t>
            </w:r>
          </w:p>
          <w:p>
            <w:pPr>
              <w:pStyle w:val="51"/>
              <w:widowControl w:val="0"/>
              <w:adjustRightInd w:val="0"/>
              <w:snapToGrid w:val="0"/>
              <w:spacing w:before="0" w:beforeAutospacing="0" w:after="0" w:afterAutospacing="0"/>
              <w:jc w:val="center"/>
              <w:outlineLvl w:val="0"/>
              <w:rPr>
                <w:rFonts w:cs="宋体"/>
                <w:color w:val="auto"/>
                <w:sz w:val="21"/>
                <w:szCs w:val="21"/>
                <w:highlight w:val="none"/>
              </w:rPr>
            </w:pPr>
            <w:r>
              <w:rPr>
                <w:rFonts w:hint="eastAsia" w:ascii="Times New Roman" w:hAnsi="Times New Roman" w:cs="宋体"/>
                <w:color w:val="auto"/>
                <w:kern w:val="2"/>
                <w:szCs w:val="24"/>
                <w:highlight w:val="none"/>
                <w:lang w:bidi="ar"/>
              </w:rPr>
              <w:t>课程服务</w:t>
            </w:r>
          </w:p>
        </w:tc>
        <w:tc>
          <w:tcPr>
            <w:tcW w:w="1270"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rFonts w:hint="eastAsia" w:cs="宋体"/>
                <w:color w:val="auto"/>
                <w:sz w:val="21"/>
                <w:szCs w:val="21"/>
                <w:highlight w:val="none"/>
              </w:rPr>
            </w:pPr>
            <w:r>
              <w:rPr>
                <w:rFonts w:hint="eastAsia" w:ascii="Times New Roman" w:hAnsi="Times New Roman" w:cs="宋体"/>
                <w:color w:val="auto"/>
                <w:sz w:val="21"/>
                <w:szCs w:val="21"/>
                <w:highlight w:val="none"/>
              </w:rPr>
              <w:t>课程独立课程页</w:t>
            </w:r>
          </w:p>
        </w:tc>
        <w:tc>
          <w:tcPr>
            <w:tcW w:w="2778"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rFonts w:cs="宋体"/>
                <w:color w:val="auto"/>
                <w:sz w:val="21"/>
                <w:szCs w:val="21"/>
                <w:highlight w:val="none"/>
              </w:rPr>
            </w:pPr>
            <w:r>
              <w:rPr>
                <w:rFonts w:hint="eastAsia" w:ascii="Times New Roman" w:hAnsi="Times New Roman" w:cs="宋体"/>
                <w:color w:val="auto"/>
                <w:sz w:val="21"/>
                <w:szCs w:val="21"/>
                <w:highlight w:val="none"/>
              </w:rPr>
              <w:t>项目介绍、师资介绍、考核要求、优秀案例展示、学习记录等</w:t>
            </w:r>
          </w:p>
        </w:tc>
      </w:tr>
      <w:tr>
        <w:tblPrEx>
          <w:tblCellMar>
            <w:top w:w="0" w:type="dxa"/>
            <w:left w:w="108" w:type="dxa"/>
            <w:bottom w:w="0" w:type="dxa"/>
            <w:right w:w="108" w:type="dxa"/>
          </w:tblCellMar>
        </w:tblPrEx>
        <w:trPr>
          <w:trHeight w:val="1790" w:hRule="atLeast"/>
        </w:trPr>
        <w:tc>
          <w:tcPr>
            <w:tcW w:w="951" w:type="pct"/>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highlight w:val="none"/>
              </w:rPr>
            </w:pPr>
          </w:p>
        </w:tc>
        <w:tc>
          <w:tcPr>
            <w:tcW w:w="1270" w:type="pct"/>
            <w:tcBorders>
              <w:top w:val="nil"/>
              <w:left w:val="single" w:color="auto" w:sz="4" w:space="0"/>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rFonts w:cs="宋体"/>
                <w:color w:val="auto"/>
                <w:sz w:val="21"/>
                <w:szCs w:val="21"/>
                <w:highlight w:val="none"/>
              </w:rPr>
            </w:pPr>
            <w:r>
              <w:rPr>
                <w:rFonts w:hint="eastAsia" w:cs="宋体"/>
                <w:color w:val="auto"/>
                <w:szCs w:val="24"/>
                <w:highlight w:val="none"/>
              </w:rPr>
              <w:t>★</w:t>
            </w:r>
            <w:r>
              <w:rPr>
                <w:rFonts w:hint="eastAsia" w:ascii="Times New Roman" w:hAnsi="Times New Roman" w:cs="宋体"/>
                <w:color w:val="auto"/>
                <w:sz w:val="21"/>
                <w:szCs w:val="21"/>
                <w:highlight w:val="none"/>
              </w:rPr>
              <w:t>课程资源库</w:t>
            </w:r>
          </w:p>
        </w:tc>
        <w:tc>
          <w:tcPr>
            <w:tcW w:w="2778" w:type="pct"/>
            <w:tcBorders>
              <w:top w:val="nil"/>
              <w:left w:val="nil"/>
              <w:bottom w:val="single" w:color="auto" w:sz="4" w:space="0"/>
              <w:right w:val="single" w:color="auto" w:sz="4" w:space="0"/>
            </w:tcBorders>
            <w:shd w:val="clear" w:color="auto" w:fill="auto"/>
            <w:noWrap/>
            <w:vAlign w:val="center"/>
          </w:tcPr>
          <w:p>
            <w:pPr>
              <w:rPr>
                <w:color w:val="auto"/>
                <w:sz w:val="21"/>
                <w:szCs w:val="21"/>
                <w:highlight w:val="none"/>
              </w:rPr>
            </w:pPr>
            <w:r>
              <w:rPr>
                <w:rFonts w:hint="eastAsia" w:cs="宋体"/>
                <w:color w:val="auto"/>
                <w:sz w:val="21"/>
                <w:szCs w:val="21"/>
                <w:highlight w:val="none"/>
              </w:rPr>
              <w:t>方便校内学生随时加入学习更多感兴趣医学可视化课程，且资源库随时添加更新资源，不限制医学可视化资源门数；且</w:t>
            </w:r>
            <w:r>
              <w:rPr>
                <w:rFonts w:hint="eastAsia" w:cs="宋体"/>
                <w:color w:val="auto"/>
                <w:sz w:val="21"/>
                <w:szCs w:val="21"/>
                <w:highlight w:val="none"/>
                <w:lang w:bidi="ar"/>
              </w:rPr>
              <w:t>平台具有一定量的在线视频课程资源，方便后续课程资源与指定在线课程平台完成在线视频课程结合功能，深度融合在线视频课程和医学可视化资源课程</w:t>
            </w:r>
          </w:p>
        </w:tc>
      </w:tr>
      <w:tr>
        <w:tblPrEx>
          <w:tblCellMar>
            <w:top w:w="0" w:type="dxa"/>
            <w:left w:w="108" w:type="dxa"/>
            <w:bottom w:w="0" w:type="dxa"/>
            <w:right w:w="108" w:type="dxa"/>
          </w:tblCellMar>
        </w:tblPrEx>
        <w:trPr>
          <w:trHeight w:val="1754" w:hRule="atLeast"/>
        </w:trPr>
        <w:tc>
          <w:tcPr>
            <w:tcW w:w="951" w:type="pct"/>
            <w:vMerge w:val="continue"/>
            <w:tcBorders>
              <w:top w:val="nil"/>
              <w:left w:val="single" w:color="auto" w:sz="4" w:space="0"/>
              <w:bottom w:val="single" w:color="auto" w:sz="4" w:space="0"/>
              <w:right w:val="single" w:color="auto" w:sz="4" w:space="0"/>
            </w:tcBorders>
            <w:shd w:val="clear" w:color="auto" w:fill="auto"/>
            <w:vAlign w:val="center"/>
          </w:tcPr>
          <w:p>
            <w:pPr>
              <w:rPr>
                <w:color w:val="auto"/>
                <w:sz w:val="20"/>
                <w:highlight w:val="none"/>
              </w:rPr>
            </w:pPr>
          </w:p>
        </w:tc>
        <w:tc>
          <w:tcPr>
            <w:tcW w:w="1270" w:type="pct"/>
            <w:tcBorders>
              <w:top w:val="nil"/>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rFonts w:cs="宋体"/>
                <w:color w:val="auto"/>
                <w:sz w:val="21"/>
                <w:szCs w:val="21"/>
                <w:highlight w:val="none"/>
              </w:rPr>
            </w:pPr>
            <w:r>
              <w:rPr>
                <w:rFonts w:hint="eastAsia" w:ascii="Times New Roman" w:hAnsi="Times New Roman" w:cs="宋体"/>
                <w:color w:val="auto"/>
                <w:sz w:val="21"/>
                <w:szCs w:val="21"/>
                <w:highlight w:val="none"/>
              </w:rPr>
              <w:t>心脏插画的绘制</w:t>
            </w:r>
          </w:p>
        </w:tc>
        <w:tc>
          <w:tcPr>
            <w:tcW w:w="2778" w:type="pct"/>
            <w:tcBorders>
              <w:top w:val="nil"/>
              <w:left w:val="nil"/>
              <w:bottom w:val="single" w:color="auto" w:sz="4" w:space="0"/>
              <w:right w:val="single" w:color="auto" w:sz="4" w:space="0"/>
            </w:tcBorders>
            <w:shd w:val="clear" w:color="auto" w:fill="auto"/>
            <w:noWrap/>
            <w:vAlign w:val="center"/>
          </w:tcPr>
          <w:p>
            <w:pPr>
              <w:pStyle w:val="50"/>
              <w:adjustRightInd w:val="0"/>
              <w:snapToGrid w:val="0"/>
              <w:jc w:val="center"/>
              <w:rPr>
                <w:rFonts w:hint="eastAsia"/>
                <w:color w:val="auto"/>
                <w:sz w:val="21"/>
                <w:szCs w:val="21"/>
                <w:highlight w:val="none"/>
              </w:rPr>
            </w:pPr>
            <w:r>
              <w:rPr>
                <w:rFonts w:hint="eastAsia"/>
                <w:color w:val="auto"/>
                <w:sz w:val="21"/>
                <w:szCs w:val="21"/>
                <w:highlight w:val="none"/>
              </w:rPr>
              <w:t>传授学生辨认一手和二手参考资料能力，通过观察校内提供的人体解剖标本、结合教授专业课上对心脏的讲解、教科书上的信息与网络检索搜集的资料。传授数字化绘图软件技术，精准绘制心脏插图，表现心脏正面观外部结构，并进行文字标注，达到信息传达目的</w:t>
            </w:r>
          </w:p>
        </w:tc>
      </w:tr>
      <w:tr>
        <w:tblPrEx>
          <w:tblCellMar>
            <w:top w:w="0" w:type="dxa"/>
            <w:left w:w="108" w:type="dxa"/>
            <w:bottom w:w="0" w:type="dxa"/>
            <w:right w:w="108" w:type="dxa"/>
          </w:tblCellMar>
        </w:tblPrEx>
        <w:trPr>
          <w:trHeight w:val="678" w:hRule="atLeast"/>
        </w:trPr>
        <w:tc>
          <w:tcPr>
            <w:tcW w:w="9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51"/>
              <w:widowControl w:val="0"/>
              <w:adjustRightInd w:val="0"/>
              <w:snapToGrid w:val="0"/>
              <w:spacing w:before="0" w:beforeAutospacing="0" w:after="0" w:afterAutospacing="0"/>
              <w:jc w:val="center"/>
              <w:outlineLvl w:val="0"/>
              <w:rPr>
                <w:rFonts w:cs="宋体"/>
                <w:color w:val="auto"/>
                <w:szCs w:val="24"/>
                <w:highlight w:val="none"/>
                <w:lang w:bidi="ar"/>
              </w:rPr>
            </w:pPr>
            <w:r>
              <w:rPr>
                <w:rFonts w:hint="eastAsia" w:cs="宋体"/>
                <w:color w:val="auto"/>
                <w:szCs w:val="24"/>
                <w:highlight w:val="none"/>
                <w:lang w:bidi="ar"/>
              </w:rPr>
              <w:t>科研制图</w:t>
            </w:r>
          </w:p>
          <w:p>
            <w:pPr>
              <w:pStyle w:val="51"/>
              <w:widowControl w:val="0"/>
              <w:adjustRightInd w:val="0"/>
              <w:snapToGrid w:val="0"/>
              <w:spacing w:before="0" w:beforeAutospacing="0" w:after="0" w:afterAutospacing="0"/>
              <w:jc w:val="center"/>
              <w:outlineLvl w:val="0"/>
              <w:rPr>
                <w:rFonts w:hint="eastAsia" w:cs="宋体"/>
                <w:color w:val="auto"/>
                <w:sz w:val="21"/>
                <w:szCs w:val="21"/>
                <w:highlight w:val="none"/>
              </w:rPr>
            </w:pPr>
            <w:r>
              <w:rPr>
                <w:rFonts w:hint="eastAsia" w:ascii="Times New Roman" w:hAnsi="Times New Roman" w:cs="宋体"/>
                <w:color w:val="auto"/>
                <w:kern w:val="2"/>
                <w:szCs w:val="24"/>
                <w:highlight w:val="none"/>
                <w:lang w:bidi="ar"/>
              </w:rPr>
              <w:t>课程服务</w:t>
            </w:r>
          </w:p>
        </w:tc>
        <w:tc>
          <w:tcPr>
            <w:tcW w:w="1270"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rFonts w:hint="eastAsia" w:ascii="Times New Roman" w:hAnsi="Times New Roman" w:cs="宋体"/>
                <w:color w:val="auto"/>
                <w:sz w:val="21"/>
                <w:szCs w:val="21"/>
                <w:highlight w:val="none"/>
              </w:rPr>
            </w:pPr>
            <w:r>
              <w:rPr>
                <w:rFonts w:hint="eastAsia" w:ascii="Times New Roman" w:hAnsi="Times New Roman" w:cs="宋体"/>
                <w:color w:val="auto"/>
                <w:sz w:val="21"/>
                <w:szCs w:val="21"/>
                <w:highlight w:val="none"/>
              </w:rPr>
              <w:t>课程独立课程页</w:t>
            </w:r>
          </w:p>
        </w:tc>
        <w:tc>
          <w:tcPr>
            <w:tcW w:w="2778"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rFonts w:cs="宋体"/>
                <w:color w:val="auto"/>
                <w:sz w:val="21"/>
                <w:szCs w:val="21"/>
                <w:highlight w:val="none"/>
              </w:rPr>
            </w:pPr>
            <w:r>
              <w:rPr>
                <w:rFonts w:hint="eastAsia" w:ascii="Times New Roman" w:hAnsi="Times New Roman" w:cs="宋体"/>
                <w:color w:val="auto"/>
                <w:sz w:val="21"/>
                <w:szCs w:val="21"/>
                <w:highlight w:val="none"/>
              </w:rPr>
              <w:t>项目介绍、师资介绍、考核要求、优秀案例展示、学习记录等</w:t>
            </w:r>
          </w:p>
        </w:tc>
      </w:tr>
      <w:tr>
        <w:tblPrEx>
          <w:tblCellMar>
            <w:top w:w="0" w:type="dxa"/>
            <w:left w:w="108" w:type="dxa"/>
            <w:bottom w:w="0" w:type="dxa"/>
            <w:right w:w="108" w:type="dxa"/>
          </w:tblCellMar>
        </w:tblPrEx>
        <w:trPr>
          <w:trHeight w:val="1732" w:hRule="atLeast"/>
        </w:trPr>
        <w:tc>
          <w:tcPr>
            <w:tcW w:w="9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highlight w:val="none"/>
              </w:rPr>
            </w:pPr>
          </w:p>
        </w:tc>
        <w:tc>
          <w:tcPr>
            <w:tcW w:w="1270"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rFonts w:cs="宋体"/>
                <w:color w:val="auto"/>
                <w:sz w:val="21"/>
                <w:szCs w:val="21"/>
                <w:highlight w:val="none"/>
              </w:rPr>
            </w:pPr>
            <w:r>
              <w:rPr>
                <w:rFonts w:hint="eastAsia" w:cs="宋体"/>
                <w:color w:val="auto"/>
                <w:szCs w:val="24"/>
                <w:highlight w:val="none"/>
              </w:rPr>
              <w:t>★</w:t>
            </w:r>
            <w:r>
              <w:rPr>
                <w:rFonts w:hint="eastAsia" w:ascii="Times New Roman" w:hAnsi="Times New Roman" w:cs="宋体"/>
                <w:color w:val="auto"/>
                <w:sz w:val="21"/>
                <w:szCs w:val="21"/>
                <w:highlight w:val="none"/>
              </w:rPr>
              <w:t>课程资源库</w:t>
            </w:r>
          </w:p>
        </w:tc>
        <w:tc>
          <w:tcPr>
            <w:tcW w:w="2778" w:type="pct"/>
            <w:tcBorders>
              <w:top w:val="single" w:color="auto" w:sz="4" w:space="0"/>
              <w:left w:val="nil"/>
              <w:bottom w:val="single" w:color="auto" w:sz="4" w:space="0"/>
              <w:right w:val="single" w:color="auto" w:sz="4" w:space="0"/>
            </w:tcBorders>
            <w:shd w:val="clear" w:color="auto" w:fill="auto"/>
            <w:noWrap/>
            <w:vAlign w:val="center"/>
          </w:tcPr>
          <w:p>
            <w:pPr>
              <w:rPr>
                <w:color w:val="auto"/>
                <w:sz w:val="21"/>
                <w:szCs w:val="21"/>
                <w:highlight w:val="none"/>
              </w:rPr>
            </w:pPr>
            <w:r>
              <w:rPr>
                <w:rFonts w:hint="eastAsia" w:cs="宋体"/>
                <w:color w:val="auto"/>
                <w:sz w:val="21"/>
                <w:szCs w:val="21"/>
                <w:highlight w:val="none"/>
              </w:rPr>
              <w:t>方便校内学生随时加入学习更多感兴趣医学可视化课程，且资源库随时添加更新资源，不限制医学可视化资源门数；且</w:t>
            </w:r>
            <w:r>
              <w:rPr>
                <w:rFonts w:hint="eastAsia" w:cs="宋体"/>
                <w:color w:val="auto"/>
                <w:sz w:val="21"/>
                <w:szCs w:val="21"/>
                <w:highlight w:val="none"/>
                <w:lang w:bidi="ar"/>
              </w:rPr>
              <w:t>平台具有一定量的在线视频课程资源，方便后续课程资源与指定在线课程平台完成在线视频课程结合功能，深度融合在线视频课程和医学可视化资源课程</w:t>
            </w:r>
          </w:p>
        </w:tc>
      </w:tr>
      <w:tr>
        <w:tblPrEx>
          <w:tblCellMar>
            <w:top w:w="0" w:type="dxa"/>
            <w:left w:w="108" w:type="dxa"/>
            <w:bottom w:w="0" w:type="dxa"/>
            <w:right w:w="108" w:type="dxa"/>
          </w:tblCellMar>
        </w:tblPrEx>
        <w:trPr>
          <w:trHeight w:val="1958" w:hRule="atLeast"/>
        </w:trPr>
        <w:tc>
          <w:tcPr>
            <w:tcW w:w="9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color w:val="auto"/>
                <w:sz w:val="20"/>
                <w:highlight w:val="none"/>
              </w:rPr>
            </w:pPr>
          </w:p>
        </w:tc>
        <w:tc>
          <w:tcPr>
            <w:tcW w:w="1270" w:type="pct"/>
            <w:tcBorders>
              <w:top w:val="single" w:color="auto" w:sz="4" w:space="0"/>
              <w:left w:val="nil"/>
              <w:bottom w:val="single" w:color="auto" w:sz="4" w:space="0"/>
              <w:right w:val="single" w:color="auto" w:sz="4" w:space="0"/>
            </w:tcBorders>
            <w:shd w:val="clear" w:color="auto" w:fill="auto"/>
            <w:noWrap/>
            <w:vAlign w:val="center"/>
          </w:tcPr>
          <w:p>
            <w:pPr>
              <w:pStyle w:val="51"/>
              <w:widowControl w:val="0"/>
              <w:adjustRightInd w:val="0"/>
              <w:snapToGrid w:val="0"/>
              <w:spacing w:before="0" w:beforeAutospacing="0" w:after="0" w:afterAutospacing="0"/>
              <w:jc w:val="center"/>
              <w:outlineLvl w:val="0"/>
              <w:rPr>
                <w:color w:val="auto"/>
                <w:sz w:val="21"/>
                <w:szCs w:val="21"/>
                <w:highlight w:val="none"/>
              </w:rPr>
            </w:pPr>
            <w:r>
              <w:rPr>
                <w:rFonts w:hint="eastAsia" w:ascii="Times New Roman" w:hAnsi="Times New Roman" w:cs="宋体"/>
                <w:color w:val="auto"/>
                <w:sz w:val="21"/>
                <w:szCs w:val="21"/>
                <w:highlight w:val="none"/>
              </w:rPr>
              <w:t>心肌细胞插画的绘制</w:t>
            </w:r>
          </w:p>
        </w:tc>
        <w:tc>
          <w:tcPr>
            <w:tcW w:w="2778" w:type="pct"/>
            <w:tcBorders>
              <w:top w:val="single" w:color="auto" w:sz="4" w:space="0"/>
              <w:left w:val="nil"/>
              <w:bottom w:val="single" w:color="auto" w:sz="4" w:space="0"/>
              <w:right w:val="single" w:color="auto" w:sz="4" w:space="0"/>
            </w:tcBorders>
            <w:shd w:val="clear" w:color="auto" w:fill="auto"/>
            <w:noWrap/>
            <w:vAlign w:val="center"/>
          </w:tcPr>
          <w:p>
            <w:pPr>
              <w:rPr>
                <w:color w:val="auto"/>
                <w:sz w:val="21"/>
                <w:szCs w:val="21"/>
                <w:highlight w:val="none"/>
              </w:rPr>
            </w:pPr>
            <w:r>
              <w:rPr>
                <w:rFonts w:hint="eastAsia"/>
                <w:color w:val="auto"/>
                <w:sz w:val="21"/>
                <w:szCs w:val="21"/>
                <w:highlight w:val="none"/>
              </w:rPr>
              <w:t>传授学生辨认一手和二手参考资料能力，通过观察校内提供的电镜微观解剖标本、结合教授专业课上对心肌细胞的讲解、教科书上的信息与网络检索搜集的资料。传授数字化绘图软件技术，精准绘制单个心肌细胞插图，表现细胞内外部结构的连接与构成，并进行文字标注，达到信息传达目的</w:t>
            </w:r>
          </w:p>
        </w:tc>
      </w:tr>
    </w:tbl>
    <w:p>
      <w:pPr>
        <w:rPr>
          <w:color w:val="auto"/>
          <w:highlight w:val="none"/>
        </w:rPr>
      </w:pPr>
    </w:p>
    <w:p>
      <w:pPr>
        <w:rPr>
          <w:color w:val="auto"/>
          <w:highlight w:val="none"/>
        </w:rPr>
      </w:pPr>
    </w:p>
    <w:p>
      <w:pPr>
        <w:pStyle w:val="4"/>
        <w:widowControl/>
        <w:spacing w:before="0" w:after="0" w:line="560" w:lineRule="exact"/>
        <w:ind w:firstLine="420" w:firstLineChars="150"/>
        <w:rPr>
          <w:rFonts w:ascii="方正仿宋_GBK" w:eastAsia="方正仿宋_GBK" w:cs="方正仿宋_GBK"/>
          <w:b w:val="0"/>
          <w:color w:val="auto"/>
          <w:sz w:val="28"/>
          <w:szCs w:val="28"/>
          <w:highlight w:val="none"/>
        </w:rPr>
      </w:pPr>
      <w:bookmarkStart w:id="36" w:name="_Toc19232"/>
      <w:bookmarkStart w:id="37" w:name="_Toc105060952"/>
      <w:bookmarkStart w:id="38" w:name="_Toc29410"/>
      <w:r>
        <w:rPr>
          <w:rFonts w:hint="eastAsia" w:ascii="方正仿宋_GBK" w:eastAsia="方正仿宋_GBK" w:cs="方正仿宋_GBK"/>
          <w:b w:val="0"/>
          <w:color w:val="auto"/>
          <w:sz w:val="28"/>
          <w:szCs w:val="28"/>
          <w:highlight w:val="none"/>
        </w:rPr>
        <w:t>三、项目功能及技术要求</w:t>
      </w:r>
      <w:bookmarkEnd w:id="36"/>
      <w:bookmarkEnd w:id="37"/>
      <w:bookmarkEnd w:id="38"/>
    </w:p>
    <w:p>
      <w:pPr>
        <w:pStyle w:val="5"/>
        <w:widowControl/>
        <w:rPr>
          <w:color w:val="auto"/>
          <w:highlight w:val="none"/>
        </w:rPr>
      </w:pPr>
      <w:r>
        <w:rPr>
          <w:rFonts w:hint="eastAsia" w:cs="黑体"/>
          <w:color w:val="auto"/>
          <w:highlight w:val="none"/>
        </w:rPr>
        <w:t>一、医学可视化课程技术要求</w:t>
      </w:r>
    </w:p>
    <w:p>
      <w:pPr>
        <w:pStyle w:val="6"/>
        <w:widowControl/>
        <w:ind w:hanging="2551"/>
        <w:rPr>
          <w:color w:val="auto"/>
          <w:szCs w:val="28"/>
          <w:highlight w:val="none"/>
        </w:rPr>
      </w:pPr>
      <w:r>
        <w:rPr>
          <w:color w:val="auto"/>
          <w:szCs w:val="28"/>
          <w:highlight w:val="none"/>
        </w:rPr>
        <w:t>1</w:t>
      </w:r>
      <w:r>
        <w:rPr>
          <w:rFonts w:hint="eastAsia" w:cs="宋体"/>
          <w:color w:val="auto"/>
          <w:szCs w:val="28"/>
          <w:highlight w:val="none"/>
        </w:rPr>
        <w:t>．课程概况</w:t>
      </w:r>
    </w:p>
    <w:p>
      <w:pPr>
        <w:widowControl/>
        <w:adjustRightInd w:val="0"/>
        <w:snapToGrid w:val="0"/>
        <w:spacing w:line="360" w:lineRule="auto"/>
        <w:ind w:firstLine="420"/>
        <w:jc w:val="left"/>
        <w:textAlignment w:val="center"/>
        <w:rPr>
          <w:rFonts w:cs="宋体"/>
          <w:color w:val="auto"/>
          <w:szCs w:val="28"/>
          <w:highlight w:val="none"/>
          <w:lang w:bidi="ar"/>
        </w:rPr>
      </w:pPr>
      <w:r>
        <w:rPr>
          <w:rFonts w:hint="eastAsia" w:cs="宋体"/>
          <w:color w:val="auto"/>
          <w:szCs w:val="28"/>
          <w:highlight w:val="none"/>
          <w:lang w:bidi="ar"/>
        </w:rPr>
        <w:t>现代医学与艺术相伴而生、共同发展而来。医学可视化传播是面向未来医学教育生态、医学科普宣传、医学出版领域的紧缺人才专业，通过以计算机为主的视觉传达技术来沟通医学信息，充分简化医学本身的复杂程度，让初学者能够在短时间内理解晦涩难懂的信息，同时让传授者拥有更优质的教辅资料，从而降低医学沟通和医学教育成本，所谓“一图胜千言”。专业运用领域包括患者沟通教育、学术研究与教学、医生教育与培训、医学出版、医学模型、医学设备、沉浸式网页及交互设计等。</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rPr>
        <w:t>我们聚焦“医学可视化传播”专业发展方向，锚定国际先进教学理念和教学体系，着力培养医学本科生医学专业水平、艺术素养和创新创业能力，建设医科、人文艺术和先进技术交叉融合的微专业，培养具备基础和临床医学基本知识、良好的科学素养以及美术修养、既懂技术又懂艺术、能利用计算机新的媒体设计工具进行医学内容作品的设计和创作的复合型应用设计人才。</w:t>
      </w:r>
    </w:p>
    <w:p>
      <w:pPr>
        <w:widowControl/>
        <w:adjustRightInd w:val="0"/>
        <w:snapToGrid w:val="0"/>
        <w:spacing w:line="360" w:lineRule="auto"/>
        <w:ind w:firstLine="420"/>
        <w:jc w:val="left"/>
        <w:textAlignment w:val="center"/>
        <w:rPr>
          <w:rFonts w:hint="eastAsia" w:cs="宋体"/>
          <w:color w:val="auto"/>
          <w:szCs w:val="28"/>
          <w:highlight w:val="none"/>
        </w:rPr>
      </w:pPr>
      <w:r>
        <w:rPr>
          <w:rFonts w:hint="eastAsia" w:cs="宋体"/>
          <w:color w:val="auto"/>
          <w:szCs w:val="28"/>
          <w:highlight w:val="none"/>
        </w:rPr>
        <w:t>第一阶段课程主要</w:t>
      </w:r>
      <w:r>
        <w:rPr>
          <w:rFonts w:hint="eastAsia" w:cs="宋体"/>
          <w:color w:val="auto"/>
          <w:szCs w:val="28"/>
          <w:highlight w:val="none"/>
          <w:lang w:val="en-CA"/>
        </w:rPr>
        <w:t>培养学生具有较高的艺术修养、专业的绘制技能和用视觉方式传播医学信息的能力，胜任医学科普宣传、科研成果交流、医学内容出版领域等工作。</w:t>
      </w:r>
    </w:p>
    <w:p>
      <w:pPr>
        <w:pStyle w:val="6"/>
        <w:widowControl/>
        <w:ind w:hanging="2551"/>
        <w:rPr>
          <w:color w:val="auto"/>
          <w:szCs w:val="28"/>
          <w:highlight w:val="none"/>
        </w:rPr>
      </w:pPr>
      <w:r>
        <w:rPr>
          <w:color w:val="auto"/>
          <w:szCs w:val="28"/>
          <w:highlight w:val="none"/>
        </w:rPr>
        <w:t>2</w:t>
      </w:r>
      <w:r>
        <w:rPr>
          <w:rFonts w:hint="eastAsia" w:cs="宋体"/>
          <w:color w:val="auto"/>
          <w:szCs w:val="28"/>
          <w:highlight w:val="none"/>
        </w:rPr>
        <w:t>．课程内容</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w:t>
      </w:r>
      <w:r>
        <w:rPr>
          <w:rFonts w:hint="eastAsia" w:cs="宋体"/>
          <w:color w:val="auto"/>
          <w:szCs w:val="28"/>
          <w:highlight w:val="none"/>
          <w:lang w:bidi="ar"/>
        </w:rPr>
        <w:t>）包含三个模块：医学可视化行业与课程介绍、资源库使用与共享、医学可视化课程教学</w:t>
      </w:r>
    </w:p>
    <w:p>
      <w:pPr>
        <w:widowControl/>
        <w:adjustRightInd w:val="0"/>
        <w:snapToGrid w:val="0"/>
        <w:spacing w:line="360" w:lineRule="auto"/>
        <w:ind w:firstLine="420"/>
        <w:jc w:val="left"/>
        <w:textAlignment w:val="center"/>
        <w:rPr>
          <w:rFonts w:hint="eastAsia"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2</w:t>
      </w:r>
      <w:r>
        <w:rPr>
          <w:rFonts w:hint="eastAsia" w:cs="宋体"/>
          <w:color w:val="auto"/>
          <w:szCs w:val="28"/>
          <w:highlight w:val="none"/>
          <w:lang w:bidi="ar"/>
        </w:rPr>
        <w:t>）包含医学插图绘制实操前准备：行业认知，了解行业使命，明晰未来就业方向，医学可视化信息传达的理论学习</w:t>
      </w:r>
    </w:p>
    <w:p>
      <w:pPr>
        <w:widowControl/>
        <w:adjustRightInd w:val="0"/>
        <w:snapToGrid w:val="0"/>
        <w:spacing w:line="360" w:lineRule="auto"/>
        <w:ind w:firstLine="420"/>
        <w:jc w:val="left"/>
        <w:textAlignment w:val="center"/>
        <w:rPr>
          <w:rFonts w:hint="eastAsia" w:cs="宋体"/>
          <w:color w:val="auto"/>
          <w:szCs w:val="28"/>
          <w:highlight w:val="none"/>
          <w:lang w:bidi="ar"/>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）包含医学插图参考资料查找与搜集：人体标本观察、网络资料查找、课堂专业课资料理解与学习和相关教科书内容的搜集。</w:t>
      </w:r>
    </w:p>
    <w:p>
      <w:pPr>
        <w:widowControl/>
        <w:adjustRightInd w:val="0"/>
        <w:snapToGrid w:val="0"/>
        <w:spacing w:line="360" w:lineRule="auto"/>
        <w:ind w:firstLine="420"/>
        <w:jc w:val="left"/>
        <w:textAlignment w:val="center"/>
        <w:rPr>
          <w:rFonts w:cs="宋体"/>
          <w:color w:val="auto"/>
          <w:szCs w:val="28"/>
          <w:highlight w:val="none"/>
          <w:lang w:bidi="ar"/>
        </w:rPr>
      </w:pPr>
      <w:r>
        <w:rPr>
          <w:rFonts w:hint="eastAsia" w:cs="宋体"/>
          <w:color w:val="auto"/>
          <w:szCs w:val="28"/>
          <w:highlight w:val="none"/>
          <w:lang w:bidi="ar"/>
        </w:rPr>
        <w:t>（</w:t>
      </w:r>
      <w:r>
        <w:rPr>
          <w:rFonts w:cs="宋体"/>
          <w:color w:val="auto"/>
          <w:szCs w:val="28"/>
          <w:highlight w:val="none"/>
          <w:lang w:bidi="ar"/>
        </w:rPr>
        <w:t>4</w:t>
      </w:r>
      <w:r>
        <w:rPr>
          <w:rFonts w:hint="eastAsia" w:cs="宋体"/>
          <w:color w:val="auto"/>
          <w:szCs w:val="28"/>
          <w:highlight w:val="none"/>
          <w:lang w:bidi="ar"/>
        </w:rPr>
        <w:t>）包含医学插图绘制实操：数字绘画软件【Adobe</w:t>
      </w:r>
      <w:r>
        <w:rPr>
          <w:rFonts w:cs="宋体"/>
          <w:color w:val="auto"/>
          <w:szCs w:val="28"/>
          <w:highlight w:val="none"/>
          <w:lang w:bidi="ar"/>
        </w:rPr>
        <w:t xml:space="preserve"> </w:t>
      </w:r>
      <w:r>
        <w:rPr>
          <w:rFonts w:hint="eastAsia" w:cs="宋体"/>
          <w:color w:val="auto"/>
          <w:szCs w:val="28"/>
          <w:highlight w:val="none"/>
          <w:lang w:bidi="ar"/>
        </w:rPr>
        <w:t>PS、Adobe</w:t>
      </w:r>
      <w:r>
        <w:rPr>
          <w:rFonts w:cs="宋体"/>
          <w:color w:val="auto"/>
          <w:szCs w:val="28"/>
          <w:highlight w:val="none"/>
          <w:lang w:bidi="ar"/>
        </w:rPr>
        <w:t xml:space="preserve"> </w:t>
      </w:r>
      <w:r>
        <w:rPr>
          <w:rFonts w:hint="eastAsia" w:cs="宋体"/>
          <w:color w:val="auto"/>
          <w:szCs w:val="28"/>
          <w:highlight w:val="none"/>
          <w:lang w:bidi="ar"/>
        </w:rPr>
        <w:t>Illustrator、blender</w:t>
      </w:r>
      <w:r>
        <w:rPr>
          <w:rFonts w:cs="宋体"/>
          <w:color w:val="auto"/>
          <w:szCs w:val="28"/>
          <w:highlight w:val="none"/>
          <w:lang w:bidi="ar"/>
        </w:rPr>
        <w:t xml:space="preserve"> 3</w:t>
      </w:r>
      <w:r>
        <w:rPr>
          <w:rFonts w:hint="eastAsia" w:cs="宋体"/>
          <w:color w:val="auto"/>
          <w:szCs w:val="28"/>
          <w:highlight w:val="none"/>
          <w:lang w:bidi="ar"/>
        </w:rPr>
        <w:t>D】操作的学习，医学可视化信息传达理论的应用、绘画方法、排版方法。</w:t>
      </w:r>
    </w:p>
    <w:p>
      <w:pPr>
        <w:widowControl/>
        <w:adjustRightInd w:val="0"/>
        <w:snapToGrid w:val="0"/>
        <w:spacing w:line="360" w:lineRule="auto"/>
        <w:ind w:firstLine="420"/>
        <w:jc w:val="left"/>
        <w:textAlignment w:val="center"/>
        <w:rPr>
          <w:rFonts w:cs="宋体"/>
          <w:color w:val="auto"/>
          <w:szCs w:val="28"/>
          <w:highlight w:val="none"/>
          <w:lang w:bidi="ar"/>
        </w:rPr>
      </w:pPr>
      <w:r>
        <w:rPr>
          <w:rFonts w:hint="eastAsia" w:cs="宋体"/>
          <w:color w:val="auto"/>
          <w:szCs w:val="28"/>
          <w:highlight w:val="none"/>
          <w:lang w:bidi="ar"/>
        </w:rPr>
        <w:t>（</w:t>
      </w:r>
      <w:r>
        <w:rPr>
          <w:rFonts w:cs="宋体"/>
          <w:color w:val="auto"/>
          <w:szCs w:val="28"/>
          <w:highlight w:val="none"/>
          <w:lang w:bidi="ar"/>
        </w:rPr>
        <w:t>5</w:t>
      </w:r>
      <w:r>
        <w:rPr>
          <w:rFonts w:hint="eastAsia" w:cs="宋体"/>
          <w:color w:val="auto"/>
          <w:szCs w:val="28"/>
          <w:highlight w:val="none"/>
          <w:lang w:bidi="ar"/>
        </w:rPr>
        <w:t>）课程过程中包含学生在绘制过程中出现的错误指正和作业辅导，提供常见错误的纠正演示视频，让绘制更加专业。</w:t>
      </w:r>
    </w:p>
    <w:p>
      <w:pPr>
        <w:widowControl/>
        <w:adjustRightInd w:val="0"/>
        <w:snapToGrid w:val="0"/>
        <w:spacing w:line="360" w:lineRule="auto"/>
        <w:ind w:firstLine="420"/>
        <w:jc w:val="left"/>
        <w:textAlignment w:val="center"/>
        <w:rPr>
          <w:rFonts w:hint="eastAsia" w:cs="宋体"/>
          <w:color w:val="auto"/>
          <w:szCs w:val="28"/>
          <w:highlight w:val="none"/>
          <w:lang w:bidi="ar"/>
        </w:rPr>
      </w:pPr>
      <w:r>
        <w:rPr>
          <w:rFonts w:hint="eastAsia" w:cs="宋体"/>
          <w:color w:val="auto"/>
          <w:szCs w:val="28"/>
          <w:highlight w:val="none"/>
          <w:lang w:bidi="ar"/>
        </w:rPr>
        <w:t>（</w:t>
      </w:r>
      <w:r>
        <w:rPr>
          <w:rFonts w:cs="宋体"/>
          <w:color w:val="auto"/>
          <w:szCs w:val="28"/>
          <w:highlight w:val="none"/>
          <w:lang w:bidi="ar"/>
        </w:rPr>
        <w:t>6</w:t>
      </w:r>
      <w:r>
        <w:rPr>
          <w:rFonts w:hint="eastAsia" w:cs="宋体"/>
          <w:color w:val="auto"/>
          <w:szCs w:val="28"/>
          <w:highlight w:val="none"/>
          <w:lang w:bidi="ar"/>
        </w:rPr>
        <w:t>）学生通过学习本课程设置的绘画流程，形成标准化工作流程，让学生举一反三应用到日后不同的结构绘制上，达到协助学校出版自编教材和制作数字化医学教学软件；为科研论文配精美插图提升科研成果交流效率；为学校科普文章、视频工作做出重要贡献。</w:t>
      </w:r>
    </w:p>
    <w:p>
      <w:pPr>
        <w:pStyle w:val="6"/>
        <w:widowControl/>
        <w:ind w:left="0" w:firstLine="0"/>
        <w:rPr>
          <w:color w:val="auto"/>
          <w:szCs w:val="28"/>
          <w:highlight w:val="none"/>
        </w:rPr>
      </w:pPr>
      <w:r>
        <w:rPr>
          <w:color w:val="auto"/>
          <w:szCs w:val="28"/>
          <w:highlight w:val="none"/>
        </w:rPr>
        <w:t>3</w:t>
      </w:r>
      <w:r>
        <w:rPr>
          <w:rFonts w:hint="eastAsia" w:cs="宋体"/>
          <w:color w:val="auto"/>
          <w:szCs w:val="28"/>
          <w:highlight w:val="none"/>
        </w:rPr>
        <w:t>．课程线上系统要求</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w:t>
      </w:r>
      <w:r>
        <w:rPr>
          <w:rFonts w:hint="eastAsia" w:cs="宋体"/>
          <w:color w:val="auto"/>
          <w:szCs w:val="28"/>
          <w:highlight w:val="none"/>
          <w:lang w:bidi="ar"/>
        </w:rPr>
        <w:t>）要求系统采用</w:t>
      </w:r>
      <w:r>
        <w:rPr>
          <w:rFonts w:cs="宋体"/>
          <w:color w:val="auto"/>
          <w:szCs w:val="28"/>
          <w:highlight w:val="none"/>
          <w:lang w:bidi="ar"/>
        </w:rPr>
        <w:t>B/S</w:t>
      </w:r>
      <w:r>
        <w:rPr>
          <w:rFonts w:hint="eastAsia" w:cs="宋体"/>
          <w:color w:val="auto"/>
          <w:szCs w:val="28"/>
          <w:highlight w:val="none"/>
          <w:lang w:bidi="ar"/>
        </w:rPr>
        <w:t>架构设计，系统架构要求具备开放性，提供完整规范的开发接口，能够满足主流平台和跨平台快速应用开发的需求，并可与实验空间网站完成数据对接。</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2</w:t>
      </w:r>
      <w:r>
        <w:rPr>
          <w:rFonts w:hint="eastAsia" w:cs="宋体"/>
          <w:color w:val="auto"/>
          <w:szCs w:val="28"/>
          <w:highlight w:val="none"/>
          <w:lang w:bidi="ar"/>
        </w:rPr>
        <w:t>）要求系统可以直接发布</w:t>
      </w:r>
      <w:r>
        <w:rPr>
          <w:rFonts w:cs="宋体"/>
          <w:color w:val="auto"/>
          <w:szCs w:val="28"/>
          <w:highlight w:val="none"/>
          <w:lang w:bidi="ar"/>
        </w:rPr>
        <w:t>WebGL</w:t>
      </w:r>
      <w:r>
        <w:rPr>
          <w:rFonts w:hint="eastAsia" w:cs="宋体"/>
          <w:color w:val="auto"/>
          <w:szCs w:val="28"/>
          <w:highlight w:val="none"/>
          <w:lang w:bidi="ar"/>
        </w:rPr>
        <w:t>网页版本或在手机端直接使用，不用安装任何插件，通过主流浏览器直接进入课程系统完成所有操作，满足在线操作课程系统的要求。</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）要求课程内容可集成到指定的在线运行开发的共享平台，可设置访问权限，并可对课程项目资源进行统一管理。</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4</w:t>
      </w:r>
      <w:r>
        <w:rPr>
          <w:rFonts w:hint="eastAsia" w:cs="宋体"/>
          <w:color w:val="auto"/>
          <w:szCs w:val="28"/>
          <w:highlight w:val="none"/>
          <w:lang w:bidi="ar"/>
        </w:rPr>
        <w:t>）提供课程运行共享平台，包括学生及教师账号的单点登录、课程理论学习、课程安排、绘画操作、绘画报告填写与提交、阶段性作业批改、学员成绩管理、课程学习情况统计、优秀实验案例展示等。</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5</w:t>
      </w:r>
      <w:r>
        <w:rPr>
          <w:rFonts w:hint="eastAsia" w:cs="宋体"/>
          <w:color w:val="auto"/>
          <w:szCs w:val="28"/>
          <w:highlight w:val="none"/>
          <w:lang w:bidi="ar"/>
        </w:rPr>
        <w:t>）提供专属的课程展示页，包含可视化的累计课程运行数据和实时运行数据、课程介绍、师资介绍、绘画操作指南、绘画记录、学习记录等。</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6</w:t>
      </w:r>
      <w:r>
        <w:rPr>
          <w:rFonts w:hint="eastAsia" w:cs="宋体"/>
          <w:color w:val="auto"/>
          <w:szCs w:val="28"/>
          <w:highlight w:val="none"/>
          <w:lang w:bidi="ar"/>
        </w:rPr>
        <w:t>）学生能够通过互联网在线开放共享平台完成整个课程流程，以及协助教师完成课程相关的教学工作，协助校方的医学可视化课程实现校内外的线上运行管理、课程资源整合。</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8</w:t>
      </w:r>
      <w:r>
        <w:rPr>
          <w:rFonts w:hint="eastAsia" w:cs="宋体"/>
          <w:color w:val="auto"/>
          <w:szCs w:val="28"/>
          <w:highlight w:val="none"/>
          <w:lang w:bidi="ar"/>
        </w:rPr>
        <w:t>）作业报告功能，教师可评选优秀作业报告，并展示给所有学生查看学习，促进学生间的学习交流。</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9</w:t>
      </w:r>
      <w:r>
        <w:rPr>
          <w:rFonts w:hint="eastAsia" w:cs="宋体"/>
          <w:color w:val="auto"/>
          <w:szCs w:val="28"/>
          <w:highlight w:val="none"/>
          <w:lang w:bidi="ar"/>
        </w:rPr>
        <w:t>）课程平台需要具有一定量级的其他高校同类专业的流量资源，便于课程开放共享运行阶段积累运行数据。</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10</w:t>
      </w:r>
      <w:r>
        <w:rPr>
          <w:rFonts w:hint="eastAsia" w:cs="宋体"/>
          <w:color w:val="auto"/>
          <w:szCs w:val="28"/>
          <w:highlight w:val="none"/>
          <w:lang w:bidi="ar"/>
        </w:rPr>
        <w:t>）要求可视化绘画演示可与校方指定的在线视频课程有机结合，形成理论认知与实际操作相结合的课程内容，提高课程教学和学生的学习效果。</w:t>
      </w:r>
    </w:p>
    <w:p>
      <w:pPr>
        <w:pStyle w:val="6"/>
        <w:widowControl/>
        <w:ind w:hanging="2551"/>
        <w:rPr>
          <w:color w:val="auto"/>
          <w:szCs w:val="28"/>
          <w:highlight w:val="none"/>
        </w:rPr>
      </w:pPr>
      <w:r>
        <w:rPr>
          <w:color w:val="auto"/>
          <w:szCs w:val="28"/>
          <w:highlight w:val="none"/>
        </w:rPr>
        <w:t xml:space="preserve">4.  </w:t>
      </w:r>
      <w:r>
        <w:rPr>
          <w:rFonts w:hint="eastAsia" w:cs="宋体"/>
          <w:color w:val="auto"/>
          <w:szCs w:val="28"/>
          <w:highlight w:val="none"/>
        </w:rPr>
        <w:t>其他要求</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w:t>
      </w:r>
      <w:r>
        <w:rPr>
          <w:rFonts w:hint="eastAsia" w:cs="宋体"/>
          <w:color w:val="auto"/>
          <w:szCs w:val="28"/>
          <w:highlight w:val="none"/>
          <w:lang w:bidi="ar"/>
        </w:rPr>
        <w:t>）绘制过程中，会使用到三维模型进行绘画辅助。真实</w:t>
      </w:r>
      <w:r>
        <w:rPr>
          <w:rFonts w:cs="宋体"/>
          <w:color w:val="auto"/>
          <w:szCs w:val="28"/>
          <w:highlight w:val="none"/>
          <w:lang w:bidi="ar"/>
        </w:rPr>
        <w:t>3D</w:t>
      </w:r>
      <w:r>
        <w:rPr>
          <w:rFonts w:hint="eastAsia" w:cs="宋体"/>
          <w:color w:val="auto"/>
          <w:szCs w:val="28"/>
          <w:highlight w:val="none"/>
          <w:lang w:bidi="ar"/>
        </w:rPr>
        <w:t>模型设计需具有典型性、还原逼真、比例适当、应具有光源影响和阴影效果，利于学生熟悉解剖结构，提高插图效果。</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2</w:t>
      </w:r>
      <w:r>
        <w:rPr>
          <w:rFonts w:hint="eastAsia" w:cs="宋体"/>
          <w:color w:val="auto"/>
          <w:szCs w:val="28"/>
          <w:highlight w:val="none"/>
          <w:lang w:bidi="ar"/>
        </w:rPr>
        <w:t>）三维辅助场景内的全部模型需要采用法线贴图来描绘物体表面细节的凸凹变化、使用颜色贴图表现物体的颜色和纹理、使用高光贴图表现物体在光线照射条件下体现出的质感。</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）绘画教学系统需方式简洁、直观、易于理解，符合常规操作习惯，不能经常造成大多数用户的不适；操作应自由灵活，符合实际情况。</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4</w:t>
      </w:r>
      <w:r>
        <w:rPr>
          <w:rFonts w:hint="eastAsia" w:cs="宋体"/>
          <w:color w:val="auto"/>
          <w:szCs w:val="28"/>
          <w:highlight w:val="none"/>
          <w:lang w:bidi="ar"/>
        </w:rPr>
        <w:t>）系统二维界面应符合课程特色，与学科内容相结合。</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5</w:t>
      </w:r>
      <w:r>
        <w:rPr>
          <w:rFonts w:hint="eastAsia" w:cs="宋体"/>
          <w:color w:val="auto"/>
          <w:szCs w:val="28"/>
          <w:highlight w:val="none"/>
          <w:lang w:bidi="ar"/>
        </w:rPr>
        <w:t>）项目简介视频：重点介绍医学可视化教学项目的整体情况，包括项目特色、技术手段和应用情况、未来规划，实现对所申报实验项目的真实反映，激发使用者的参与愿望。</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6</w:t>
      </w:r>
      <w:r>
        <w:rPr>
          <w:rFonts w:hint="eastAsia" w:cs="宋体"/>
          <w:color w:val="auto"/>
          <w:szCs w:val="28"/>
          <w:highlight w:val="none"/>
          <w:lang w:bidi="ar"/>
        </w:rPr>
        <w:t>）教学引导视频：重点介绍医学可视化实操的基本情况，包括行业介绍、软件使用、背景资料调研、医学结构线稿绘制、体积绘制、颜色绘制、文字排版，插图应用场景的了解等，以便使用者通过视频引导可自主操作实验。</w:t>
      </w:r>
    </w:p>
    <w:p>
      <w:pPr>
        <w:pStyle w:val="5"/>
        <w:widowControl/>
        <w:rPr>
          <w:color w:val="auto"/>
          <w:szCs w:val="28"/>
          <w:highlight w:val="none"/>
        </w:rPr>
      </w:pPr>
      <w:r>
        <w:rPr>
          <w:rFonts w:hint="eastAsia" w:cs="黑体"/>
          <w:color w:val="auto"/>
          <w:szCs w:val="28"/>
          <w:highlight w:val="none"/>
        </w:rPr>
        <w:t>二、课程运行平台</w:t>
      </w:r>
    </w:p>
    <w:p>
      <w:pPr>
        <w:widowControl/>
        <w:adjustRightInd w:val="0"/>
        <w:snapToGrid w:val="0"/>
        <w:spacing w:line="360" w:lineRule="auto"/>
        <w:ind w:firstLine="420"/>
        <w:jc w:val="left"/>
        <w:textAlignment w:val="center"/>
        <w:rPr>
          <w:rFonts w:cs="宋体"/>
          <w:color w:val="auto"/>
          <w:szCs w:val="28"/>
          <w:highlight w:val="none"/>
        </w:rPr>
      </w:pPr>
      <w:r>
        <w:rPr>
          <w:rFonts w:hint="eastAsia" w:cs="宋体"/>
          <w:color w:val="auto"/>
          <w:szCs w:val="28"/>
          <w:highlight w:val="none"/>
          <w:lang w:bidi="ar"/>
        </w:rPr>
        <w:t>要求提供虚拟仿真课程上线运行共享平台服务，以满足医学可视化课程教学应用的教学需求。</w:t>
      </w:r>
    </w:p>
    <w:p>
      <w:pPr>
        <w:pStyle w:val="6"/>
        <w:widowControl/>
        <w:ind w:hanging="2551"/>
        <w:rPr>
          <w:color w:val="auto"/>
          <w:szCs w:val="28"/>
          <w:highlight w:val="none"/>
        </w:rPr>
      </w:pPr>
      <w:r>
        <w:rPr>
          <w:color w:val="auto"/>
          <w:szCs w:val="28"/>
          <w:highlight w:val="none"/>
        </w:rPr>
        <w:t xml:space="preserve">1.  </w:t>
      </w:r>
      <w:r>
        <w:rPr>
          <w:rFonts w:hint="eastAsia" w:cs="宋体"/>
          <w:color w:val="auto"/>
          <w:szCs w:val="28"/>
          <w:highlight w:val="none"/>
        </w:rPr>
        <w:t>整体功能要求如下：</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w:t>
      </w:r>
      <w:r>
        <w:rPr>
          <w:rFonts w:hint="eastAsia" w:cs="宋体"/>
          <w:color w:val="auto"/>
          <w:szCs w:val="28"/>
          <w:highlight w:val="none"/>
          <w:lang w:bidi="ar"/>
        </w:rPr>
        <w:t>）★要求平台依托云服务，可直接浏览器访问，方便快捷，安全，稳定，快速，智能，拓展性强。</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2</w:t>
      </w:r>
      <w:r>
        <w:rPr>
          <w:rFonts w:hint="eastAsia" w:cs="宋体"/>
          <w:color w:val="auto"/>
          <w:szCs w:val="28"/>
          <w:highlight w:val="none"/>
          <w:lang w:bidi="ar"/>
        </w:rPr>
        <w:t>）★要求医学可视化课程内容都有独立的课程页，并可根据老师在后台设置的内容，展示实验对应的基本信息，主要包括：项目介绍、师资介绍、实验指南、实验资源、考核要求、优秀案例展示、学习记录、数据分析等。</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）★要求附带虚仿课程资源库，方便校内学生随时加入学习更多感兴趣医学可视化课程，且资源库随时添加更新资源，不限制医学可视化资源门数。</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4</w:t>
      </w:r>
      <w:r>
        <w:rPr>
          <w:rFonts w:hint="eastAsia" w:cs="宋体"/>
          <w:color w:val="auto"/>
          <w:szCs w:val="28"/>
          <w:highlight w:val="none"/>
          <w:lang w:bidi="ar"/>
        </w:rPr>
        <w:t>）为保障网络安全，平台需要满足三级信息安全等级保护资质要求，并提供三级等保备案证明。</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（5）★要求平台具有一定量的在线视频课程资源，方便后续医学可视化资源与指定在线课程平台完成在线视频课程结合功能，深度融合在线视频课程和医学可视化资源课程。</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6</w:t>
      </w:r>
      <w:r>
        <w:rPr>
          <w:rFonts w:hint="eastAsia" w:cs="宋体"/>
          <w:color w:val="auto"/>
          <w:szCs w:val="28"/>
          <w:highlight w:val="none"/>
          <w:lang w:bidi="ar"/>
        </w:rPr>
        <w:t>）支持老师可以线上布置实验任务，设置参与实验的学生，同时有外部实验链接也可以直接发布。同时支持督促提交作业、学生也可以线上查看作业任务、做作业、提交作业报告；</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）★支持从医学可视化资源库直接选择其他学校共享的实验资源，丰富本课程内容，提升学生的知识和能力点；</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）具有学习记录管理功能，学生练习情况，按照班级列出平时训练情况汇总。全部作业日志，按时间排显示学生的实验详情，支持查看作业报告。</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4</w:t>
      </w:r>
      <w:r>
        <w:rPr>
          <w:rFonts w:hint="eastAsia" w:cs="宋体"/>
          <w:color w:val="auto"/>
          <w:szCs w:val="28"/>
          <w:highlight w:val="none"/>
          <w:lang w:bidi="ar"/>
        </w:rPr>
        <w:t>）具有批阅实验报告功能，平台支持不同批阅形式的实验报告，包括机器批阅</w:t>
      </w:r>
      <w:r>
        <w:rPr>
          <w:rFonts w:cs="宋体"/>
          <w:color w:val="auto"/>
          <w:szCs w:val="28"/>
          <w:highlight w:val="none"/>
          <w:lang w:bidi="ar"/>
        </w:rPr>
        <w:t>/</w:t>
      </w:r>
      <w:r>
        <w:rPr>
          <w:rFonts w:hint="eastAsia" w:cs="宋体"/>
          <w:color w:val="auto"/>
          <w:szCs w:val="28"/>
          <w:highlight w:val="none"/>
          <w:lang w:bidi="ar"/>
        </w:rPr>
        <w:t>人工批阅</w:t>
      </w:r>
      <w:r>
        <w:rPr>
          <w:rFonts w:cs="宋体"/>
          <w:color w:val="auto"/>
          <w:szCs w:val="28"/>
          <w:highlight w:val="none"/>
          <w:lang w:bidi="ar"/>
        </w:rPr>
        <w:t>/</w:t>
      </w:r>
      <w:r>
        <w:rPr>
          <w:rFonts w:hint="eastAsia" w:cs="宋体"/>
          <w:color w:val="auto"/>
          <w:szCs w:val="28"/>
          <w:highlight w:val="none"/>
          <w:lang w:bidi="ar"/>
        </w:rPr>
        <w:t>机器人工共同批阅，并且实验报告内容能够支持静态图</w:t>
      </w:r>
      <w:r>
        <w:rPr>
          <w:rFonts w:cs="宋体"/>
          <w:color w:val="auto"/>
          <w:szCs w:val="28"/>
          <w:highlight w:val="none"/>
          <w:lang w:bidi="ar"/>
        </w:rPr>
        <w:t>/</w:t>
      </w:r>
      <w:r>
        <w:rPr>
          <w:rFonts w:hint="eastAsia" w:cs="宋体"/>
          <w:color w:val="auto"/>
          <w:szCs w:val="28"/>
          <w:highlight w:val="none"/>
          <w:lang w:bidi="ar"/>
        </w:rPr>
        <w:t>动态图</w:t>
      </w:r>
      <w:r>
        <w:rPr>
          <w:rFonts w:cs="宋体"/>
          <w:color w:val="auto"/>
          <w:szCs w:val="28"/>
          <w:highlight w:val="none"/>
          <w:lang w:bidi="ar"/>
        </w:rPr>
        <w:t>/</w:t>
      </w:r>
      <w:r>
        <w:rPr>
          <w:rFonts w:hint="eastAsia" w:cs="宋体"/>
          <w:color w:val="auto"/>
          <w:szCs w:val="28"/>
          <w:highlight w:val="none"/>
          <w:lang w:bidi="ar"/>
        </w:rPr>
        <w:t>文本信息</w:t>
      </w:r>
      <w:r>
        <w:rPr>
          <w:rFonts w:cs="宋体"/>
          <w:color w:val="auto"/>
          <w:szCs w:val="28"/>
          <w:highlight w:val="none"/>
          <w:lang w:bidi="ar"/>
        </w:rPr>
        <w:t>/</w:t>
      </w:r>
      <w:r>
        <w:rPr>
          <w:rFonts w:hint="eastAsia" w:cs="宋体"/>
          <w:color w:val="auto"/>
          <w:szCs w:val="28"/>
          <w:highlight w:val="none"/>
          <w:lang w:bidi="ar"/>
        </w:rPr>
        <w:t>音频等格式的数据上传。</w:t>
      </w:r>
    </w:p>
    <w:p>
      <w:pPr>
        <w:pStyle w:val="6"/>
        <w:widowControl/>
        <w:ind w:hanging="2551"/>
        <w:rPr>
          <w:color w:val="auto"/>
          <w:szCs w:val="28"/>
          <w:highlight w:val="none"/>
        </w:rPr>
      </w:pPr>
      <w:r>
        <w:rPr>
          <w:color w:val="auto"/>
          <w:szCs w:val="28"/>
          <w:highlight w:val="none"/>
        </w:rPr>
        <w:t xml:space="preserve">3.  </w:t>
      </w:r>
      <w:r>
        <w:rPr>
          <w:rFonts w:hint="eastAsia" w:cs="宋体"/>
          <w:color w:val="auto"/>
          <w:szCs w:val="28"/>
          <w:highlight w:val="none"/>
        </w:rPr>
        <w:t>管理端功能要求</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w:t>
      </w:r>
      <w:r>
        <w:rPr>
          <w:rFonts w:hint="eastAsia" w:cs="宋体"/>
          <w:color w:val="auto"/>
          <w:szCs w:val="28"/>
          <w:highlight w:val="none"/>
          <w:lang w:bidi="ar"/>
        </w:rPr>
        <w:t>）要求具有账户管理功能，支持增删改查用户账户。其中权限选择：超级管理员、教师、学生。通过选择不同角色给用户分配不同的操作权限。允许批量导入账户，下载导入格式后，根据导入字段要求填写并且批量创建用户账户。</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2</w:t>
      </w:r>
      <w:r>
        <w:rPr>
          <w:rFonts w:hint="eastAsia" w:cs="宋体"/>
          <w:color w:val="auto"/>
          <w:szCs w:val="28"/>
          <w:highlight w:val="none"/>
          <w:lang w:bidi="ar"/>
        </w:rPr>
        <w:t>）要求具有课程管理功能，根据账号的不同权限可以看到不同的课程数据，支持对待发布建课课程的编辑和删除。</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）要求具有学期管理功能，超级管理员可以对学期进行增、删、改、查。可以新建学期，可以设置学期名称、学期起止时间。</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4</w:t>
      </w:r>
      <w:r>
        <w:rPr>
          <w:rFonts w:hint="eastAsia" w:cs="宋体"/>
          <w:color w:val="auto"/>
          <w:szCs w:val="28"/>
          <w:highlight w:val="none"/>
          <w:lang w:bidi="ar"/>
        </w:rPr>
        <w:t>）要求课程可以设置校外选课学期与校内选课学期，实现不同期次针对不同使用人群的灵活设置，并对校内选课群体能够进行统一管理。</w:t>
      </w:r>
    </w:p>
    <w:p>
      <w:pPr>
        <w:pStyle w:val="6"/>
        <w:widowControl/>
        <w:ind w:hanging="2551"/>
        <w:rPr>
          <w:color w:val="auto"/>
          <w:szCs w:val="28"/>
          <w:highlight w:val="none"/>
        </w:rPr>
      </w:pPr>
      <w:r>
        <w:rPr>
          <w:color w:val="auto"/>
          <w:szCs w:val="28"/>
          <w:highlight w:val="none"/>
        </w:rPr>
        <w:t>4</w:t>
      </w:r>
      <w:r>
        <w:rPr>
          <w:rFonts w:hint="eastAsia" w:cs="宋体"/>
          <w:color w:val="auto"/>
          <w:szCs w:val="28"/>
          <w:highlight w:val="none"/>
        </w:rPr>
        <w:t>．教师端功能要求</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w:t>
      </w:r>
      <w:r>
        <w:rPr>
          <w:rFonts w:hint="eastAsia" w:cs="宋体"/>
          <w:color w:val="auto"/>
          <w:szCs w:val="28"/>
          <w:highlight w:val="none"/>
          <w:lang w:bidi="ar"/>
        </w:rPr>
        <w:t>）要求具有学生管理功能，支持按期次（批次）维护学生，优先设置期次，确认期次结束时间。进入对应期次后，可以直接按班级导入学生。同时可以配置每个班级的负责教师。</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2</w:t>
      </w:r>
      <w:r>
        <w:rPr>
          <w:rFonts w:hint="eastAsia" w:cs="宋体"/>
          <w:color w:val="auto"/>
          <w:szCs w:val="28"/>
          <w:highlight w:val="none"/>
          <w:lang w:bidi="ar"/>
        </w:rPr>
        <w:t>）要求具有学习记录管理功能，学生练习情况，按照班级列出平时训练情况汇总。全部训练日志，按时间排显示学生的训练日志流水，支持筛选实验、用户、状态，支持查看实验报告，若需要批阅，可直接在报告中批阅实验成绩。</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）要求具有问答论坛功能，支持对实验进行讨论，发表问题，并可以对学生讨论进行回答和管理，设置精华和置顶操作。</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4</w:t>
      </w:r>
      <w:r>
        <w:rPr>
          <w:rFonts w:hint="eastAsia" w:cs="宋体"/>
          <w:color w:val="auto"/>
          <w:szCs w:val="28"/>
          <w:highlight w:val="none"/>
          <w:lang w:bidi="ar"/>
        </w:rPr>
        <w:t>）要求具有课程资料功能，教师可以上传课程资料，维护课程相关的文件，并可设置相关开放权限。</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5</w:t>
      </w:r>
      <w:r>
        <w:rPr>
          <w:rFonts w:hint="eastAsia" w:cs="宋体"/>
          <w:color w:val="auto"/>
          <w:szCs w:val="28"/>
          <w:highlight w:val="none"/>
          <w:lang w:bidi="ar"/>
        </w:rPr>
        <w:t>）要求具有批阅实验报告功能，平台支持不同批阅形式的实验报告，包括机器批阅</w:t>
      </w:r>
      <w:r>
        <w:rPr>
          <w:rFonts w:cs="宋体"/>
          <w:color w:val="auto"/>
          <w:szCs w:val="28"/>
          <w:highlight w:val="none"/>
          <w:lang w:bidi="ar"/>
        </w:rPr>
        <w:t>/</w:t>
      </w:r>
      <w:r>
        <w:rPr>
          <w:rFonts w:hint="eastAsia" w:cs="宋体"/>
          <w:color w:val="auto"/>
          <w:szCs w:val="28"/>
          <w:highlight w:val="none"/>
          <w:lang w:bidi="ar"/>
        </w:rPr>
        <w:t>人工批阅</w:t>
      </w:r>
      <w:r>
        <w:rPr>
          <w:rFonts w:cs="宋体"/>
          <w:color w:val="auto"/>
          <w:szCs w:val="28"/>
          <w:highlight w:val="none"/>
          <w:lang w:bidi="ar"/>
        </w:rPr>
        <w:t>/</w:t>
      </w:r>
      <w:r>
        <w:rPr>
          <w:rFonts w:hint="eastAsia" w:cs="宋体"/>
          <w:color w:val="auto"/>
          <w:szCs w:val="28"/>
          <w:highlight w:val="none"/>
          <w:lang w:bidi="ar"/>
        </w:rPr>
        <w:t>机器人工共同批阅，并且实验报告内容能够支持静态图</w:t>
      </w:r>
      <w:r>
        <w:rPr>
          <w:rFonts w:cs="宋体"/>
          <w:color w:val="auto"/>
          <w:szCs w:val="28"/>
          <w:highlight w:val="none"/>
          <w:lang w:bidi="ar"/>
        </w:rPr>
        <w:t>/</w:t>
      </w:r>
      <w:r>
        <w:rPr>
          <w:rFonts w:hint="eastAsia" w:cs="宋体"/>
          <w:color w:val="auto"/>
          <w:szCs w:val="28"/>
          <w:highlight w:val="none"/>
          <w:lang w:bidi="ar"/>
        </w:rPr>
        <w:t>动态图</w:t>
      </w:r>
      <w:r>
        <w:rPr>
          <w:rFonts w:cs="宋体"/>
          <w:color w:val="auto"/>
          <w:szCs w:val="28"/>
          <w:highlight w:val="none"/>
          <w:lang w:bidi="ar"/>
        </w:rPr>
        <w:t>/</w:t>
      </w:r>
      <w:r>
        <w:rPr>
          <w:rFonts w:hint="eastAsia" w:cs="宋体"/>
          <w:color w:val="auto"/>
          <w:szCs w:val="28"/>
          <w:highlight w:val="none"/>
          <w:lang w:bidi="ar"/>
        </w:rPr>
        <w:t>文本信息</w:t>
      </w:r>
      <w:r>
        <w:rPr>
          <w:rFonts w:cs="宋体"/>
          <w:color w:val="auto"/>
          <w:szCs w:val="28"/>
          <w:highlight w:val="none"/>
          <w:lang w:bidi="ar"/>
        </w:rPr>
        <w:t>/</w:t>
      </w:r>
      <w:r>
        <w:rPr>
          <w:rFonts w:hint="eastAsia" w:cs="宋体"/>
          <w:color w:val="auto"/>
          <w:szCs w:val="28"/>
          <w:highlight w:val="none"/>
          <w:lang w:bidi="ar"/>
        </w:rPr>
        <w:t>音频等格式的数据上传。</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6</w:t>
      </w:r>
      <w:r>
        <w:rPr>
          <w:rFonts w:hint="eastAsia" w:cs="宋体"/>
          <w:color w:val="auto"/>
          <w:szCs w:val="28"/>
          <w:highlight w:val="none"/>
          <w:lang w:bidi="ar"/>
        </w:rPr>
        <w:t>）要求教师可以设置课程助教以及班级老师角色，并可对于角色权限进行控制。</w:t>
      </w:r>
    </w:p>
    <w:p>
      <w:pPr>
        <w:pStyle w:val="6"/>
        <w:widowControl/>
        <w:ind w:hanging="2551"/>
        <w:rPr>
          <w:color w:val="auto"/>
          <w:szCs w:val="28"/>
          <w:highlight w:val="none"/>
        </w:rPr>
      </w:pPr>
      <w:r>
        <w:rPr>
          <w:color w:val="auto"/>
          <w:szCs w:val="28"/>
          <w:highlight w:val="none"/>
        </w:rPr>
        <w:t>5</w:t>
      </w:r>
      <w:r>
        <w:rPr>
          <w:rFonts w:hint="eastAsia" w:cs="宋体"/>
          <w:color w:val="auto"/>
          <w:szCs w:val="28"/>
          <w:highlight w:val="none"/>
        </w:rPr>
        <w:t>．学生端功能要求</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1</w:t>
      </w:r>
      <w:r>
        <w:rPr>
          <w:rFonts w:hint="eastAsia" w:cs="宋体"/>
          <w:color w:val="auto"/>
          <w:szCs w:val="28"/>
          <w:highlight w:val="none"/>
          <w:lang w:bidi="ar"/>
        </w:rPr>
        <w:t>）学生端展示学生的所有医学可视化课列表，学生具有个人学堂中心可以看到所学课程。</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2</w:t>
      </w:r>
      <w:r>
        <w:rPr>
          <w:rFonts w:hint="eastAsia" w:cs="宋体"/>
          <w:color w:val="auto"/>
          <w:szCs w:val="28"/>
          <w:highlight w:val="none"/>
          <w:lang w:bidi="ar"/>
        </w:rPr>
        <w:t>）要求具有课程学习功能，显示出允许学生自行训练的全部课程资源，点击后可以进入对应的资源进行练习，系统会自动记录练习次数，还可看到自己的绘图作业练习记录，列出该学生的绘图作业训练流水，记录每次绘图作业的结果，包含绘图作业起止时间、绘图作业成绩，若该绘图作业有报告，还可以点击查看具体的绘图作业报告，并且在绘图作业报告内可设置该份报告申请教师批阅</w:t>
      </w:r>
    </w:p>
    <w:p>
      <w:pPr>
        <w:widowControl/>
        <w:adjustRightInd w:val="0"/>
        <w:snapToGrid w:val="0"/>
        <w:spacing w:line="360" w:lineRule="auto"/>
        <w:jc w:val="left"/>
        <w:textAlignment w:val="center"/>
        <w:rPr>
          <w:rFonts w:cs="宋体"/>
          <w:color w:val="auto"/>
          <w:szCs w:val="28"/>
          <w:highlight w:val="none"/>
        </w:rPr>
      </w:pPr>
      <w:r>
        <w:rPr>
          <w:rFonts w:hint="eastAsia" w:cs="宋体"/>
          <w:color w:val="auto"/>
          <w:szCs w:val="28"/>
          <w:highlight w:val="none"/>
          <w:lang w:bidi="ar"/>
        </w:rPr>
        <w:t>（</w:t>
      </w:r>
      <w:r>
        <w:rPr>
          <w:rFonts w:cs="宋体"/>
          <w:color w:val="auto"/>
          <w:szCs w:val="28"/>
          <w:highlight w:val="none"/>
          <w:lang w:bidi="ar"/>
        </w:rPr>
        <w:t>3</w:t>
      </w:r>
      <w:r>
        <w:rPr>
          <w:rFonts w:hint="eastAsia" w:cs="宋体"/>
          <w:color w:val="auto"/>
          <w:szCs w:val="28"/>
          <w:highlight w:val="none"/>
          <w:lang w:bidi="ar"/>
        </w:rPr>
        <w:t>）要求具有问答论坛功能，可以看到该实验下的所有问答讨论，并可以进行提问、围观、回答等多种操作，和老师以及同学进行在线交流。</w:t>
      </w:r>
    </w:p>
    <w:p>
      <w:pPr>
        <w:widowControl/>
        <w:adjustRightInd w:val="0"/>
        <w:snapToGrid w:val="0"/>
        <w:spacing w:line="360" w:lineRule="auto"/>
        <w:ind w:firstLine="480" w:firstLineChars="200"/>
        <w:jc w:val="left"/>
        <w:textAlignment w:val="center"/>
        <w:rPr>
          <w:rFonts w:cs="宋体" w:asciiTheme="minorEastAsia" w:hAnsiTheme="minorEastAsia" w:eastAsiaTheme="minorEastAsia"/>
          <w:color w:val="auto"/>
          <w:sz w:val="24"/>
          <w:szCs w:val="24"/>
          <w:highlight w:val="none"/>
        </w:rPr>
      </w:pPr>
    </w:p>
    <w:p>
      <w:pPr>
        <w:rPr>
          <w:rFonts w:asciiTheme="minorEastAsia" w:hAnsiTheme="minorEastAsia" w:eastAsiaTheme="minorEastAsia"/>
          <w:color w:val="auto"/>
          <w:highlight w:val="none"/>
        </w:rPr>
        <w:sectPr>
          <w:pgSz w:w="11907" w:h="16840"/>
          <w:pgMar w:top="1134" w:right="1191" w:bottom="1134" w:left="1304" w:header="964" w:footer="992" w:gutter="0"/>
          <w:pgNumType w:fmt="numberInDash"/>
          <w:cols w:space="720" w:num="1"/>
          <w:docGrid w:linePitch="312" w:charSpace="0"/>
        </w:sectPr>
      </w:pPr>
    </w:p>
    <w:p>
      <w:pPr>
        <w:rPr>
          <w:rFonts w:asciiTheme="minorEastAsia" w:hAnsiTheme="minorEastAsia" w:eastAsiaTheme="minorEastAsia"/>
          <w:color w:val="auto"/>
          <w:highlight w:val="none"/>
        </w:rPr>
      </w:pPr>
    </w:p>
    <w:p>
      <w:pPr>
        <w:pStyle w:val="3"/>
        <w:spacing w:before="0" w:after="0" w:line="560" w:lineRule="exact"/>
        <w:jc w:val="center"/>
        <w:rPr>
          <w:rFonts w:asciiTheme="minorEastAsia" w:hAnsiTheme="minorEastAsia" w:eastAsiaTheme="minorEastAsia"/>
          <w:bCs/>
          <w:color w:val="auto"/>
          <w:sz w:val="44"/>
          <w:szCs w:val="44"/>
          <w:highlight w:val="none"/>
        </w:rPr>
      </w:pPr>
      <w:bookmarkStart w:id="39" w:name="_Toc105060892"/>
      <w:r>
        <w:rPr>
          <w:rFonts w:hint="eastAsia" w:asciiTheme="minorEastAsia" w:hAnsiTheme="minorEastAsia" w:eastAsiaTheme="minorEastAsia"/>
          <w:bCs/>
          <w:color w:val="auto"/>
          <w:sz w:val="44"/>
          <w:szCs w:val="44"/>
          <w:highlight w:val="none"/>
        </w:rPr>
        <w:t xml:space="preserve">第三篇  </w:t>
      </w:r>
      <w:bookmarkEnd w:id="29"/>
      <w:r>
        <w:rPr>
          <w:rFonts w:hint="eastAsia" w:asciiTheme="minorEastAsia" w:hAnsiTheme="minorEastAsia" w:eastAsiaTheme="minorEastAsia"/>
          <w:bCs/>
          <w:color w:val="auto"/>
          <w:sz w:val="44"/>
          <w:szCs w:val="44"/>
          <w:highlight w:val="none"/>
        </w:rPr>
        <w:t>项目商务需求</w:t>
      </w:r>
      <w:bookmarkEnd w:id="39"/>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0" w:name="_Toc105060893"/>
      <w:bookmarkStart w:id="41" w:name="_Toc344475120"/>
      <w:r>
        <w:rPr>
          <w:rFonts w:hint="eastAsia" w:asciiTheme="minorEastAsia" w:hAnsiTheme="minorEastAsia" w:eastAsiaTheme="minorEastAsia"/>
          <w:bCs/>
          <w:color w:val="auto"/>
          <w:sz w:val="28"/>
          <w:szCs w:val="28"/>
          <w:highlight w:val="none"/>
        </w:rPr>
        <w:t>一、服务期、地点及验收方式</w:t>
      </w:r>
      <w:bookmarkEnd w:id="40"/>
      <w:bookmarkEnd w:id="41"/>
    </w:p>
    <w:p>
      <w:pPr>
        <w:pStyle w:val="33"/>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（一）服务期：中标人应在发布中标通知后60个日历日内完成交付、调试及培训。</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（二）服务地点：重庆医科大学，采购人指定地点。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（三）验收方式：</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szCs w:val="28"/>
          <w:highlight w:val="none"/>
        </w:rPr>
        <w:t>重庆医科大学基础医学院医学可视化传播微专业课程建设</w:t>
      </w:r>
      <w:r>
        <w:rPr>
          <w:rFonts w:hint="eastAsia" w:asciiTheme="minorEastAsia" w:hAnsiTheme="minorEastAsia" w:eastAsiaTheme="minorEastAsia"/>
          <w:color w:val="auto"/>
          <w:szCs w:val="28"/>
          <w:highlight w:val="none"/>
          <w:lang w:eastAsia="zh-CN"/>
        </w:rPr>
        <w:t>》</w:t>
      </w:r>
      <w:r>
        <w:rPr>
          <w:rFonts w:hint="eastAsia" w:asciiTheme="minorEastAsia" w:hAnsiTheme="minorEastAsia" w:eastAsiaTheme="minorEastAsia"/>
          <w:color w:val="auto"/>
          <w:szCs w:val="28"/>
          <w:highlight w:val="none"/>
        </w:rPr>
        <w:t>项目</w:t>
      </w:r>
      <w:r>
        <w:rPr>
          <w:rFonts w:hint="eastAsia" w:asciiTheme="minorEastAsia" w:hAnsiTheme="minorEastAsia" w:eastAsiaTheme="minorEastAsia"/>
          <w:color w:val="auto"/>
          <w:highlight w:val="none"/>
        </w:rPr>
        <w:t>付验收。项目通过需求部门初验后，供应商向需求方提交项目验收申请，由需求方组织验收并出具验收报告。现场验收，由采购人组织人员对所有功能参数进行逐一核对验收。验收合格条件为：根据招标文件第二篇需求制作方将课程成品提交给课程团队进行审核，根据课程团队修改意见进行修改，直至课程团队审核通过后进行项目验收并签署项目交接单。</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2" w:name="_Toc344475121"/>
      <w:bookmarkStart w:id="43" w:name="_Toc105060894"/>
      <w:r>
        <w:rPr>
          <w:rFonts w:hint="eastAsia" w:asciiTheme="minorEastAsia" w:hAnsiTheme="minorEastAsia" w:eastAsiaTheme="minorEastAsia"/>
          <w:bCs/>
          <w:color w:val="auto"/>
          <w:sz w:val="28"/>
          <w:szCs w:val="28"/>
          <w:highlight w:val="none"/>
        </w:rPr>
        <w:t>二、</w:t>
      </w:r>
      <w:bookmarkEnd w:id="42"/>
      <w:r>
        <w:rPr>
          <w:rFonts w:hint="eastAsia" w:asciiTheme="minorEastAsia" w:hAnsiTheme="minorEastAsia" w:eastAsiaTheme="minorEastAsia"/>
          <w:bCs/>
          <w:color w:val="auto"/>
          <w:sz w:val="28"/>
          <w:szCs w:val="28"/>
          <w:highlight w:val="none"/>
        </w:rPr>
        <w:t>报价要求</w:t>
      </w:r>
      <w:bookmarkEnd w:id="43"/>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highlight w:val="none"/>
        </w:rPr>
        <w:t>磋商报价包括完成本项目所需的服务费、人工费及提供服务所需的设备或货物购买（制造）费、辅材费、运输费、装卸费、安装调试费、培训费及各种应纳的税费。因成交供应商自身原因造成漏报、少报皆由其自行承担责任，采购人不再补偿。</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4" w:name="_Toc105060895"/>
      <w:r>
        <w:rPr>
          <w:rFonts w:hint="eastAsia" w:asciiTheme="minorEastAsia" w:hAnsiTheme="minorEastAsia" w:eastAsiaTheme="minorEastAsia"/>
          <w:bCs/>
          <w:color w:val="auto"/>
          <w:sz w:val="28"/>
          <w:szCs w:val="28"/>
          <w:highlight w:val="none"/>
        </w:rPr>
        <w:t>三、</w:t>
      </w:r>
      <w:bookmarkStart w:id="45" w:name="_Toc398650620"/>
      <w:bookmarkStart w:id="46" w:name="_Toc344475122"/>
      <w:r>
        <w:rPr>
          <w:rFonts w:hint="eastAsia" w:asciiTheme="minorEastAsia" w:hAnsiTheme="minorEastAsia" w:eastAsiaTheme="minorEastAsia"/>
          <w:bCs/>
          <w:color w:val="auto"/>
          <w:sz w:val="28"/>
          <w:szCs w:val="28"/>
          <w:highlight w:val="none"/>
        </w:rPr>
        <w:t>质量保证及售后服务</w:t>
      </w:r>
      <w:bookmarkEnd w:id="44"/>
      <w:bookmarkEnd w:id="45"/>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（一）质量保证期：自验收合格之日起，提供</w:t>
      </w:r>
      <w:r>
        <w:rPr>
          <w:rFonts w:hint="eastAsia" w:asciiTheme="minorEastAsia" w:hAnsiTheme="minorEastAsia" w:eastAsiaTheme="minorEastAsia"/>
          <w:color w:val="auto"/>
          <w:szCs w:val="28"/>
          <w:highlight w:val="none"/>
        </w:rPr>
        <w:t>一年</w:t>
      </w:r>
      <w:r>
        <w:rPr>
          <w:rFonts w:hint="eastAsia" w:asciiTheme="minorEastAsia" w:hAnsiTheme="minorEastAsia" w:eastAsiaTheme="minorEastAsia"/>
          <w:color w:val="auto"/>
          <w:szCs w:val="28"/>
          <w:highlight w:val="none"/>
        </w:rPr>
        <w:t>的免费服务质保期。</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（二）售后服务内容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供应商在服务质保期内应当为采购人提供以下技术支持服务：</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1.质量保证期内服务要求</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1.1电话咨询</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成交供应商应当为用户提供技术援助电话，解答用户在使用中遇到的问题，及时为用户提出解决问题的建议。</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1.2现场响应</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用户遇到使用及技术问题，电话咨询不能解决的，成交供应商应在</w:t>
      </w:r>
      <w:r>
        <w:rPr>
          <w:rFonts w:asciiTheme="minorEastAsia" w:hAnsiTheme="minorEastAsia" w:eastAsiaTheme="minorEastAsia"/>
          <w:color w:val="auto"/>
          <w:szCs w:val="28"/>
          <w:highlight w:val="none"/>
        </w:rPr>
        <w:t>4</w:t>
      </w:r>
      <w:r>
        <w:rPr>
          <w:rFonts w:hint="eastAsia" w:asciiTheme="minorEastAsia" w:hAnsiTheme="minorEastAsia" w:eastAsiaTheme="minorEastAsia"/>
          <w:color w:val="auto"/>
          <w:szCs w:val="28"/>
          <w:highlight w:val="none"/>
        </w:rPr>
        <w:t>小时内采取相应响应措施；无法在</w:t>
      </w:r>
      <w:r>
        <w:rPr>
          <w:rFonts w:asciiTheme="minorEastAsia" w:hAnsiTheme="minorEastAsia" w:eastAsiaTheme="minorEastAsia"/>
          <w:color w:val="auto"/>
          <w:szCs w:val="28"/>
          <w:highlight w:val="none"/>
        </w:rPr>
        <w:t>4</w:t>
      </w:r>
      <w:r>
        <w:rPr>
          <w:rFonts w:hint="eastAsia" w:asciiTheme="minorEastAsia" w:hAnsiTheme="minorEastAsia" w:eastAsiaTheme="minorEastAsia"/>
          <w:color w:val="auto"/>
          <w:szCs w:val="28"/>
          <w:highlight w:val="none"/>
        </w:rPr>
        <w:t>小时内解决的，应在</w:t>
      </w:r>
      <w:r>
        <w:rPr>
          <w:rFonts w:asciiTheme="minorEastAsia" w:hAnsiTheme="minorEastAsia" w:eastAsiaTheme="minorEastAsia"/>
          <w:color w:val="auto"/>
          <w:szCs w:val="28"/>
          <w:highlight w:val="none"/>
        </w:rPr>
        <w:t>8</w:t>
      </w:r>
      <w:r>
        <w:rPr>
          <w:rFonts w:hint="eastAsia" w:asciiTheme="minorEastAsia" w:hAnsiTheme="minorEastAsia" w:eastAsiaTheme="minorEastAsia"/>
          <w:color w:val="auto"/>
          <w:szCs w:val="28"/>
          <w:highlight w:val="none"/>
        </w:rPr>
        <w:t>小时内派出专业人员进行技术支持。</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2.质保期外服务要求</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2.1质量保证期过后，成交供应商应同样提供免费电话咨询服务，并应承诺提供上门维护服务。</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2.2质量保证期过后，采购人需要继续由原成交供应商提供售后服务的，成交供应商应以优惠价格提供售后服务。</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（三）故障响应时间要求</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供应商接到使用方出现问题的通知后立即作出响应，</w:t>
      </w:r>
      <w:r>
        <w:rPr>
          <w:rFonts w:asciiTheme="minorEastAsia" w:hAnsiTheme="minorEastAsia" w:eastAsiaTheme="minorEastAsia"/>
          <w:color w:val="auto"/>
          <w:szCs w:val="28"/>
          <w:highlight w:val="none"/>
        </w:rPr>
        <w:t>12</w:t>
      </w:r>
      <w:r>
        <w:rPr>
          <w:rFonts w:hint="eastAsia" w:asciiTheme="minorEastAsia" w:hAnsiTheme="minorEastAsia" w:eastAsiaTheme="minorEastAsia"/>
          <w:color w:val="auto"/>
          <w:szCs w:val="28"/>
          <w:highlight w:val="none"/>
        </w:rPr>
        <w:t>小时内到达现场进行处理。</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7" w:name="_Toc105060896"/>
      <w:r>
        <w:rPr>
          <w:rFonts w:hint="eastAsia" w:asciiTheme="minorEastAsia" w:hAnsiTheme="minorEastAsia" w:eastAsiaTheme="minorEastAsia"/>
          <w:bCs/>
          <w:color w:val="auto"/>
          <w:sz w:val="28"/>
          <w:szCs w:val="28"/>
          <w:highlight w:val="none"/>
        </w:rPr>
        <w:t>四、付款方式</w:t>
      </w:r>
      <w:bookmarkEnd w:id="46"/>
      <w:bookmarkEnd w:id="47"/>
    </w:p>
    <w:p>
      <w:pPr>
        <w:spacing w:line="560" w:lineRule="exact"/>
        <w:ind w:firstLine="560" w:firstLineChars="200"/>
        <w:rPr>
          <w:rFonts w:asciiTheme="minorEastAsia" w:hAnsiTheme="minorEastAsia" w:eastAsiaTheme="minorEastAsia"/>
          <w:color w:val="auto"/>
          <w:szCs w:val="28"/>
          <w:highlight w:val="none"/>
        </w:rPr>
      </w:pPr>
      <w:bookmarkStart w:id="48" w:name="_Toc344475123"/>
      <w:r>
        <w:rPr>
          <w:rFonts w:hint="eastAsia" w:asciiTheme="minorEastAsia" w:hAnsiTheme="minorEastAsia" w:eastAsiaTheme="minorEastAsia"/>
          <w:color w:val="auto"/>
          <w:szCs w:val="28"/>
          <w:highlight w:val="none"/>
        </w:rPr>
        <w:t>（一）合同签订前，中标人向采购人缴纳合同金额5%的履约保证金；</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w:t>
      </w:r>
      <w:r>
        <w:rPr>
          <w:rFonts w:asciiTheme="minorEastAsia" w:hAnsiTheme="minorEastAsia" w:eastAsiaTheme="minorEastAsia"/>
          <w:color w:val="auto"/>
          <w:szCs w:val="28"/>
          <w:highlight w:val="none"/>
        </w:rPr>
        <w:t>中标人按合同</w:t>
      </w:r>
      <w:r>
        <w:rPr>
          <w:rFonts w:hint="eastAsia" w:asciiTheme="minorEastAsia" w:hAnsiTheme="minorEastAsia" w:eastAsiaTheme="minorEastAsia"/>
          <w:color w:val="auto"/>
          <w:szCs w:val="28"/>
          <w:highlight w:val="none"/>
        </w:rPr>
        <w:t>约定</w:t>
      </w:r>
      <w:r>
        <w:rPr>
          <w:rFonts w:asciiTheme="minorEastAsia" w:hAnsiTheme="minorEastAsia" w:eastAsiaTheme="minorEastAsia"/>
          <w:color w:val="auto"/>
          <w:szCs w:val="28"/>
          <w:highlight w:val="none"/>
        </w:rPr>
        <w:t>交货，经验收合格后</w:t>
      </w: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采购人出具项目验收报告；</w:t>
      </w:r>
    </w:p>
    <w:p>
      <w:pPr>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三</w:t>
      </w:r>
      <w:r>
        <w:rPr>
          <w:rFonts w:asciiTheme="minorEastAsia" w:hAnsiTheme="minorEastAsia" w:eastAsiaTheme="minorEastAsia"/>
          <w:color w:val="auto"/>
          <w:szCs w:val="28"/>
          <w:highlight w:val="none"/>
        </w:rPr>
        <w:t>）中标人向采购人开具发票，采购人以转账方式向中标人支付合同全款。</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（四）履约保证金在质保期届满后，无廉政、无质量及售后服务问题时，无息退还。</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9" w:name="_Toc105060897"/>
      <w:r>
        <w:rPr>
          <w:rFonts w:hint="eastAsia" w:asciiTheme="minorEastAsia" w:hAnsiTheme="minorEastAsia" w:eastAsiaTheme="minorEastAsia"/>
          <w:bCs/>
          <w:color w:val="auto"/>
          <w:sz w:val="28"/>
          <w:szCs w:val="28"/>
          <w:highlight w:val="none"/>
        </w:rPr>
        <w:t>五、培训</w:t>
      </w:r>
      <w:bookmarkEnd w:id="49"/>
    </w:p>
    <w:p>
      <w:pPr>
        <w:spacing w:line="480" w:lineRule="exact"/>
        <w:ind w:firstLine="56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课程培训</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课程的培训和推广为该项目的一部分，需中标公司协助课程教师团队进行，提供</w:t>
      </w:r>
      <w:r>
        <w:rPr>
          <w:rFonts w:hint="eastAsia" w:asciiTheme="minorEastAsia" w:hAnsiTheme="minorEastAsia" w:eastAsiaTheme="minorEastAsia"/>
          <w:color w:val="auto"/>
          <w:highlight w:val="none"/>
          <w:lang w:val="en-US" w:eastAsia="zh-CN"/>
        </w:rPr>
        <w:t>学生</w:t>
      </w:r>
      <w:r>
        <w:rPr>
          <w:rFonts w:asciiTheme="minorEastAsia" w:hAnsiTheme="minorEastAsia" w:eastAsiaTheme="minorEastAsia"/>
          <w:color w:val="auto"/>
          <w:highlight w:val="none"/>
        </w:rPr>
        <w:t>课程培训平台，并为课程配备1名人员协调团队</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开展为期1年的免费在线指导与运营服务。</w:t>
      </w:r>
    </w:p>
    <w:p>
      <w:pPr>
        <w:spacing w:line="480" w:lineRule="exact"/>
        <w:ind w:firstLine="560" w:firstLineChars="200"/>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2、培训要求：承诺课程建设前期和后期，就课程如何书写脚本，如何进行教学设计，章节计划、学时学分换算、资源如何上传，如何配备习题和考试等，课程如何按照精品在线开放课程和国家级在线开放课程进行运行、教学等内容，协助老师按照国家精品在线开放课程的申报标准进行搜集和整理数据，协助老师申报国家精品在线开放课程。</w:t>
      </w:r>
      <w:r>
        <w:rPr>
          <w:rFonts w:hint="eastAsia" w:asciiTheme="minorEastAsia" w:hAnsiTheme="minorEastAsia" w:eastAsiaTheme="minorEastAsia"/>
          <w:color w:val="auto"/>
          <w:highlight w:val="none"/>
          <w:lang w:val="en-US" w:eastAsia="zh-CN"/>
        </w:rPr>
        <w:t xml:space="preserve"> </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50" w:name="_Toc105060898"/>
      <w:r>
        <w:rPr>
          <w:rFonts w:hint="eastAsia" w:asciiTheme="minorEastAsia" w:hAnsiTheme="minorEastAsia" w:eastAsiaTheme="minorEastAsia"/>
          <w:bCs/>
          <w:color w:val="auto"/>
          <w:sz w:val="28"/>
          <w:szCs w:val="28"/>
          <w:highlight w:val="none"/>
        </w:rPr>
        <w:t>六、知识产权</w:t>
      </w:r>
      <w:bookmarkEnd w:id="48"/>
      <w:bookmarkEnd w:id="50"/>
    </w:p>
    <w:p>
      <w:pPr>
        <w:snapToGrid w:val="0"/>
        <w:spacing w:line="560" w:lineRule="exact"/>
        <w:ind w:firstLine="54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注：（若涉及</w:t>
      </w:r>
      <w:r>
        <w:rPr>
          <w:rFonts w:hint="eastAsia" w:asciiTheme="minorEastAsia" w:hAnsiTheme="minorEastAsia" w:eastAsiaTheme="minorEastAsia"/>
          <w:color w:val="auto"/>
          <w:szCs w:val="28"/>
          <w:highlight w:val="none"/>
          <w:lang w:val="en-US" w:eastAsia="zh-CN"/>
        </w:rPr>
        <w:t>课程</w:t>
      </w:r>
      <w:r>
        <w:rPr>
          <w:rFonts w:hint="eastAsia" w:asciiTheme="minorEastAsia" w:hAnsiTheme="minorEastAsia" w:eastAsiaTheme="minorEastAsia"/>
          <w:color w:val="auto"/>
          <w:szCs w:val="28"/>
          <w:highlight w:val="none"/>
        </w:rPr>
        <w:t>等服务类项目知识产权</w:t>
      </w:r>
      <w:r>
        <w:rPr>
          <w:rFonts w:hint="eastAsia" w:asciiTheme="minorEastAsia" w:hAnsiTheme="minorEastAsia" w:eastAsiaTheme="minorEastAsia"/>
          <w:color w:val="auto"/>
          <w:szCs w:val="28"/>
          <w:highlight w:val="none"/>
          <w:lang w:val="en-US" w:eastAsia="zh-CN"/>
        </w:rPr>
        <w:t>或者版权归属</w:t>
      </w:r>
      <w:r>
        <w:rPr>
          <w:rFonts w:hint="eastAsia" w:asciiTheme="minorEastAsia" w:hAnsiTheme="minorEastAsia" w:eastAsiaTheme="minorEastAsia"/>
          <w:color w:val="auto"/>
          <w:szCs w:val="28"/>
          <w:highlight w:val="none"/>
        </w:rPr>
        <w:t>的，知识产权</w:t>
      </w:r>
      <w:r>
        <w:rPr>
          <w:rFonts w:hint="eastAsia" w:asciiTheme="minorEastAsia" w:hAnsiTheme="minorEastAsia" w:eastAsiaTheme="minorEastAsia"/>
          <w:color w:val="auto"/>
          <w:szCs w:val="28"/>
          <w:highlight w:val="none"/>
          <w:lang w:val="en-US" w:eastAsia="zh-CN"/>
        </w:rPr>
        <w:t>或版权</w:t>
      </w:r>
      <w:r>
        <w:rPr>
          <w:rFonts w:hint="eastAsia" w:asciiTheme="minorEastAsia" w:hAnsiTheme="minorEastAsia" w:eastAsiaTheme="minorEastAsia"/>
          <w:color w:val="auto"/>
          <w:szCs w:val="28"/>
          <w:highlight w:val="none"/>
        </w:rPr>
        <w:t>归采购人</w:t>
      </w:r>
      <w:r>
        <w:rPr>
          <w:rFonts w:hint="eastAsia" w:asciiTheme="minorEastAsia" w:hAnsiTheme="minorEastAsia" w:eastAsiaTheme="minorEastAsia"/>
          <w:color w:val="auto"/>
          <w:szCs w:val="28"/>
          <w:highlight w:val="none"/>
          <w:lang w:val="en-US" w:eastAsia="zh-CN"/>
        </w:rPr>
        <w:t>和供应商共同</w:t>
      </w:r>
      <w:r>
        <w:rPr>
          <w:rFonts w:hint="eastAsia" w:asciiTheme="minorEastAsia" w:hAnsiTheme="minorEastAsia" w:eastAsiaTheme="minorEastAsia"/>
          <w:color w:val="auto"/>
          <w:szCs w:val="28"/>
          <w:highlight w:val="none"/>
        </w:rPr>
        <w:t>所有）。</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51" w:name="_Toc344475124"/>
      <w:bookmarkStart w:id="52" w:name="_Toc105060899"/>
      <w:r>
        <w:rPr>
          <w:rFonts w:hint="eastAsia" w:asciiTheme="minorEastAsia" w:hAnsiTheme="minorEastAsia" w:eastAsiaTheme="minorEastAsia"/>
          <w:bCs/>
          <w:color w:val="auto"/>
          <w:sz w:val="28"/>
          <w:szCs w:val="28"/>
          <w:highlight w:val="none"/>
        </w:rPr>
        <w:t>七、</w:t>
      </w:r>
      <w:bookmarkEnd w:id="51"/>
      <w:bookmarkStart w:id="53" w:name="_Toc344475125"/>
      <w:r>
        <w:rPr>
          <w:rFonts w:hint="eastAsia" w:asciiTheme="minorEastAsia" w:hAnsiTheme="minorEastAsia" w:eastAsiaTheme="minorEastAsia"/>
          <w:bCs/>
          <w:color w:val="auto"/>
          <w:sz w:val="28"/>
          <w:szCs w:val="28"/>
          <w:highlight w:val="none"/>
        </w:rPr>
        <w:t>其他</w:t>
      </w:r>
      <w:bookmarkEnd w:id="52"/>
    </w:p>
    <w:bookmarkEnd w:id="53"/>
    <w:p>
      <w:pPr>
        <w:snapToGrid w:val="0"/>
        <w:spacing w:line="560" w:lineRule="exact"/>
        <w:ind w:firstLine="560" w:firstLineChars="200"/>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（一）供应商必须在响应文件中对以上条款和服务承诺明确列出，承诺内容必须达到本篇及竞争性磋商文件其他条款的要求。</w:t>
      </w:r>
    </w:p>
    <w:p>
      <w:pPr>
        <w:snapToGrid w:val="0"/>
        <w:spacing w:line="560" w:lineRule="exact"/>
        <w:ind w:firstLine="560" w:firstLineChars="200"/>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（二）其他未尽事宜由供需双方在采购合同中详细约定。</w:t>
      </w:r>
    </w:p>
    <w:p>
      <w:pPr>
        <w:pStyle w:val="3"/>
        <w:pageBreakBefore/>
        <w:spacing w:before="0" w:after="0" w:line="560" w:lineRule="exact"/>
        <w:jc w:val="center"/>
        <w:rPr>
          <w:rFonts w:asciiTheme="minorEastAsia" w:hAnsiTheme="minorEastAsia" w:eastAsiaTheme="minorEastAsia"/>
          <w:bCs/>
          <w:color w:val="auto"/>
          <w:sz w:val="44"/>
          <w:szCs w:val="44"/>
          <w:highlight w:val="none"/>
        </w:rPr>
      </w:pPr>
      <w:bookmarkStart w:id="54" w:name="_Toc105060900"/>
      <w:r>
        <w:rPr>
          <w:rFonts w:hint="eastAsia" w:asciiTheme="minorEastAsia" w:hAnsiTheme="minorEastAsia" w:eastAsiaTheme="minorEastAsia"/>
          <w:bCs/>
          <w:color w:val="auto"/>
          <w:sz w:val="44"/>
          <w:szCs w:val="44"/>
          <w:highlight w:val="none"/>
        </w:rPr>
        <w:t>第四篇  磋商程序及方法、评审标准、无效响应和采购终止</w:t>
      </w:r>
      <w:bookmarkEnd w:id="54"/>
    </w:p>
    <w:p>
      <w:pPr>
        <w:rPr>
          <w:rFonts w:asciiTheme="minorEastAsia" w:hAnsiTheme="minorEastAsia" w:eastAsiaTheme="minorEastAsia"/>
          <w:color w:val="auto"/>
          <w:highlight w:val="none"/>
        </w:rPr>
      </w:pP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55" w:name="_Toc105060901"/>
      <w:r>
        <w:rPr>
          <w:rFonts w:hint="eastAsia" w:asciiTheme="minorEastAsia" w:hAnsiTheme="minorEastAsia" w:eastAsiaTheme="minorEastAsia"/>
          <w:bCs/>
          <w:color w:val="auto"/>
          <w:sz w:val="28"/>
          <w:szCs w:val="28"/>
          <w:highlight w:val="none"/>
        </w:rPr>
        <w:t>一、磋商程序及方法</w:t>
      </w:r>
      <w:bookmarkEnd w:id="55"/>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（二）磋商小组对各供应商的资格条件、响应文件的有效性、完整性和响应程度进行审查。各供应商只有在完全符合要求的前提下，才能参与正式磋商。</w:t>
      </w:r>
    </w:p>
    <w:p>
      <w:pPr>
        <w:snapToGrid w:val="0"/>
        <w:spacing w:line="560" w:lineRule="exact"/>
        <w:ind w:firstLine="560" w:firstLineChars="200"/>
        <w:rPr>
          <w:rFonts w:cs="宋体" w:asciiTheme="minorEastAsia" w:hAnsiTheme="minorEastAsia" w:eastAsiaTheme="minorEastAsia"/>
          <w:color w:val="auto"/>
          <w:kern w:val="0"/>
          <w:szCs w:val="28"/>
          <w:highlight w:val="none"/>
        </w:rPr>
      </w:pPr>
      <w:r>
        <w:rPr>
          <w:rFonts w:hint="eastAsia" w:asciiTheme="minorEastAsia" w:hAnsiTheme="minorEastAsia" w:eastAsiaTheme="minorEastAsia"/>
          <w:color w:val="auto"/>
          <w:szCs w:val="28"/>
          <w:highlight w:val="none"/>
        </w:rPr>
        <w:t>1.</w:t>
      </w:r>
      <w:r>
        <w:rPr>
          <w:rFonts w:hint="eastAsia" w:cs="宋体" w:asciiTheme="minorEastAsia" w:hAnsiTheme="minorEastAsia" w:eastAsiaTheme="minorEastAsia"/>
          <w:color w:val="auto"/>
          <w:kern w:val="0"/>
          <w:szCs w:val="28"/>
          <w:highlight w:val="none"/>
        </w:rPr>
        <w:t>资格性检查。依据法律法规和竞争性磋商文件的规定，对响应文件中的资格证明、等进行审查，以确定供应商是否具备磋商资格。资格性检查资料表如下：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692"/>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序号</w:t>
            </w:r>
          </w:p>
        </w:tc>
        <w:tc>
          <w:tcPr>
            <w:tcW w:w="3401" w:type="dxa"/>
            <w:gridSpan w:val="2"/>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检查因素</w:t>
            </w:r>
          </w:p>
        </w:tc>
        <w:tc>
          <w:tcPr>
            <w:tcW w:w="5551"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76" w:type="dxa"/>
            <w:vMerge w:val="restart"/>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w:t>
            </w:r>
          </w:p>
        </w:tc>
        <w:tc>
          <w:tcPr>
            <w:tcW w:w="709" w:type="dxa"/>
            <w:vMerge w:val="restart"/>
            <w:vAlign w:val="center"/>
          </w:tcPr>
          <w:p>
            <w:pPr>
              <w:spacing w:line="560" w:lineRule="exact"/>
              <w:rPr>
                <w:rFonts w:cs="FangSong_GB2312" w:asciiTheme="minorEastAsia" w:hAnsiTheme="minorEastAsia" w:eastAsiaTheme="minorEastAsia"/>
                <w:color w:val="auto"/>
                <w:szCs w:val="28"/>
                <w:highlight w:val="none"/>
                <w:lang w:val="zh-CN"/>
              </w:rPr>
            </w:pPr>
            <w:r>
              <w:rPr>
                <w:rFonts w:hint="eastAsia" w:cs="FangSong_GB2312" w:asciiTheme="minorEastAsia" w:hAnsiTheme="minorEastAsia" w:eastAsiaTheme="minorEastAsia"/>
                <w:color w:val="auto"/>
                <w:szCs w:val="28"/>
                <w:highlight w:val="none"/>
              </w:rPr>
              <w:t>供应商</w:t>
            </w:r>
            <w:r>
              <w:rPr>
                <w:rFonts w:hint="eastAsia" w:cs="FangSong_GB2312" w:asciiTheme="minorEastAsia" w:hAnsiTheme="minorEastAsia" w:eastAsiaTheme="minorEastAsia"/>
                <w:color w:val="auto"/>
                <w:szCs w:val="28"/>
                <w:highlight w:val="none"/>
                <w:lang w:val="zh-CN"/>
              </w:rPr>
              <w:t>应符合的基本资格条件</w:t>
            </w:r>
          </w:p>
        </w:tc>
        <w:tc>
          <w:tcPr>
            <w:tcW w:w="2692"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（1）具有独立承担民事责任的能力</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①供应商法人营业执照（副本）或事业单位法人证书（副本）或个体工商户营业执照或有效的自然人身份证明、组织机构代码证复印件（注1）； </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②供应商法定代表人身份证明和法定代表人授权代表委托书。不具有独立法人的分公司、办事处等分支机构不能参加磋商。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FangSong_GB2312" w:asciiTheme="minorEastAsia" w:hAnsiTheme="minorEastAsia" w:eastAsiaTheme="minorEastAsia"/>
                <w:color w:val="auto"/>
                <w:szCs w:val="28"/>
                <w:highlight w:val="none"/>
                <w:lang w:val="zh-CN"/>
              </w:rPr>
            </w:pPr>
          </w:p>
        </w:tc>
        <w:tc>
          <w:tcPr>
            <w:tcW w:w="2692" w:type="dxa"/>
            <w:vAlign w:val="center"/>
          </w:tcPr>
          <w:p>
            <w:pPr>
              <w:spacing w:line="560" w:lineRule="exact"/>
              <w:rPr>
                <w:rFonts w:asciiTheme="minorEastAsia" w:hAnsiTheme="minorEastAsia" w:eastAsiaTheme="minorEastAsia"/>
                <w:color w:val="auto"/>
                <w:szCs w:val="28"/>
                <w:highlight w:val="none"/>
              </w:rPr>
            </w:pPr>
            <w:r>
              <w:rPr>
                <w:rFonts w:hint="eastAsia" w:cs="FangSong_GB2312" w:asciiTheme="minorEastAsia" w:hAnsiTheme="minorEastAsia" w:eastAsiaTheme="minorEastAsia"/>
                <w:color w:val="auto"/>
                <w:szCs w:val="28"/>
                <w:highlight w:val="none"/>
                <w:lang w:val="zh-CN"/>
              </w:rPr>
              <w:t>（2）</w:t>
            </w:r>
            <w:r>
              <w:rPr>
                <w:rFonts w:hint="eastAsia" w:asciiTheme="minorEastAsia" w:hAnsiTheme="minorEastAsia" w:eastAsiaTheme="minorEastAsia"/>
                <w:color w:val="auto"/>
                <w:szCs w:val="28"/>
                <w:highlight w:val="none"/>
              </w:rPr>
              <w:t>具有良好的商业信誉和健全的财务会计制度</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①提供20</w:t>
            </w:r>
            <w:r>
              <w:rPr>
                <w:rFonts w:asciiTheme="minorEastAsia" w:hAnsiTheme="minorEastAsia" w:eastAsiaTheme="minorEastAsia"/>
                <w:color w:val="auto"/>
                <w:szCs w:val="28"/>
                <w:highlight w:val="none"/>
              </w:rPr>
              <w:t>21</w:t>
            </w:r>
            <w:r>
              <w:rPr>
                <w:rFonts w:hint="eastAsia" w:asciiTheme="minorEastAsia" w:hAnsiTheme="minorEastAsia" w:eastAsiaTheme="minorEastAsia"/>
                <w:color w:val="auto"/>
                <w:szCs w:val="28"/>
                <w:highlight w:val="none"/>
              </w:rPr>
              <w:t>或20</w:t>
            </w:r>
            <w:r>
              <w:rPr>
                <w:rFonts w:asciiTheme="minorEastAsia" w:hAnsiTheme="minorEastAsia" w:eastAsiaTheme="minorEastAsia"/>
                <w:color w:val="auto"/>
                <w:szCs w:val="28"/>
                <w:highlight w:val="none"/>
              </w:rPr>
              <w:t>22</w:t>
            </w:r>
            <w:r>
              <w:rPr>
                <w:rFonts w:hint="eastAsia" w:asciiTheme="minorEastAsia" w:hAnsiTheme="minorEastAsia" w:eastAsiaTheme="minorEastAsia"/>
                <w:color w:val="auto"/>
                <w:szCs w:val="28"/>
                <w:highlight w:val="none"/>
              </w:rPr>
              <w:t>年度财务状况报告（表）复印件，本年度新成立或成立不满一年的组织和自然人无法提供财务状况报告（表）的，可提供银行出具的资信证明复印件。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FangSong_GB2312" w:asciiTheme="minorEastAsia" w:hAnsiTheme="minorEastAsia" w:eastAsiaTheme="minorEastAsia"/>
                <w:color w:val="auto"/>
                <w:szCs w:val="28"/>
                <w:highlight w:val="none"/>
                <w:lang w:val="zh-CN"/>
              </w:rPr>
            </w:pPr>
          </w:p>
        </w:tc>
        <w:tc>
          <w:tcPr>
            <w:tcW w:w="2692" w:type="dxa"/>
            <w:vAlign w:val="center"/>
          </w:tcPr>
          <w:p>
            <w:pPr>
              <w:spacing w:line="560" w:lineRule="exact"/>
              <w:rPr>
                <w:rFonts w:cs="FangSong_GB2312" w:asciiTheme="minorEastAsia" w:hAnsiTheme="minorEastAsia" w:eastAsiaTheme="minorEastAsia"/>
                <w:color w:val="auto"/>
                <w:szCs w:val="28"/>
                <w:highlight w:val="none"/>
                <w:lang w:val="zh-CN"/>
              </w:rPr>
            </w:pPr>
            <w:r>
              <w:rPr>
                <w:rFonts w:hint="eastAsia" w:cs="FangSong_GB2312" w:asciiTheme="minorEastAsia" w:hAnsiTheme="minorEastAsia" w:eastAsiaTheme="minorEastAsia"/>
                <w:color w:val="auto"/>
                <w:szCs w:val="28"/>
                <w:highlight w:val="none"/>
                <w:lang w:val="zh-CN"/>
              </w:rPr>
              <w:t>（3）具有履行合同所必需的设备和专业技术能力</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FangSong_GB2312" w:asciiTheme="minorEastAsia" w:hAnsiTheme="minorEastAsia" w:eastAsiaTheme="minorEastAsia"/>
                <w:color w:val="auto"/>
                <w:szCs w:val="28"/>
                <w:highlight w:val="none"/>
                <w:lang w:val="zh-CN"/>
              </w:rPr>
            </w:pPr>
          </w:p>
        </w:tc>
        <w:tc>
          <w:tcPr>
            <w:tcW w:w="2692" w:type="dxa"/>
            <w:vAlign w:val="center"/>
          </w:tcPr>
          <w:p>
            <w:pPr>
              <w:spacing w:line="560" w:lineRule="exact"/>
              <w:rPr>
                <w:rFonts w:cs="FangSong_GB2312" w:asciiTheme="minorEastAsia" w:hAnsiTheme="minorEastAsia" w:eastAsiaTheme="minorEastAsia"/>
                <w:color w:val="auto"/>
                <w:szCs w:val="28"/>
                <w:highlight w:val="none"/>
                <w:lang w:val="zh-CN"/>
              </w:rPr>
            </w:pPr>
            <w:r>
              <w:rPr>
                <w:rFonts w:hint="eastAsia" w:cs="FangSong_GB2312" w:asciiTheme="minorEastAsia" w:hAnsiTheme="minorEastAsia" w:eastAsiaTheme="minorEastAsia"/>
                <w:color w:val="auto"/>
                <w:szCs w:val="28"/>
                <w:highlight w:val="none"/>
                <w:lang w:val="zh-CN"/>
              </w:rPr>
              <w:t>（4）有依法缴纳税收和社会保障金的良好记录</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①税务登记证（副本）复印件（注2）</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②缴纳社会保障金的证明材料复印件（缴纳社会保障金的证明材料指：社会保险登记证或缴纳社会保险的凭据（专用收据或社会保险缴纳清单）。</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FangSong_GB2312" w:asciiTheme="minorEastAsia" w:hAnsiTheme="minorEastAsia" w:eastAsiaTheme="minorEastAsia"/>
                <w:color w:val="auto"/>
                <w:szCs w:val="28"/>
                <w:highlight w:val="none"/>
                <w:lang w:val="zh-CN"/>
              </w:rPr>
            </w:pPr>
          </w:p>
        </w:tc>
        <w:tc>
          <w:tcPr>
            <w:tcW w:w="2692" w:type="dxa"/>
            <w:vAlign w:val="center"/>
          </w:tcPr>
          <w:p>
            <w:pPr>
              <w:spacing w:line="560" w:lineRule="exact"/>
              <w:rPr>
                <w:rFonts w:cs="FangSong_GB2312" w:asciiTheme="minorEastAsia" w:hAnsiTheme="minorEastAsia" w:eastAsiaTheme="minorEastAsia"/>
                <w:color w:val="auto"/>
                <w:szCs w:val="28"/>
                <w:highlight w:val="none"/>
                <w:lang w:val="zh-CN"/>
              </w:rPr>
            </w:pPr>
            <w:r>
              <w:rPr>
                <w:rFonts w:hint="eastAsia" w:asciiTheme="minorEastAsia" w:hAnsiTheme="minorEastAsia" w:eastAsiaTheme="minorEastAsia"/>
                <w:color w:val="auto"/>
                <w:szCs w:val="28"/>
                <w:highlight w:val="none"/>
              </w:rPr>
              <w:t>（5）参加政府采购活动前三年内，在经营活动中没有重大违法记录（注3）</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①供应商提供书面声明（见格式文件）；</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FangSong_GB2312" w:asciiTheme="minorEastAsia" w:hAnsiTheme="minorEastAsia" w:eastAsiaTheme="minorEastAsia"/>
                <w:color w:val="auto"/>
                <w:szCs w:val="28"/>
                <w:highlight w:val="none"/>
                <w:lang w:val="zh-CN"/>
              </w:rPr>
            </w:pPr>
          </w:p>
        </w:tc>
        <w:tc>
          <w:tcPr>
            <w:tcW w:w="2692"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（6）法律、行政法规规定的其他条件</w:t>
            </w:r>
          </w:p>
        </w:tc>
        <w:tc>
          <w:tcPr>
            <w:tcW w:w="5551" w:type="dxa"/>
            <w:vAlign w:val="center"/>
          </w:tcPr>
          <w:p>
            <w:pPr>
              <w:spacing w:line="560" w:lineRule="exact"/>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w:t>
            </w:r>
          </w:p>
        </w:tc>
        <w:tc>
          <w:tcPr>
            <w:tcW w:w="3401" w:type="dxa"/>
            <w:gridSpan w:val="2"/>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特定资格条件</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无</w:t>
            </w:r>
          </w:p>
        </w:tc>
      </w:tr>
    </w:tbl>
    <w:p>
      <w:pPr>
        <w:snapToGrid w:val="0"/>
        <w:spacing w:line="560" w:lineRule="exact"/>
        <w:ind w:firstLine="560" w:firstLineChars="200"/>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注1：供应商按“多证合一”登记制度办理营业执照的，组织机构代码证和税务登记证（副本）以供应商所提供的营业执照（副本）复印件为准。</w:t>
      </w:r>
    </w:p>
    <w:p>
      <w:pPr>
        <w:snapToGrid w:val="0"/>
        <w:spacing w:line="560" w:lineRule="exact"/>
        <w:ind w:firstLine="560" w:firstLineChars="200"/>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2.符合性检查。依据竞争性磋商文件的规定，从响应文件的有效性、完整性和对竞争性磋商文件的响应程度进行审查，以确定是否对竞争性磋商文件的实质性要求作出响应。</w:t>
      </w:r>
      <w:r>
        <w:rPr>
          <w:rFonts w:hint="eastAsia" w:asciiTheme="minorEastAsia" w:hAnsiTheme="minorEastAsia" w:eastAsiaTheme="minorEastAsia"/>
          <w:color w:val="auto"/>
          <w:kern w:val="0"/>
          <w:szCs w:val="28"/>
          <w:highlight w:val="none"/>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985"/>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序号</w:t>
            </w:r>
          </w:p>
        </w:tc>
        <w:tc>
          <w:tcPr>
            <w:tcW w:w="3686" w:type="dxa"/>
            <w:gridSpan w:val="2"/>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评审因素</w:t>
            </w:r>
          </w:p>
        </w:tc>
        <w:tc>
          <w:tcPr>
            <w:tcW w:w="5125"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1</w:t>
            </w:r>
          </w:p>
        </w:tc>
        <w:tc>
          <w:tcPr>
            <w:tcW w:w="1701" w:type="dxa"/>
            <w:vMerge w:val="restart"/>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有效性审查</w:t>
            </w: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asciiTheme="minorEastAsia" w:hAnsiTheme="minorEastAsia" w:eastAsiaTheme="minorEastAsia"/>
                <w:color w:val="auto"/>
                <w:szCs w:val="28"/>
                <w:highlight w:val="none"/>
              </w:rPr>
              <w:t>响应文件签署</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asciiTheme="minorEastAsia" w:hAnsiTheme="minorEastAsia" w:eastAsiaTheme="minorEastAsia"/>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宋体" w:asciiTheme="minorEastAsia" w:hAnsiTheme="minorEastAsia" w:eastAsiaTheme="minorEastAsia"/>
                <w:color w:val="auto"/>
                <w:kern w:val="0"/>
                <w:szCs w:val="28"/>
                <w:highlight w:val="none"/>
              </w:rPr>
            </w:pPr>
          </w:p>
        </w:tc>
        <w:tc>
          <w:tcPr>
            <w:tcW w:w="1985"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法定代表人身份证明及授权委托书</w:t>
            </w:r>
          </w:p>
        </w:tc>
        <w:tc>
          <w:tcPr>
            <w:tcW w:w="5125"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宋体" w:asciiTheme="minorEastAsia" w:hAnsiTheme="minorEastAsia" w:eastAsiaTheme="minorEastAsia"/>
                <w:color w:val="auto"/>
                <w:kern w:val="0"/>
                <w:szCs w:val="28"/>
                <w:highlight w:val="none"/>
              </w:rPr>
            </w:pPr>
          </w:p>
        </w:tc>
        <w:tc>
          <w:tcPr>
            <w:tcW w:w="1985" w:type="dxa"/>
            <w:vAlign w:val="center"/>
          </w:tcPr>
          <w:p>
            <w:pPr>
              <w:spacing w:line="560" w:lineRule="exact"/>
              <w:rPr>
                <w:rFonts w:cs="FangSong_GB2312" w:asciiTheme="minorEastAsia" w:hAnsiTheme="minorEastAsia" w:eastAsiaTheme="minorEastAsia"/>
                <w:color w:val="auto"/>
                <w:szCs w:val="28"/>
                <w:highlight w:val="none"/>
                <w:lang w:val="zh-CN"/>
              </w:rPr>
            </w:pPr>
            <w:r>
              <w:rPr>
                <w:rFonts w:hint="eastAsia" w:cs="FangSong_GB2312" w:asciiTheme="minorEastAsia" w:hAnsiTheme="minorEastAsia" w:eastAsiaTheme="minorEastAsia"/>
                <w:color w:val="auto"/>
                <w:szCs w:val="28"/>
                <w:highlight w:val="none"/>
              </w:rPr>
              <w:t>响应</w:t>
            </w:r>
            <w:r>
              <w:rPr>
                <w:rFonts w:hint="eastAsia" w:cs="FangSong_GB2312" w:asciiTheme="minorEastAsia" w:hAnsiTheme="minorEastAsia" w:eastAsiaTheme="minorEastAsia"/>
                <w:color w:val="auto"/>
                <w:szCs w:val="28"/>
                <w:highlight w:val="none"/>
                <w:lang w:val="zh-CN"/>
              </w:rPr>
              <w:t>方案</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FangSong_GB2312" w:asciiTheme="minorEastAsia" w:hAnsiTheme="minorEastAsia" w:eastAsiaTheme="minorEastAsia"/>
                <w:color w:val="auto"/>
                <w:szCs w:val="28"/>
                <w:highlight w:val="none"/>
                <w:lang w:val="zh-CN"/>
              </w:rPr>
              <w:t>每个分包只能有一个</w:t>
            </w:r>
            <w:r>
              <w:rPr>
                <w:rFonts w:hint="eastAsia" w:cs="FangSong_GB2312" w:asciiTheme="minorEastAsia" w:hAnsiTheme="minorEastAsia" w:eastAsiaTheme="minorEastAsia"/>
                <w:color w:val="auto"/>
                <w:szCs w:val="28"/>
                <w:highlight w:val="none"/>
              </w:rPr>
              <w:t>响应</w:t>
            </w:r>
            <w:r>
              <w:rPr>
                <w:rFonts w:hint="eastAsia" w:cs="FangSong_GB2312" w:asciiTheme="minorEastAsia" w:hAnsiTheme="minorEastAsia" w:eastAsiaTheme="minorEastAsia"/>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宋体" w:asciiTheme="minorEastAsia" w:hAnsiTheme="minorEastAsia" w:eastAsiaTheme="minorEastAsia"/>
                <w:color w:val="auto"/>
                <w:kern w:val="0"/>
                <w:szCs w:val="28"/>
                <w:highlight w:val="none"/>
              </w:rPr>
            </w:pPr>
          </w:p>
        </w:tc>
        <w:tc>
          <w:tcPr>
            <w:tcW w:w="1985" w:type="dxa"/>
            <w:vAlign w:val="center"/>
          </w:tcPr>
          <w:p>
            <w:pPr>
              <w:spacing w:line="560" w:lineRule="exact"/>
              <w:rPr>
                <w:rFonts w:cs="FangSong_GB2312" w:asciiTheme="minorEastAsia" w:hAnsiTheme="minorEastAsia" w:eastAsiaTheme="minorEastAsia"/>
                <w:color w:val="auto"/>
                <w:szCs w:val="28"/>
                <w:highlight w:val="none"/>
                <w:lang w:val="zh-CN"/>
              </w:rPr>
            </w:pPr>
            <w:r>
              <w:rPr>
                <w:rFonts w:hint="eastAsia" w:asciiTheme="minorEastAsia" w:hAnsiTheme="minorEastAsia" w:eastAsiaTheme="minorEastAsia"/>
                <w:color w:val="auto"/>
                <w:szCs w:val="28"/>
                <w:highlight w:val="none"/>
              </w:rPr>
              <w:t>报价唯一</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FangSong_GB2312" w:asciiTheme="minorEastAsia" w:hAnsiTheme="minorEastAsia" w:eastAsiaTheme="minorEastAsia"/>
                <w:color w:val="auto"/>
                <w:szCs w:val="28"/>
                <w:highlight w:val="none"/>
                <w:lang w:val="zh-CN"/>
              </w:rPr>
              <w:t>只能在采购预算范围内报价，</w:t>
            </w:r>
            <w:r>
              <w:rPr>
                <w:rFonts w:hint="eastAsia" w:asciiTheme="minorEastAsia" w:hAnsiTheme="minorEastAsia" w:eastAsiaTheme="minorEastAsia"/>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7"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2</w:t>
            </w:r>
          </w:p>
        </w:tc>
        <w:tc>
          <w:tcPr>
            <w:tcW w:w="1701"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完整性审查</w:t>
            </w: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FangSong_GB2312" w:asciiTheme="minorEastAsia" w:hAnsiTheme="minorEastAsia" w:eastAsiaTheme="minorEastAsia"/>
                <w:color w:val="auto"/>
                <w:szCs w:val="28"/>
                <w:highlight w:val="none"/>
              </w:rPr>
              <w:t>响应</w:t>
            </w:r>
            <w:r>
              <w:rPr>
                <w:rFonts w:hint="eastAsia" w:cs="FangSong_GB2312" w:asciiTheme="minorEastAsia" w:hAnsiTheme="minorEastAsia" w:eastAsiaTheme="minorEastAsia"/>
                <w:color w:val="auto"/>
                <w:szCs w:val="28"/>
                <w:highlight w:val="none"/>
                <w:lang w:val="zh-CN"/>
              </w:rPr>
              <w:t>文件份数</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FangSong_GB2312" w:asciiTheme="minorEastAsia" w:hAnsiTheme="minorEastAsia" w:eastAsiaTheme="minorEastAsia"/>
                <w:color w:val="auto"/>
                <w:szCs w:val="28"/>
                <w:highlight w:val="none"/>
              </w:rPr>
              <w:t>响应</w:t>
            </w:r>
            <w:r>
              <w:rPr>
                <w:rFonts w:hint="eastAsia" w:cs="FangSong_GB2312" w:asciiTheme="minorEastAsia" w:hAnsiTheme="minorEastAsia" w:eastAsiaTheme="minorEastAsia"/>
                <w:color w:val="auto"/>
                <w:szCs w:val="28"/>
                <w:highlight w:val="none"/>
                <w:lang w:val="zh-CN"/>
              </w:rPr>
              <w:t>文件正、副本数量（含电子文档）符合</w:t>
            </w:r>
            <w:r>
              <w:rPr>
                <w:rFonts w:hint="eastAsia" w:cs="FangSong_GB2312" w:asciiTheme="minorEastAsia" w:hAnsiTheme="minorEastAsia" w:eastAsiaTheme="minorEastAsia"/>
                <w:color w:val="auto"/>
                <w:szCs w:val="28"/>
                <w:highlight w:val="none"/>
              </w:rPr>
              <w:t>竞争性磋商</w:t>
            </w:r>
            <w:r>
              <w:rPr>
                <w:rFonts w:hint="eastAsia" w:cs="FangSong_GB2312" w:asciiTheme="minorEastAsia" w:hAnsiTheme="minorEastAsia" w:eastAsiaTheme="minorEastAsia"/>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3</w:t>
            </w:r>
          </w:p>
        </w:tc>
        <w:tc>
          <w:tcPr>
            <w:tcW w:w="1701" w:type="dxa"/>
            <w:vMerge w:val="restart"/>
            <w:vAlign w:val="center"/>
          </w:tcPr>
          <w:p>
            <w:pPr>
              <w:spacing w:line="560" w:lineRule="exact"/>
              <w:rPr>
                <w:rFonts w:cs="FangSong_GB2312" w:asciiTheme="minorEastAsia" w:hAnsiTheme="minorEastAsia" w:eastAsiaTheme="minorEastAsia"/>
                <w:color w:val="auto"/>
                <w:szCs w:val="28"/>
                <w:highlight w:val="none"/>
                <w:lang w:val="zh-CN"/>
              </w:rPr>
            </w:pPr>
            <w:r>
              <w:rPr>
                <w:rFonts w:hint="eastAsia" w:cs="宋体" w:asciiTheme="minorEastAsia" w:hAnsiTheme="minorEastAsia" w:eastAsiaTheme="minorEastAsia"/>
                <w:color w:val="auto"/>
                <w:kern w:val="0"/>
                <w:szCs w:val="28"/>
                <w:highlight w:val="none"/>
              </w:rPr>
              <w:t>竞争性磋商文件的响应程度审查</w:t>
            </w: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响应文件内容</w:t>
            </w:r>
          </w:p>
        </w:tc>
        <w:tc>
          <w:tcPr>
            <w:tcW w:w="5125" w:type="dxa"/>
            <w:vAlign w:val="center"/>
          </w:tcPr>
          <w:p>
            <w:pPr>
              <w:pStyle w:val="32"/>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FangSong_GB2312" w:asciiTheme="minorEastAsia" w:hAnsiTheme="minorEastAsia" w:eastAsiaTheme="minorEastAsia"/>
                <w:color w:val="auto"/>
                <w:szCs w:val="28"/>
                <w:highlight w:val="none"/>
                <w:lang w:val="zh-CN"/>
              </w:rPr>
            </w:pP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磋商有效期</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满足磋商文件</w:t>
            </w:r>
            <w:r>
              <w:rPr>
                <w:rFonts w:hint="eastAsia" w:cs="FangSong_GB2312" w:asciiTheme="minorEastAsia" w:hAnsiTheme="minorEastAsia" w:eastAsiaTheme="minorEastAsia"/>
                <w:color w:val="auto"/>
                <w:szCs w:val="28"/>
                <w:highlight w:val="none"/>
                <w:lang w:val="zh-CN"/>
              </w:rPr>
              <w:t>规定。</w:t>
            </w:r>
          </w:p>
        </w:tc>
      </w:tr>
    </w:tbl>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（五）在磋商过程中磋商的任何一方不得向他人透露与磋商有关的服务资料、价格或其他信息。</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（七）供应商在磋商时作出的所有书面承诺须由法定代表人或其授权代表签字。</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（九）磋商小组采用综合评分法对提交最后报价的供应商的响应文件和最后报价（含有效书面承诺）进行综合评分。</w:t>
      </w:r>
      <w:r>
        <w:rPr>
          <w:rFonts w:hint="eastAsia" w:cs="宋体" w:asciiTheme="minorEastAsia" w:hAnsiTheme="minorEastAsia" w:eastAsiaTheme="minorEastAsia"/>
          <w:color w:val="auto"/>
          <w:kern w:val="0"/>
          <w:szCs w:val="28"/>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Theme="minorEastAsia" w:hAnsiTheme="minorEastAsia" w:eastAsiaTheme="minorEastAsia"/>
          <w:color w:val="auto"/>
          <w:szCs w:val="28"/>
          <w:highlight w:val="none"/>
        </w:rPr>
        <w:t>。</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（十）磋商小组各成员独立对每个有效响应（通过资格性检查、</w:t>
      </w:r>
      <w:r>
        <w:rPr>
          <w:rFonts w:hint="eastAsia" w:cs="宋体" w:asciiTheme="minorEastAsia" w:hAnsiTheme="minorEastAsia" w:eastAsiaTheme="minorEastAsia"/>
          <w:color w:val="auto"/>
          <w:kern w:val="0"/>
          <w:szCs w:val="28"/>
          <w:highlight w:val="none"/>
        </w:rPr>
        <w:t>符合性检查的供应商</w:t>
      </w:r>
      <w:r>
        <w:rPr>
          <w:rFonts w:hint="eastAsia" w:asciiTheme="minorEastAsia" w:hAnsiTheme="minorEastAsia" w:eastAsiaTheme="minorEastAsia"/>
          <w:color w:val="auto"/>
          <w:szCs w:val="28"/>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numPr>
          <w:ilvl w:val="0"/>
          <w:numId w:val="13"/>
        </w:numPr>
        <w:spacing w:before="0" w:after="0" w:line="560" w:lineRule="exact"/>
        <w:rPr>
          <w:rFonts w:asciiTheme="minorEastAsia" w:hAnsiTheme="minorEastAsia" w:eastAsiaTheme="minorEastAsia"/>
          <w:bCs/>
          <w:color w:val="auto"/>
          <w:sz w:val="28"/>
          <w:szCs w:val="28"/>
          <w:highlight w:val="none"/>
        </w:rPr>
      </w:pPr>
      <w:bookmarkStart w:id="56" w:name="_Toc105060902"/>
      <w:bookmarkStart w:id="57" w:name="_Toc102227320"/>
      <w:bookmarkStart w:id="58" w:name="_Toc342913394"/>
      <w:r>
        <w:rPr>
          <w:rFonts w:hint="eastAsia" w:asciiTheme="minorEastAsia" w:hAnsiTheme="minorEastAsia" w:eastAsiaTheme="minorEastAsia"/>
          <w:bCs/>
          <w:color w:val="auto"/>
          <w:sz w:val="28"/>
          <w:szCs w:val="28"/>
          <w:highlight w:val="none"/>
        </w:rPr>
        <w:t>评审标准</w:t>
      </w:r>
      <w:bookmarkEnd w:id="56"/>
    </w:p>
    <w:tbl>
      <w:tblPr>
        <w:tblStyle w:val="58"/>
        <w:tblW w:w="8974"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1279"/>
        <w:gridCol w:w="709"/>
        <w:gridCol w:w="526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4" w:type="dxa"/>
            <w:tcBorders>
              <w:top w:val="single" w:color="auto" w:sz="12" w:space="0"/>
              <w:left w:val="single" w:color="auto" w:sz="12" w:space="0"/>
              <w:bottom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序号</w:t>
            </w:r>
          </w:p>
        </w:tc>
        <w:tc>
          <w:tcPr>
            <w:tcW w:w="1279" w:type="dxa"/>
            <w:tcBorders>
              <w:top w:val="single" w:color="auto" w:sz="12" w:space="0"/>
              <w:bottom w:val="single" w:color="auto" w:sz="12" w:space="0"/>
            </w:tcBorders>
            <w:vAlign w:val="center"/>
          </w:tcPr>
          <w:p>
            <w:pPr>
              <w:snapToGrid w:val="0"/>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评分因素</w:t>
            </w:r>
          </w:p>
          <w:p>
            <w:pPr>
              <w:snapToGrid w:val="0"/>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及权重</w:t>
            </w:r>
          </w:p>
        </w:tc>
        <w:tc>
          <w:tcPr>
            <w:tcW w:w="709" w:type="dxa"/>
            <w:tcBorders>
              <w:top w:val="single" w:color="auto" w:sz="12" w:space="0"/>
              <w:bottom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分值</w:t>
            </w:r>
          </w:p>
        </w:tc>
        <w:tc>
          <w:tcPr>
            <w:tcW w:w="5263" w:type="dxa"/>
            <w:tcBorders>
              <w:top w:val="single" w:color="auto" w:sz="12" w:space="0"/>
              <w:bottom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评分标准</w:t>
            </w:r>
          </w:p>
        </w:tc>
        <w:tc>
          <w:tcPr>
            <w:tcW w:w="909" w:type="dxa"/>
            <w:tcBorders>
              <w:top w:val="single" w:color="auto" w:sz="12" w:space="0"/>
              <w:bottom w:val="single" w:color="auto" w:sz="12" w:space="0"/>
              <w:right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1" w:hRule="atLeast"/>
        </w:trPr>
        <w:tc>
          <w:tcPr>
            <w:tcW w:w="814" w:type="dxa"/>
            <w:tcBorders>
              <w:top w:val="single" w:color="auto" w:sz="12" w:space="0"/>
              <w:left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p>
        </w:tc>
        <w:tc>
          <w:tcPr>
            <w:tcW w:w="1279" w:type="dxa"/>
            <w:tcBorders>
              <w:top w:val="single" w:color="auto" w:sz="12" w:space="0"/>
            </w:tcBorders>
            <w:vAlign w:val="center"/>
          </w:tcPr>
          <w:p>
            <w:pPr>
              <w:ind w:firstLine="28"/>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磋商报价</w:t>
            </w:r>
            <w:r>
              <w:rPr>
                <w:rFonts w:asciiTheme="minorEastAsia" w:hAnsiTheme="minorEastAsia" w:eastAsiaTheme="minorEastAsia"/>
                <w:color w:val="auto"/>
                <w:sz w:val="24"/>
                <w:szCs w:val="24"/>
                <w:highlight w:val="none"/>
              </w:rPr>
              <w:t>（20%）</w:t>
            </w:r>
          </w:p>
        </w:tc>
        <w:tc>
          <w:tcPr>
            <w:tcW w:w="709" w:type="dxa"/>
            <w:tcBorders>
              <w:top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20</w:t>
            </w:r>
          </w:p>
        </w:tc>
        <w:tc>
          <w:tcPr>
            <w:tcW w:w="5263" w:type="dxa"/>
            <w:tcBorders>
              <w:top w:val="single" w:color="auto" w:sz="12" w:space="0"/>
            </w:tcBorders>
            <w:vAlign w:val="center"/>
          </w:tcPr>
          <w:p>
            <w:pPr>
              <w:snapToGrid w:val="0"/>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价格分采用低价优先法计算，即满足磋商文件要求且最后报价最低的供应商的价格为磋商基准价，其价格分为满分。其他供应商的价格分统一按照下列公式计算：</w:t>
            </w:r>
          </w:p>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磋商报价得分=（磋商基准价/最后磋商报价）×价格权值×100（按四舍五入法保留两位小数）</w:t>
            </w:r>
          </w:p>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项目评审过程中，不得去掉最后报价中的最高报价和最低报价。</w:t>
            </w:r>
          </w:p>
        </w:tc>
        <w:tc>
          <w:tcPr>
            <w:tcW w:w="909" w:type="dxa"/>
            <w:tcBorders>
              <w:top w:val="single" w:color="auto" w:sz="12" w:space="0"/>
              <w:right w:val="single" w:color="auto" w:sz="12" w:space="0"/>
            </w:tcBorders>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trPr>
        <w:tc>
          <w:tcPr>
            <w:tcW w:w="814" w:type="dxa"/>
            <w:vMerge w:val="restart"/>
            <w:tcBorders>
              <w:left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p>
        </w:tc>
        <w:tc>
          <w:tcPr>
            <w:tcW w:w="1279" w:type="dxa"/>
            <w:vMerge w:val="restart"/>
            <w:vAlign w:val="center"/>
          </w:tcPr>
          <w:p>
            <w:pPr>
              <w:ind w:firstLine="28"/>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技术</w:t>
            </w:r>
            <w:r>
              <w:rPr>
                <w:rFonts w:hint="eastAsia" w:asciiTheme="minorEastAsia" w:hAnsiTheme="minorEastAsia" w:eastAsiaTheme="minorEastAsia"/>
                <w:color w:val="auto"/>
                <w:sz w:val="24"/>
                <w:szCs w:val="24"/>
                <w:highlight w:val="none"/>
              </w:rPr>
              <w:t>部分</w:t>
            </w: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w:t>
            </w:r>
          </w:p>
        </w:tc>
        <w:tc>
          <w:tcPr>
            <w:tcW w:w="709" w:type="dxa"/>
            <w:tcBorders>
              <w:bottom w:val="single" w:color="auto" w:sz="4" w:space="0"/>
            </w:tcBorders>
            <w:vAlign w:val="center"/>
          </w:tcPr>
          <w:p>
            <w:pP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0</w:t>
            </w:r>
          </w:p>
        </w:tc>
        <w:tc>
          <w:tcPr>
            <w:tcW w:w="5263" w:type="dxa"/>
            <w:tcBorders>
              <w:bottom w:val="single" w:color="auto" w:sz="4" w:space="0"/>
            </w:tcBorders>
          </w:tcPr>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一、技术方案</w:t>
            </w: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0</w:t>
            </w:r>
            <w:r>
              <w:rPr>
                <w:rFonts w:hint="eastAsia" w:asciiTheme="minorEastAsia" w:hAnsiTheme="minorEastAsia" w:eastAsiaTheme="minorEastAsia"/>
                <w:color w:val="auto"/>
                <w:sz w:val="24"/>
                <w:szCs w:val="24"/>
                <w:highlight w:val="none"/>
              </w:rPr>
              <w:t>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根据投标人对采购文件采购需求的响应情况进行打分，供应商所报内容的技术参数全部满足招标文件技术要求的，本项最高得 </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0分。负偏离：带“★”条款负偏离一项扣3分，非“★”条款每负偏离一项扣</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分，扣完为止。</w:t>
            </w:r>
          </w:p>
        </w:tc>
        <w:tc>
          <w:tcPr>
            <w:tcW w:w="909" w:type="dxa"/>
            <w:tcBorders>
              <w:bottom w:val="single" w:color="auto" w:sz="4" w:space="0"/>
              <w:right w:val="single" w:color="auto" w:sz="12" w:space="0"/>
            </w:tcBorders>
          </w:tcPr>
          <w:p>
            <w:pPr>
              <w:ind w:firstLine="315" w:firstLineChars="150"/>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814" w:type="dxa"/>
            <w:vMerge w:val="continue"/>
            <w:tcBorders>
              <w:left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vAlign w:val="center"/>
          </w:tcPr>
          <w:p>
            <w:pPr>
              <w:ind w:firstLine="28"/>
              <w:rPr>
                <w:rFonts w:asciiTheme="minorEastAsia" w:hAnsiTheme="minorEastAsia" w:eastAsiaTheme="minorEastAsia"/>
                <w:color w:val="auto"/>
                <w:sz w:val="24"/>
                <w:szCs w:val="24"/>
                <w:highlight w:val="none"/>
              </w:rPr>
            </w:pPr>
          </w:p>
        </w:tc>
        <w:tc>
          <w:tcPr>
            <w:tcW w:w="709" w:type="dxa"/>
            <w:tcBorders>
              <w:top w:val="single" w:color="auto" w:sz="4" w:space="0"/>
            </w:tcBorders>
            <w:vAlign w:val="center"/>
          </w:tcPr>
          <w:p>
            <w:pP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30</w:t>
            </w:r>
          </w:p>
        </w:tc>
        <w:tc>
          <w:tcPr>
            <w:tcW w:w="5263" w:type="dxa"/>
            <w:tcBorders>
              <w:top w:val="single" w:color="auto" w:sz="4" w:space="0"/>
            </w:tcBorders>
          </w:tcPr>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二、现场演示（30分）</w:t>
            </w:r>
          </w:p>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供应商现场展示医学可视化课程设计案例，案例基本信息主要包括：项目介绍、师资介绍、医学插图制作流程、公司资源、考核要求、优秀案例展示、学习记录等。演示其中6项及以上得10分，3-5项得5分，2项以下得3分，未演示得0分；</w:t>
            </w:r>
          </w:p>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（2）供应商将提供课程最后作业的绘制效果图和过程图。效果优得10分，良得5-9分，一般得1-4分；不提供演示不得分。</w:t>
            </w:r>
          </w:p>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提供的自主课程平台：有自主开发的医学可视化资源库、拥有知名医学类自媒体账号并正在运营，在线视频课程资源库（所有资源可以直接引用于课程团队教学中）。有两项得10分，有其中一项得5分，未展示得0分。</w:t>
            </w:r>
          </w:p>
        </w:tc>
        <w:tc>
          <w:tcPr>
            <w:tcW w:w="909" w:type="dxa"/>
            <w:tcBorders>
              <w:top w:val="single" w:color="auto" w:sz="4" w:space="0"/>
              <w:right w:val="single" w:color="auto" w:sz="12" w:space="0"/>
            </w:tcBorders>
          </w:tcPr>
          <w:p>
            <w:pP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0" w:hRule="atLeast"/>
        </w:trPr>
        <w:tc>
          <w:tcPr>
            <w:tcW w:w="814" w:type="dxa"/>
            <w:vMerge w:val="restart"/>
            <w:tcBorders>
              <w:top w:val="single" w:color="auto" w:sz="12" w:space="0"/>
              <w:left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p>
        </w:tc>
        <w:tc>
          <w:tcPr>
            <w:tcW w:w="1279" w:type="dxa"/>
            <w:vMerge w:val="restart"/>
            <w:tcBorders>
              <w:top w:val="single" w:color="auto" w:sz="12" w:space="0"/>
            </w:tcBorders>
            <w:vAlign w:val="center"/>
          </w:tcPr>
          <w:p>
            <w:pPr>
              <w:ind w:firstLine="28"/>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商务</w:t>
            </w:r>
            <w:r>
              <w:rPr>
                <w:rFonts w:hint="eastAsia" w:asciiTheme="minorEastAsia" w:hAnsiTheme="minorEastAsia" w:eastAsiaTheme="minorEastAsia"/>
                <w:color w:val="auto"/>
                <w:sz w:val="24"/>
                <w:szCs w:val="24"/>
                <w:highlight w:val="none"/>
              </w:rPr>
              <w:t>部分</w:t>
            </w:r>
          </w:p>
          <w:p>
            <w:pPr>
              <w:ind w:firstLine="28"/>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30</w:t>
            </w:r>
            <w:r>
              <w:rPr>
                <w:rFonts w:asciiTheme="minorEastAsia" w:hAnsiTheme="minorEastAsia" w:eastAsiaTheme="minorEastAsia"/>
                <w:color w:val="auto"/>
                <w:sz w:val="24"/>
                <w:szCs w:val="24"/>
                <w:highlight w:val="none"/>
              </w:rPr>
              <w:t>%）</w:t>
            </w:r>
          </w:p>
        </w:tc>
        <w:tc>
          <w:tcPr>
            <w:tcW w:w="709" w:type="dxa"/>
            <w:tcBorders>
              <w:top w:val="single" w:color="auto" w:sz="12" w:space="0"/>
              <w:bottom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20</w:t>
            </w:r>
          </w:p>
        </w:tc>
        <w:tc>
          <w:tcPr>
            <w:tcW w:w="5263" w:type="dxa"/>
            <w:tcBorders>
              <w:top w:val="single" w:color="auto" w:sz="12" w:space="0"/>
              <w:bottom w:val="single" w:color="auto" w:sz="12" w:space="0"/>
            </w:tcBorders>
          </w:tcPr>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一、</w:t>
            </w:r>
            <w:r>
              <w:rPr>
                <w:rFonts w:hint="eastAsia" w:asciiTheme="minorEastAsia" w:hAnsiTheme="minorEastAsia" w:eastAsiaTheme="minorEastAsia"/>
                <w:color w:val="auto"/>
                <w:sz w:val="24"/>
                <w:szCs w:val="24"/>
                <w:highlight w:val="none"/>
              </w:rPr>
              <w:t>企业实力</w:t>
            </w:r>
            <w:r>
              <w:rPr>
                <w:rFonts w:asciiTheme="minorEastAsia" w:hAnsiTheme="minorEastAsia" w:eastAsiaTheme="minorEastAsia"/>
                <w:color w:val="auto"/>
                <w:sz w:val="24"/>
                <w:szCs w:val="24"/>
                <w:highlight w:val="none"/>
              </w:rPr>
              <w:t>（20分）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（1）提供国际认证的医学插画师研究生毕业证书，医学类相关本科以上学历，得</w:t>
            </w:r>
            <w:r>
              <w:rPr>
                <w:rFonts w:asciiTheme="minorEastAsia" w:hAnsiTheme="minorEastAsia" w:eastAsiaTheme="minorEastAsia"/>
                <w:color w:val="auto"/>
                <w:sz w:val="24"/>
                <w:szCs w:val="24"/>
                <w:highlight w:val="none"/>
              </w:rPr>
              <w:t>10</w:t>
            </w:r>
            <w:r>
              <w:rPr>
                <w:rFonts w:hint="eastAsia" w:asciiTheme="minorEastAsia" w:hAnsiTheme="minorEastAsia" w:eastAsiaTheme="minorEastAsia"/>
                <w:color w:val="auto"/>
                <w:sz w:val="24"/>
                <w:szCs w:val="24"/>
                <w:highlight w:val="none"/>
              </w:rPr>
              <w:t>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（2）团队核心成员具备国际知名医疗企业、国际认证的医学可视化公司就职经历与工作经验，得</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（2）提供国际和中国认证的医学可视化奖项获奖证明，得</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）提供医学可视化软件著作权登记证书，得</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）提供国家各城市卫健委认证的健康科普专家证明，得2分；</w:t>
            </w:r>
          </w:p>
        </w:tc>
        <w:tc>
          <w:tcPr>
            <w:tcW w:w="909" w:type="dxa"/>
            <w:tcBorders>
              <w:top w:val="single" w:color="auto" w:sz="12" w:space="0"/>
              <w:bottom w:val="single" w:color="auto" w:sz="12" w:space="0"/>
              <w:right w:val="single" w:color="auto" w:sz="12" w:space="0"/>
            </w:tcBorders>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trPr>
        <w:tc>
          <w:tcPr>
            <w:tcW w:w="814" w:type="dxa"/>
            <w:vMerge w:val="continue"/>
            <w:tcBorders>
              <w:left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vAlign w:val="center"/>
          </w:tcPr>
          <w:p>
            <w:pPr>
              <w:ind w:firstLine="28"/>
              <w:rPr>
                <w:rFonts w:asciiTheme="minorEastAsia" w:hAnsiTheme="minorEastAsia" w:eastAsiaTheme="minorEastAsia"/>
                <w:color w:val="auto"/>
                <w:sz w:val="24"/>
                <w:szCs w:val="24"/>
                <w:highlight w:val="none"/>
              </w:rPr>
            </w:pPr>
          </w:p>
        </w:tc>
        <w:tc>
          <w:tcPr>
            <w:tcW w:w="709" w:type="dxa"/>
            <w:tcBorders>
              <w:top w:val="single" w:color="auto" w:sz="12" w:space="0"/>
              <w:bottom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9</w:t>
            </w:r>
          </w:p>
        </w:tc>
        <w:tc>
          <w:tcPr>
            <w:tcW w:w="5263" w:type="dxa"/>
            <w:tcBorders>
              <w:top w:val="single" w:color="auto" w:sz="12" w:space="0"/>
              <w:bottom w:val="single" w:color="auto" w:sz="12" w:space="0"/>
            </w:tcBorders>
          </w:tcPr>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二、</w:t>
            </w:r>
            <w:r>
              <w:rPr>
                <w:rFonts w:hint="eastAsia" w:asciiTheme="minorEastAsia" w:hAnsiTheme="minorEastAsia" w:eastAsiaTheme="minorEastAsia"/>
                <w:color w:val="auto"/>
                <w:sz w:val="24"/>
                <w:szCs w:val="24"/>
                <w:highlight w:val="none"/>
              </w:rPr>
              <w:t>业绩</w:t>
            </w:r>
            <w:r>
              <w:rPr>
                <w:rFonts w:asciiTheme="minorEastAsia" w:hAnsiTheme="minorEastAsia" w:eastAsiaTheme="minorEastAsia"/>
                <w:color w:val="auto"/>
                <w:sz w:val="24"/>
                <w:szCs w:val="24"/>
                <w:highlight w:val="none"/>
              </w:rPr>
              <w:t>（9分）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2020年以来与知名医疗企业合作的医学可视化制作案例，每提供一个得2分，最多得</w:t>
            </w: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分。（提供平台上线截图，提供合作项目合同复印件，并加盖供应商公章，原件备查。）</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2020年以来与知名科研所合作的医学可视化制作案例，每提供一个得2分，最多得</w:t>
            </w: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分。（提供平台上线截图，提供合作项目合同复印件，并加盖供应商公章，原件备查。）</w:t>
            </w:r>
          </w:p>
        </w:tc>
        <w:tc>
          <w:tcPr>
            <w:tcW w:w="909" w:type="dxa"/>
            <w:tcBorders>
              <w:top w:val="single" w:color="auto" w:sz="12" w:space="0"/>
              <w:bottom w:val="single" w:color="auto" w:sz="12" w:space="0"/>
              <w:right w:val="single" w:color="auto" w:sz="12" w:space="0"/>
            </w:tcBorders>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1" w:hRule="atLeast"/>
        </w:trPr>
        <w:tc>
          <w:tcPr>
            <w:tcW w:w="814" w:type="dxa"/>
            <w:vMerge w:val="continue"/>
            <w:tcBorders>
              <w:left w:val="single" w:color="auto" w:sz="12" w:space="0"/>
              <w:bottom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tcBorders>
              <w:bottom w:val="single" w:color="auto" w:sz="12" w:space="0"/>
            </w:tcBorders>
            <w:vAlign w:val="center"/>
          </w:tcPr>
          <w:p>
            <w:pPr>
              <w:ind w:firstLine="28"/>
              <w:rPr>
                <w:rFonts w:asciiTheme="minorEastAsia" w:hAnsiTheme="minorEastAsia" w:eastAsiaTheme="minorEastAsia"/>
                <w:color w:val="auto"/>
                <w:sz w:val="24"/>
                <w:szCs w:val="24"/>
                <w:highlight w:val="none"/>
              </w:rPr>
            </w:pPr>
          </w:p>
        </w:tc>
        <w:tc>
          <w:tcPr>
            <w:tcW w:w="709" w:type="dxa"/>
            <w:tcBorders>
              <w:top w:val="single" w:color="auto" w:sz="12" w:space="0"/>
              <w:bottom w:val="single" w:color="auto" w:sz="12" w:space="0"/>
            </w:tcBorders>
            <w:vAlign w:val="center"/>
          </w:tcPr>
          <w:p>
            <w:pPr>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p>
        </w:tc>
        <w:tc>
          <w:tcPr>
            <w:tcW w:w="5263" w:type="dxa"/>
            <w:tcBorders>
              <w:top w:val="single" w:color="auto" w:sz="12" w:space="0"/>
              <w:bottom w:val="single" w:color="auto" w:sz="12" w:space="0"/>
            </w:tcBorders>
          </w:tcPr>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三、售后服务（1分）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供应商在本地有售后服务机构，得1分，没有得0分。（提供售后服务机构授权证明或本地工商注册证明，并加盖供应商公章。）</w:t>
            </w:r>
          </w:p>
        </w:tc>
        <w:tc>
          <w:tcPr>
            <w:tcW w:w="909" w:type="dxa"/>
            <w:tcBorders>
              <w:top w:val="single" w:color="auto" w:sz="12" w:space="0"/>
              <w:bottom w:val="single" w:color="auto" w:sz="12" w:space="0"/>
              <w:right w:val="single" w:color="auto" w:sz="12" w:space="0"/>
            </w:tcBorders>
          </w:tcPr>
          <w:p>
            <w:pPr>
              <w:rPr>
                <w:rFonts w:asciiTheme="minorEastAsia" w:hAnsiTheme="minorEastAsia" w:eastAsiaTheme="minorEastAsia"/>
                <w:color w:val="auto"/>
                <w:sz w:val="24"/>
                <w:szCs w:val="24"/>
                <w:highlight w:val="none"/>
              </w:rPr>
            </w:pPr>
          </w:p>
        </w:tc>
      </w:tr>
    </w:tbl>
    <w:p>
      <w:pPr>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注：关于小微企业报价扣除比例说明</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1.供应商为非联合体参与磋商的，对小型企业给予6%的扣除，微型企业给予8%的扣除（注册资金十五万及以下的微型企业给予10%的扣除），以扣除后的报价参与评审。</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2.监狱企业、残疾人福利性单位属于微型企业的，应提供企业所在地的县级以上中小企业主管部门本年度出具的证明文件复印件和微型企业承诺书（详见第七篇 五、其他应提供的资料“书面承诺书”）。未提供以上资料的监狱企业、残疾人福利性单位视同小型企业。</w:t>
      </w:r>
    </w:p>
    <w:p>
      <w:pPr>
        <w:pStyle w:val="4"/>
        <w:spacing w:before="0" w:after="0" w:line="560" w:lineRule="exact"/>
        <w:rPr>
          <w:rFonts w:asciiTheme="minorEastAsia" w:hAnsiTheme="minorEastAsia" w:eastAsiaTheme="minorEastAsia"/>
          <w:color w:val="auto"/>
          <w:sz w:val="28"/>
          <w:szCs w:val="28"/>
          <w:highlight w:val="none"/>
        </w:rPr>
      </w:pPr>
      <w:bookmarkStart w:id="59" w:name="_Toc105060903"/>
      <w:r>
        <w:rPr>
          <w:rFonts w:hint="eastAsia" w:asciiTheme="minorEastAsia" w:hAnsiTheme="minorEastAsia" w:eastAsiaTheme="minorEastAsia"/>
          <w:color w:val="auto"/>
          <w:sz w:val="28"/>
          <w:szCs w:val="28"/>
          <w:highlight w:val="none"/>
        </w:rPr>
        <w:t>三、无效响应</w:t>
      </w:r>
      <w:bookmarkEnd w:id="59"/>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供应商发生以下条款情况之一者，视为无效响应，其响应文件将被拒绝：</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（一）供应商不符合规定的基本资格条件或特定资格条件的；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（二）供应商未按磋商文件规定购买磋商文件的；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（三）供应商的法定代表人或其授权代表未参加磋商；</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（四）供应商所提交的响应文件不按第七篇“响应文件编制要求”规定签字、盖章；</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（五）供应商的最后报价超过采购预算的；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（六）法定代表人为同一个人的两个及两个以上法人，母公司、全资子公司及其控股公司，在同一分包采购中同时参与磋商；</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（七）单位负责人为同一人或者存在直接控股、管理关系的不同供应商，参加同一合同项下的政府采购活动的；</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（八）为采购项目提供整体设计、规范编制或者项目管理、监理、检测等服务的供应商，再参加该采购项目的其他采购活动；</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（九）供应商磋商有效期不满足竞争性磋商文件要求的；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（十）供应商响应文件内容有与国家现行法律法规相违背的内容，或附有采购人无法接受的条件。</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（十一）供应商被列入失信被执行人、重大税收违法案件当事人名单、政府采购严重违法失信行为记录名单及其他不符合《中华人民共和国政府采购法》第二十二条规定条件的。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（十二）供应商如会上不能解答磋商文件的技术问题，视为无效磋商。</w:t>
      </w:r>
    </w:p>
    <w:p>
      <w:pPr>
        <w:pStyle w:val="4"/>
        <w:spacing w:before="0" w:after="0" w:line="560" w:lineRule="exact"/>
        <w:rPr>
          <w:rFonts w:asciiTheme="minorEastAsia" w:hAnsiTheme="minorEastAsia" w:eastAsiaTheme="minorEastAsia"/>
          <w:color w:val="auto"/>
          <w:sz w:val="28"/>
          <w:szCs w:val="28"/>
          <w:highlight w:val="none"/>
        </w:rPr>
      </w:pPr>
      <w:bookmarkStart w:id="60" w:name="_Toc105060904"/>
      <w:r>
        <w:rPr>
          <w:rFonts w:hint="eastAsia" w:asciiTheme="minorEastAsia" w:hAnsiTheme="minorEastAsia" w:eastAsiaTheme="minorEastAsia"/>
          <w:color w:val="auto"/>
          <w:sz w:val="28"/>
          <w:szCs w:val="28"/>
          <w:highlight w:val="none"/>
        </w:rPr>
        <w:t>四、采购终止</w:t>
      </w:r>
      <w:bookmarkEnd w:id="60"/>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出现下列情形之一的，采购人或者采购代理机构应当终止竞争性磋商采购活动，发布项目终止公告并说明原因，重新开展采购活动：</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（一）因情况变化，不再符合规定的竞争性磋商采购方式适用情形的；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（二）出现影响采购公正的违法、违规行为的；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（三）在采购过程中符合要求的供应商或者报价未超过采购预算的供应商不足3家的，但《政府采购竞争性磋商采购方式管理暂行办法》第二十一条第三款规定的情形除外。</w:t>
      </w:r>
    </w:p>
    <w:p>
      <w:pPr>
        <w:spacing w:line="560" w:lineRule="exact"/>
        <w:ind w:firstLine="560" w:firstLineChars="200"/>
        <w:rPr>
          <w:rFonts w:asciiTheme="minorEastAsia" w:hAnsiTheme="minorEastAsia" w:eastAsiaTheme="minorEastAsia"/>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Theme="minorEastAsia" w:hAnsiTheme="minorEastAsia" w:eastAsiaTheme="minorEastAsia"/>
          <w:color w:val="auto"/>
          <w:sz w:val="44"/>
          <w:szCs w:val="44"/>
          <w:highlight w:val="none"/>
        </w:rPr>
      </w:pPr>
      <w:bookmarkStart w:id="61" w:name="_Toc105060905"/>
      <w:bookmarkStart w:id="62" w:name="_Toc102227313"/>
      <w:r>
        <w:rPr>
          <w:rFonts w:hint="eastAsia" w:asciiTheme="minorEastAsia" w:hAnsiTheme="minorEastAsia" w:eastAsiaTheme="minorEastAsia"/>
          <w:color w:val="auto"/>
          <w:sz w:val="44"/>
          <w:szCs w:val="44"/>
          <w:highlight w:val="none"/>
        </w:rPr>
        <w:t>第五篇  供应商须知</w:t>
      </w:r>
      <w:bookmarkEnd w:id="61"/>
      <w:bookmarkEnd w:id="62"/>
    </w:p>
    <w:p>
      <w:pPr>
        <w:pStyle w:val="4"/>
        <w:spacing w:before="0" w:after="0" w:line="560" w:lineRule="exact"/>
        <w:rPr>
          <w:rFonts w:asciiTheme="minorEastAsia" w:hAnsiTheme="minorEastAsia" w:eastAsiaTheme="minorEastAsia"/>
          <w:color w:val="auto"/>
          <w:sz w:val="28"/>
          <w:szCs w:val="28"/>
          <w:highlight w:val="none"/>
        </w:rPr>
      </w:pPr>
      <w:bookmarkStart w:id="63" w:name="_Toc105060906"/>
      <w:bookmarkStart w:id="64" w:name="_Toc342913389"/>
      <w:r>
        <w:rPr>
          <w:rFonts w:hint="eastAsia" w:asciiTheme="minorEastAsia" w:hAnsiTheme="minorEastAsia" w:eastAsiaTheme="minorEastAsia"/>
          <w:color w:val="auto"/>
          <w:sz w:val="28"/>
          <w:szCs w:val="28"/>
          <w:highlight w:val="none"/>
        </w:rPr>
        <w:t>一、磋商费用</w:t>
      </w:r>
      <w:bookmarkEnd w:id="63"/>
      <w:bookmarkEnd w:id="64"/>
    </w:p>
    <w:p>
      <w:pPr>
        <w:pStyle w:val="206"/>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参与磋商的供应商应承担其编制响应文件与递交响应文件所涉及的一切费用，不论磋商结果如何，采购人和采购代理机构在任何情况下无义务也无责任承担这些费用。</w:t>
      </w:r>
    </w:p>
    <w:p>
      <w:pPr>
        <w:pStyle w:val="4"/>
        <w:tabs>
          <w:tab w:val="left" w:pos="2640"/>
        </w:tabs>
        <w:spacing w:before="0" w:after="0" w:line="560" w:lineRule="exact"/>
        <w:rPr>
          <w:rFonts w:asciiTheme="minorEastAsia" w:hAnsiTheme="minorEastAsia" w:eastAsiaTheme="minorEastAsia"/>
          <w:color w:val="auto"/>
          <w:sz w:val="28"/>
          <w:szCs w:val="28"/>
          <w:highlight w:val="none"/>
        </w:rPr>
      </w:pPr>
      <w:bookmarkStart w:id="65" w:name="_Toc342913391"/>
      <w:bookmarkStart w:id="66" w:name="_Toc105060907"/>
      <w:r>
        <w:rPr>
          <w:rFonts w:hint="eastAsia" w:asciiTheme="minorEastAsia" w:hAnsiTheme="minorEastAsia" w:eastAsiaTheme="minorEastAsia"/>
          <w:color w:val="auto"/>
          <w:sz w:val="28"/>
          <w:szCs w:val="28"/>
          <w:highlight w:val="none"/>
        </w:rPr>
        <w:t>二、竞争性磋商文件</w:t>
      </w:r>
      <w:bookmarkEnd w:id="65"/>
      <w:bookmarkEnd w:id="66"/>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（一）竞争性磋商文件由采购邀请书、项目服务需求、供应商须知、项目商务需求、磋商程序及方法、评审标准、无效响应和采购终止、供应商须知、政府采购合同、响应文件编制要求七部分组成。</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（二）采购人（或采购代理机构）所作的一切有效的书面通知、修改及补充，都是竞争性磋商文件不可分割的部分。</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（三）竞争性磋商文件的解释</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67" w:name="_Toc318159780"/>
      <w:bookmarkStart w:id="68" w:name="_Toc318166429"/>
      <w:bookmarkStart w:id="69" w:name="_Toc318159349"/>
      <w:bookmarkStart w:id="70" w:name="_Toc318159160"/>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（四）本竞争性磋商文件中，磋商小组根据与供应商进行磋商可能实质性变动的内容为竞争性磋商文件第二、三、四篇全部内容。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（五）评审的依据为竞争性磋商文件和响应文件（含有效的书面承诺）。磋商小组判断响应文件对竞争性磋商文件的响应，仅基于响应文件本身而不靠外部证据。</w:t>
      </w:r>
    </w:p>
    <w:bookmarkEnd w:id="67"/>
    <w:bookmarkEnd w:id="68"/>
    <w:bookmarkEnd w:id="69"/>
    <w:bookmarkEnd w:id="70"/>
    <w:p>
      <w:pPr>
        <w:pStyle w:val="4"/>
        <w:spacing w:before="0" w:after="0" w:line="560" w:lineRule="exact"/>
        <w:rPr>
          <w:rFonts w:asciiTheme="minorEastAsia" w:hAnsiTheme="minorEastAsia" w:eastAsiaTheme="minorEastAsia"/>
          <w:color w:val="auto"/>
          <w:sz w:val="28"/>
          <w:szCs w:val="28"/>
          <w:highlight w:val="none"/>
        </w:rPr>
      </w:pPr>
      <w:bookmarkStart w:id="71" w:name="_Toc105060908"/>
      <w:bookmarkStart w:id="72" w:name="_Toc179714297"/>
      <w:bookmarkStart w:id="73" w:name="_Toc102227318"/>
      <w:bookmarkStart w:id="74" w:name="_Toc342913392"/>
      <w:r>
        <w:rPr>
          <w:rFonts w:hint="eastAsia" w:asciiTheme="minorEastAsia" w:hAnsiTheme="minorEastAsia" w:eastAsiaTheme="minorEastAsia"/>
          <w:color w:val="auto"/>
          <w:sz w:val="28"/>
          <w:szCs w:val="28"/>
          <w:highlight w:val="none"/>
        </w:rPr>
        <w:t>三、磋商要求</w:t>
      </w:r>
      <w:bookmarkEnd w:id="71"/>
      <w:bookmarkEnd w:id="72"/>
      <w:bookmarkEnd w:id="73"/>
      <w:bookmarkEnd w:id="74"/>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（一）响应文件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1.供应商应当按照竞争性磋商文件的要求编制响应文件，并对竞争性磋商文件提出的要求和条件作出实质性响应，响应文件原则上采用软面订本，同时应编制完整的页码、目录。</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2.响应文件组成</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（二）磋商有效期：响应文件及有关承诺文件有效期为提交响应文件截止时间起90天。</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（三）修正错误</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1.若供应商所递交的响应文件或最后报价中的价格出现大写金额和小写金额不一致的错误，以大写金额修正为准。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（四）提交响应文件的份数和签署</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2.在响应文件正本中，竞争性磋商文件第六篇响应文件编制要求中规定签字、盖章的地方必须按其规定签字、盖章。</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（五）响应文件的递交</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1.响应文件的密封与标记</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1.1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1.2封套的封口处应加盖供应商公章或由法定代表人授权代表签字。</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2.如果响应文件通过邮寄递交，供应商应将响应文件用内、外两层封套密封。</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2.1内层封套的封装与标记同 “1、”款规定。</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2.2外层封套装入“1、”款所述全部内封资料，并注明项目号、磋商项目编号、磋商项目名称、采购代理机构名称及地址。同时应写明供应商的名称、地址，以便将迟交的响应文件原封退还。</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3.如果未按上述规定进行密封和标记，采购代理机构对响应文件误投、丢失或提前拆封不负责任。</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（六）供应商参与人员</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各个供应商应当派1-2名代表参与磋商，至少1人应为法定代表人或具有法定代表人授权委托书的授权代表。</w:t>
      </w:r>
    </w:p>
    <w:p>
      <w:pPr>
        <w:pStyle w:val="4"/>
        <w:spacing w:before="0" w:after="0" w:line="560" w:lineRule="exact"/>
        <w:rPr>
          <w:rFonts w:asciiTheme="minorEastAsia" w:hAnsiTheme="minorEastAsia" w:eastAsiaTheme="minorEastAsia"/>
          <w:color w:val="auto"/>
          <w:sz w:val="28"/>
          <w:szCs w:val="28"/>
          <w:highlight w:val="none"/>
        </w:rPr>
      </w:pPr>
      <w:bookmarkStart w:id="75" w:name="_Toc105060909"/>
      <w:r>
        <w:rPr>
          <w:rFonts w:hint="eastAsia" w:asciiTheme="minorEastAsia" w:hAnsiTheme="minorEastAsia" w:eastAsiaTheme="minorEastAsia"/>
          <w:color w:val="auto"/>
          <w:sz w:val="28"/>
          <w:szCs w:val="28"/>
          <w:highlight w:val="none"/>
        </w:rPr>
        <w:t>四、成交供应商的确认和变更</w:t>
      </w:r>
      <w:bookmarkEnd w:id="75"/>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（一）成交供应商的确认</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（二）成交供应商的变更</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成交供应商拒绝与采购人签订合同的，采购人可以按照评标报告推荐的成交候选供应商顺序，确定排名下一位的候选人为成交供应商，也可以重新开展政府采购活动。</w:t>
      </w:r>
    </w:p>
    <w:p>
      <w:pPr>
        <w:pStyle w:val="4"/>
        <w:spacing w:before="0" w:after="0" w:line="560" w:lineRule="exact"/>
        <w:rPr>
          <w:rFonts w:asciiTheme="minorEastAsia" w:hAnsiTheme="minorEastAsia" w:eastAsiaTheme="minorEastAsia"/>
          <w:color w:val="auto"/>
          <w:sz w:val="28"/>
          <w:szCs w:val="28"/>
          <w:highlight w:val="none"/>
        </w:rPr>
      </w:pPr>
      <w:bookmarkStart w:id="76" w:name="_Toc342913395"/>
      <w:bookmarkStart w:id="77" w:name="_Toc105060910"/>
      <w:bookmarkStart w:id="78" w:name="_Toc102227321"/>
      <w:r>
        <w:rPr>
          <w:rFonts w:hint="eastAsia" w:asciiTheme="minorEastAsia" w:hAnsiTheme="minorEastAsia" w:eastAsiaTheme="minorEastAsia"/>
          <w:color w:val="auto"/>
          <w:sz w:val="28"/>
          <w:szCs w:val="28"/>
          <w:highlight w:val="none"/>
        </w:rPr>
        <w:t>五、成交通知</w:t>
      </w:r>
      <w:bookmarkEnd w:id="76"/>
      <w:bookmarkEnd w:id="77"/>
      <w:bookmarkEnd w:id="78"/>
    </w:p>
    <w:p>
      <w:pPr>
        <w:spacing w:line="560" w:lineRule="exact"/>
        <w:ind w:firstLine="560" w:firstLineChars="200"/>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（一）成交供应商确定后，采购代理机构将在重庆医科大学校园网上（主页-服务大厅-招投标信息）上发布成交结果公告。</w:t>
      </w:r>
    </w:p>
    <w:p>
      <w:pPr>
        <w:spacing w:line="40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（二）网上成交结果公告将作为签订合同的依据。</w:t>
      </w:r>
    </w:p>
    <w:p>
      <w:pPr>
        <w:pStyle w:val="4"/>
        <w:spacing w:before="0" w:after="0" w:line="560" w:lineRule="exact"/>
        <w:rPr>
          <w:rFonts w:asciiTheme="minorEastAsia" w:hAnsiTheme="minorEastAsia" w:eastAsiaTheme="minorEastAsia"/>
          <w:color w:val="auto"/>
          <w:sz w:val="28"/>
          <w:szCs w:val="28"/>
          <w:highlight w:val="none"/>
        </w:rPr>
      </w:pPr>
      <w:bookmarkStart w:id="79" w:name="_Toc105060911"/>
      <w:r>
        <w:rPr>
          <w:rFonts w:hint="eastAsia" w:asciiTheme="minorEastAsia" w:hAnsiTheme="minorEastAsia" w:eastAsiaTheme="minorEastAsia"/>
          <w:color w:val="auto"/>
          <w:sz w:val="28"/>
          <w:szCs w:val="28"/>
          <w:highlight w:val="none"/>
        </w:rPr>
        <w:t>六、关于质疑和投诉</w:t>
      </w:r>
      <w:bookmarkEnd w:id="79"/>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（一）质疑</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供应商认为采购文件、采购过程和成交结果使自己的权益收到伤害的，可向采购人或采购代理机构以书面形式提出质疑。</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提出质疑的应当是参与所质疑项目采购活动的供应商。 </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1.质疑时限、内容</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供应商认为采购文件、采购过程、成交结果使自己的权益受到损害的，可以在知道或者应知其权益受到损害之日起7个工作日内，以书面形式向采购人、采购代理机构提出质疑。</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1.2供应商提出质疑应当提交质疑函和必要的证明材料，质疑函应当包括下列内容：</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1.2.1供应商的姓名或者名称、地址、邮编、联系人及联系电话；</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1.2.2质疑项目的名称、项目号以及磋商项目编号；</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1.2.3具体、明确的质疑事项和与质疑事项相关的请求；</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1.2.4事实依据；</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1.2.5必要的法律依据；</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1.2.6提出质疑的日期；</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1.2.7营业执照（或事业单位法人证书，或个体工商户营业执照或有效的自然人身份证明、组织机构代码证）复印件；</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1.2.8法定代表人授权委托书原件、法定代表人身份证复印件和其授权代表的身份证复印件（供应商为自然人的提供自然人身份证复印件）；</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2.质疑答复</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采购人、采购代理机构应当在收到供应商的书面质疑后七个工作日内作出答复，并以书面形式通知质疑供应商和其他有关供应商。</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3.其他</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3.1供应商应按照《政府采购质疑和投诉办法》（财政部令第94号）及相关法律法规要求，在法定质疑期内一次性提出针对同一采购程序环节的质疑。</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3.2质疑函范本可在财政部门户网站和中国政府采购网下载。</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（二）投诉</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4.在确定受理投诉后，财政部门自受理投诉之日起30个工作日内（需要检验、检测、鉴定、专家评审以及需要投诉人补正材料的，所需时间不计算在投诉处理期限内）对投诉事项做出处理决定。</w:t>
      </w:r>
      <w:bookmarkStart w:id="80" w:name="_Toc102227322"/>
      <w:bookmarkStart w:id="81" w:name="_Toc342913396"/>
      <w:bookmarkStart w:id="82" w:name="_Toc12789059"/>
      <w:bookmarkStart w:id="83" w:name="_Toc11641055"/>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b/>
          <w:color w:val="auto"/>
          <w:szCs w:val="28"/>
          <w:highlight w:val="none"/>
        </w:rPr>
        <w:t>七、签订</w:t>
      </w:r>
      <w:bookmarkEnd w:id="80"/>
      <w:r>
        <w:rPr>
          <w:rFonts w:hint="eastAsia" w:asciiTheme="minorEastAsia" w:hAnsiTheme="minorEastAsia" w:eastAsiaTheme="minorEastAsia"/>
          <w:b/>
          <w:color w:val="auto"/>
          <w:szCs w:val="28"/>
          <w:highlight w:val="none"/>
        </w:rPr>
        <w:t>合同</w:t>
      </w:r>
      <w:bookmarkEnd w:id="81"/>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一）采购人应当自网上成交结果公告发出之日起三十日内，按照竞争性磋商文件和成交供应商响应文件的约定，与成交供应商签订书面合同。所签订的合同不得对竞争性磋商文件和供应商的响应文件作实质性修改。 </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（二）竞争性磋商文件、供应商的响应文件及澄清文件等，均为签订采购合同的依据。</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（四）合同原则上应按照《重庆医科大学经济合同》签订，相关单位要求适用合同通用格式版本的，应按其要求另行签订其他合同。</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（五）采购人要求成交供应商提供履约保证金的，应当在竞争性磋商文件中予以约定。成交供应商履约完毕后，采购人根据采购文件规定无息退还其履约保证金。</w:t>
      </w:r>
    </w:p>
    <w:p>
      <w:pPr>
        <w:pStyle w:val="3"/>
        <w:spacing w:before="0" w:after="0" w:line="560" w:lineRule="exact"/>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b w:val="0"/>
          <w:color w:val="auto"/>
          <w:sz w:val="28"/>
          <w:szCs w:val="28"/>
          <w:highlight w:val="none"/>
        </w:rPr>
        <w:br w:type="page"/>
      </w:r>
      <w:bookmarkStart w:id="84" w:name="_Toc105060912"/>
      <w:r>
        <w:rPr>
          <w:rFonts w:hint="eastAsia" w:asciiTheme="minorEastAsia" w:hAnsiTheme="minorEastAsia" w:eastAsiaTheme="minorEastAsia"/>
          <w:color w:val="auto"/>
          <w:sz w:val="44"/>
          <w:szCs w:val="44"/>
          <w:highlight w:val="none"/>
        </w:rPr>
        <w:t xml:space="preserve">第六篇  </w:t>
      </w:r>
      <w:bookmarkEnd w:id="82"/>
      <w:bookmarkEnd w:id="83"/>
      <w:r>
        <w:rPr>
          <w:rFonts w:hint="eastAsia" w:asciiTheme="minorEastAsia" w:hAnsiTheme="minorEastAsia" w:eastAsiaTheme="minorEastAsia"/>
          <w:color w:val="auto"/>
          <w:sz w:val="44"/>
          <w:szCs w:val="44"/>
          <w:highlight w:val="none"/>
        </w:rPr>
        <w:t>采购合同</w:t>
      </w:r>
      <w:bookmarkEnd w:id="84"/>
    </w:p>
    <w:p>
      <w:pPr>
        <w:rPr>
          <w:color w:val="auto"/>
          <w:highlight w:val="none"/>
        </w:rPr>
      </w:pPr>
    </w:p>
    <w:p>
      <w:pPr>
        <w:spacing w:line="560" w:lineRule="exact"/>
        <w:jc w:val="center"/>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Cs w:val="28"/>
          <w:highlight w:val="none"/>
        </w:rPr>
        <w:t xml:space="preserve">                       </w:t>
      </w:r>
      <w:r>
        <w:rPr>
          <w:rFonts w:hint="eastAsia" w:asciiTheme="minorEastAsia" w:hAnsiTheme="minorEastAsia" w:eastAsiaTheme="minorEastAsia"/>
          <w:color w:val="auto"/>
          <w:sz w:val="32"/>
          <w:szCs w:val="32"/>
          <w:highlight w:val="none"/>
        </w:rPr>
        <w:t xml:space="preserve">  合同编号：</w:t>
      </w:r>
      <w:r>
        <w:rPr>
          <w:rFonts w:hint="eastAsia" w:asciiTheme="minorEastAsia" w:hAnsiTheme="minorEastAsia" w:eastAsiaTheme="minorEastAsia"/>
          <w:color w:val="auto"/>
          <w:sz w:val="32"/>
          <w:szCs w:val="32"/>
          <w:highlight w:val="none"/>
          <w:u w:val="single"/>
        </w:rPr>
        <w:t xml:space="preserve">         </w:t>
      </w:r>
    </w:p>
    <w:p>
      <w:pPr>
        <w:spacing w:line="560" w:lineRule="exact"/>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 xml:space="preserve">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正本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副本</w:t>
      </w:r>
    </w:p>
    <w:p>
      <w:pPr>
        <w:spacing w:line="560" w:lineRule="exact"/>
        <w:rPr>
          <w:rFonts w:asciiTheme="minorEastAsia" w:hAnsiTheme="minorEastAsia" w:eastAsiaTheme="minorEastAsia"/>
          <w:color w:val="auto"/>
          <w:szCs w:val="28"/>
          <w:highlight w:val="none"/>
        </w:rPr>
      </w:pPr>
    </w:p>
    <w:p>
      <w:pPr>
        <w:spacing w:line="560" w:lineRule="exact"/>
        <w:rPr>
          <w:rFonts w:asciiTheme="minorEastAsia" w:hAnsiTheme="minorEastAsia" w:eastAsiaTheme="minorEastAsia"/>
          <w:color w:val="auto"/>
          <w:szCs w:val="28"/>
          <w:highlight w:val="none"/>
        </w:rPr>
      </w:pPr>
    </w:p>
    <w:p>
      <w:pPr>
        <w:spacing w:line="560" w:lineRule="exact"/>
        <w:rPr>
          <w:rFonts w:asciiTheme="minorEastAsia" w:hAnsiTheme="minorEastAsia" w:eastAsiaTheme="minorEastAsia"/>
          <w:color w:val="auto"/>
          <w:szCs w:val="28"/>
          <w:highlight w:val="none"/>
        </w:rPr>
      </w:pPr>
    </w:p>
    <w:p>
      <w:pPr>
        <w:spacing w:line="900" w:lineRule="exact"/>
        <w:jc w:val="center"/>
        <w:rPr>
          <w:rFonts w:asciiTheme="minorEastAsia" w:hAnsiTheme="minorEastAsia" w:eastAsiaTheme="minorEastAsia"/>
          <w:color w:val="auto"/>
          <w:sz w:val="72"/>
          <w:szCs w:val="72"/>
          <w:highlight w:val="none"/>
        </w:rPr>
      </w:pPr>
      <w:r>
        <w:rPr>
          <w:rFonts w:hint="eastAsia" w:asciiTheme="minorEastAsia" w:hAnsiTheme="minorEastAsia" w:eastAsiaTheme="minorEastAsia"/>
          <w:color w:val="auto"/>
          <w:sz w:val="72"/>
          <w:szCs w:val="72"/>
          <w:highlight w:val="none"/>
        </w:rPr>
        <w:t>重庆医科大学经济合同</w:t>
      </w:r>
    </w:p>
    <w:p>
      <w:pPr>
        <w:spacing w:line="640" w:lineRule="exact"/>
        <w:jc w:val="center"/>
        <w:rPr>
          <w:rFonts w:asciiTheme="minorEastAsia" w:hAnsiTheme="minorEastAsia" w:eastAsiaTheme="minorEastAsia"/>
          <w:color w:val="auto"/>
          <w:szCs w:val="28"/>
          <w:highlight w:val="none"/>
        </w:rPr>
      </w:pPr>
    </w:p>
    <w:p>
      <w:pPr>
        <w:spacing w:line="640" w:lineRule="exact"/>
        <w:rPr>
          <w:rFonts w:asciiTheme="minorEastAsia" w:hAnsiTheme="minorEastAsia" w:eastAsiaTheme="minorEastAsia"/>
          <w:color w:val="auto"/>
          <w:szCs w:val="28"/>
          <w:highlight w:val="none"/>
        </w:rPr>
      </w:pPr>
    </w:p>
    <w:p>
      <w:pPr>
        <w:spacing w:line="640" w:lineRule="exact"/>
        <w:ind w:firstLine="480" w:firstLineChars="1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 xml:space="preserve">合同类型：■买卖合同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技术合同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建设工程合同</w:t>
      </w:r>
    </w:p>
    <w:p>
      <w:pPr>
        <w:spacing w:line="640" w:lineRule="exact"/>
        <w:ind w:firstLine="2080" w:firstLineChars="6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委托合同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租赁合同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承揽合同</w:t>
      </w:r>
    </w:p>
    <w:p>
      <w:pPr>
        <w:spacing w:line="640" w:lineRule="exact"/>
        <w:ind w:firstLine="2080" w:firstLineChars="6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赠与合同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运输合同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物业服务合同</w:t>
      </w:r>
    </w:p>
    <w:p>
      <w:pPr>
        <w:spacing w:line="640" w:lineRule="exact"/>
        <w:ind w:firstLine="2080" w:firstLineChars="650"/>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其它典型合同</w:t>
      </w:r>
      <w:r>
        <w:rPr>
          <w:rFonts w:hint="eastAsia" w:asciiTheme="minorEastAsia" w:hAnsiTheme="minorEastAsia" w:eastAsiaTheme="minorEastAsia"/>
          <w:color w:val="auto"/>
          <w:sz w:val="32"/>
          <w:szCs w:val="32"/>
          <w:highlight w:val="none"/>
          <w:u w:val="single"/>
        </w:rPr>
        <w:t xml:space="preserve">                       </w:t>
      </w:r>
    </w:p>
    <w:p>
      <w:pPr>
        <w:spacing w:line="640" w:lineRule="exact"/>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 xml:space="preserve">    合同甲方：重庆医科大学</w:t>
      </w:r>
    </w:p>
    <w:p>
      <w:pPr>
        <w:spacing w:line="640" w:lineRule="exact"/>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合同乙方：</w:t>
      </w:r>
    </w:p>
    <w:p>
      <w:pPr>
        <w:spacing w:line="640" w:lineRule="exact"/>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合同金额：人民币     元</w:t>
      </w:r>
    </w:p>
    <w:p>
      <w:pPr>
        <w:spacing w:line="640" w:lineRule="exact"/>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经费项目：</w:t>
      </w:r>
    </w:p>
    <w:p>
      <w:pPr>
        <w:spacing w:line="640" w:lineRule="exact"/>
        <w:jc w:val="center"/>
        <w:rPr>
          <w:rFonts w:asciiTheme="minorEastAsia" w:hAnsiTheme="minorEastAsia" w:eastAsiaTheme="minorEastAsia"/>
          <w:color w:val="auto"/>
          <w:sz w:val="32"/>
          <w:szCs w:val="32"/>
          <w:highlight w:val="none"/>
        </w:rPr>
      </w:pPr>
    </w:p>
    <w:p>
      <w:pPr>
        <w:spacing w:line="640" w:lineRule="exact"/>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签订时间：     年   月   日</w:t>
      </w:r>
    </w:p>
    <w:p>
      <w:pPr>
        <w:spacing w:line="640" w:lineRule="exact"/>
        <w:jc w:val="center"/>
        <w:rPr>
          <w:rFonts w:asciiTheme="minorEastAsia" w:hAnsiTheme="minorEastAsia" w:eastAsiaTheme="minorEastAsia"/>
          <w:color w:val="auto"/>
          <w:sz w:val="32"/>
          <w:szCs w:val="32"/>
          <w:highlight w:val="none"/>
        </w:rPr>
      </w:pPr>
    </w:p>
    <w:p>
      <w:pPr>
        <w:spacing w:line="640" w:lineRule="exact"/>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重庆医科大学财务处 监制</w:t>
      </w:r>
    </w:p>
    <w:p>
      <w:pPr>
        <w:snapToGrid w:val="0"/>
        <w:spacing w:line="500" w:lineRule="exact"/>
        <w:jc w:val="center"/>
        <w:outlineLvl w:val="0"/>
        <w:rPr>
          <w:rFonts w:asciiTheme="minorEastAsia" w:hAnsiTheme="minorEastAsia" w:eastAsiaTheme="minorEastAsia"/>
          <w:color w:val="auto"/>
          <w:sz w:val="44"/>
          <w:highlight w:val="none"/>
        </w:rPr>
        <w:sectPr>
          <w:headerReference r:id="rId14" w:type="default"/>
          <w:pgSz w:w="11907" w:h="16840"/>
          <w:pgMar w:top="1134" w:right="1191" w:bottom="1134" w:left="1304" w:header="964" w:footer="992" w:gutter="0"/>
          <w:pgNumType w:fmt="numberInDash"/>
          <w:cols w:space="720" w:num="1"/>
          <w:docGrid w:linePitch="312" w:charSpace="0"/>
        </w:sectPr>
      </w:pPr>
    </w:p>
    <w:p>
      <w:pPr>
        <w:spacing w:line="480" w:lineRule="exact"/>
        <w:jc w:val="center"/>
        <w:rPr>
          <w:rFonts w:asciiTheme="minorEastAsia" w:hAnsiTheme="minorEastAsia" w:eastAsiaTheme="minorEastAsia"/>
          <w:b/>
          <w:color w:val="auto"/>
          <w:sz w:val="44"/>
          <w:highlight w:val="none"/>
        </w:rPr>
      </w:pPr>
      <w:r>
        <w:rPr>
          <w:rFonts w:hint="eastAsia" w:asciiTheme="minorEastAsia" w:hAnsiTheme="minorEastAsia" w:eastAsiaTheme="minorEastAsia"/>
          <w:b/>
          <w:color w:val="auto"/>
          <w:sz w:val="44"/>
          <w:highlight w:val="none"/>
        </w:rPr>
        <w:t>经济合同</w:t>
      </w:r>
    </w:p>
    <w:p>
      <w:pPr>
        <w:spacing w:line="48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（项目号：     ）</w:t>
      </w:r>
    </w:p>
    <w:p>
      <w:pPr>
        <w:spacing w:line="48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甲方（需方、</w:t>
      </w:r>
      <w:r>
        <w:rPr>
          <w:rFonts w:hint="eastAsia" w:asciiTheme="minorEastAsia" w:hAnsiTheme="minorEastAsia" w:eastAsiaTheme="minorEastAsia"/>
          <w:bCs/>
          <w:color w:val="auto"/>
          <w:sz w:val="24"/>
          <w:highlight w:val="none"/>
        </w:rPr>
        <w:t>采购人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_ _重庆医科大学_ _</w:t>
      </w:r>
      <w:r>
        <w:rPr>
          <w:rFonts w:hint="eastAsia" w:asciiTheme="minorEastAsia" w:hAnsiTheme="minorEastAsia" w:eastAsiaTheme="minorEastAsia"/>
          <w:color w:val="auto"/>
          <w:sz w:val="24"/>
          <w:highlight w:val="none"/>
        </w:rPr>
        <w:t xml:space="preserve">       计价单位：</w:t>
      </w:r>
      <w:r>
        <w:rPr>
          <w:rFonts w:hint="eastAsia" w:asciiTheme="minorEastAsia" w:hAnsiTheme="minorEastAsia" w:eastAsiaTheme="minorEastAsia"/>
          <w:color w:val="auto"/>
          <w:sz w:val="24"/>
          <w:highlight w:val="none"/>
          <w:u w:val="single"/>
        </w:rPr>
        <w:t>_人民币：元__</w:t>
      </w:r>
    </w:p>
    <w:p>
      <w:pPr>
        <w:spacing w:line="48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乙方（供方、</w:t>
      </w:r>
      <w:r>
        <w:rPr>
          <w:rFonts w:hint="eastAsia" w:asciiTheme="minorEastAsia" w:hAnsiTheme="minorEastAsia" w:eastAsiaTheme="minorEastAsia"/>
          <w:bCs/>
          <w:color w:val="auto"/>
          <w:sz w:val="24"/>
          <w:highlight w:val="none"/>
        </w:rPr>
        <w:t>中标人</w:t>
      </w:r>
      <w:r>
        <w:rPr>
          <w:rFonts w:hint="eastAsia" w:asciiTheme="minorEastAsia" w:hAnsiTheme="minorEastAsia" w:eastAsiaTheme="minorEastAsia"/>
          <w:color w:val="auto"/>
          <w:sz w:val="24"/>
          <w:highlight w:val="none"/>
        </w:rPr>
        <w:t>）：___________________      计量单位：_____________</w:t>
      </w:r>
    </w:p>
    <w:p>
      <w:pPr>
        <w:spacing w:line="480" w:lineRule="exact"/>
        <w:rPr>
          <w:rFonts w:asciiTheme="minorEastAsia" w:hAnsiTheme="minorEastAsia" w:eastAsiaTheme="minorEastAsia"/>
          <w:color w:val="auto"/>
          <w:sz w:val="24"/>
          <w:highlight w:val="none"/>
        </w:rPr>
      </w:pP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根据《中华人民共和国民法典》《中华人民共和国政府采购法》等法律规定，经双方协商一致，达成以下经济合同：</w:t>
      </w: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717"/>
        <w:gridCol w:w="865"/>
        <w:gridCol w:w="850"/>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项目名称</w:t>
            </w:r>
          </w:p>
        </w:tc>
        <w:tc>
          <w:tcPr>
            <w:tcW w:w="1741"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规格型号</w:t>
            </w:r>
          </w:p>
        </w:tc>
        <w:tc>
          <w:tcPr>
            <w:tcW w:w="984"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数量</w:t>
            </w:r>
          </w:p>
        </w:tc>
        <w:tc>
          <w:tcPr>
            <w:tcW w:w="1582" w:type="dxa"/>
            <w:gridSpan w:val="2"/>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单价（元）</w:t>
            </w:r>
          </w:p>
        </w:tc>
        <w:tc>
          <w:tcPr>
            <w:tcW w:w="850"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总价（元）</w:t>
            </w:r>
          </w:p>
        </w:tc>
        <w:tc>
          <w:tcPr>
            <w:tcW w:w="1559"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交货时间</w:t>
            </w:r>
          </w:p>
        </w:tc>
        <w:tc>
          <w:tcPr>
            <w:tcW w:w="1567"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02" w:hRule="atLeast"/>
          <w:jc w:val="center"/>
        </w:trPr>
        <w:tc>
          <w:tcPr>
            <w:tcW w:w="1330" w:type="dxa"/>
            <w:vAlign w:val="center"/>
          </w:tcPr>
          <w:p>
            <w:pPr>
              <w:spacing w:line="240" w:lineRule="atLeast"/>
              <w:jc w:val="center"/>
              <w:rPr>
                <w:rFonts w:asciiTheme="minorEastAsia" w:hAnsiTheme="minorEastAsia" w:eastAsiaTheme="minorEastAsia"/>
                <w:color w:val="auto"/>
                <w:sz w:val="24"/>
                <w:szCs w:val="24"/>
                <w:highlight w:val="none"/>
              </w:rPr>
            </w:pPr>
          </w:p>
        </w:tc>
        <w:tc>
          <w:tcPr>
            <w:tcW w:w="1741"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984"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1582" w:type="dxa"/>
            <w:gridSpan w:val="2"/>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850"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1559"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年 月 日</w:t>
            </w:r>
          </w:p>
        </w:tc>
        <w:tc>
          <w:tcPr>
            <w:tcW w:w="1567"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268" w:hRule="atLeast"/>
          <w:jc w:val="center"/>
        </w:trPr>
        <w:tc>
          <w:tcPr>
            <w:tcW w:w="9613" w:type="dxa"/>
            <w:gridSpan w:val="8"/>
            <w:vAlign w:val="center"/>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合同总价（含税）：人民币（小写）</w:t>
            </w:r>
          </w:p>
          <w:p>
            <w:pPr>
              <w:spacing w:line="240" w:lineRule="atLeast"/>
              <w:ind w:firstLine="2040" w:firstLineChars="8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人民币（大写）</w:t>
            </w:r>
          </w:p>
          <w:p>
            <w:pPr>
              <w:spacing w:line="240" w:lineRule="atLeast"/>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备注：</w:t>
            </w:r>
          </w:p>
          <w:p>
            <w:pPr>
              <w:spacing w:line="240" w:lineRule="atLeast"/>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本项目为“交钥匙工程”，上述合同总价为“包干价”，包括但不限于：乙方为履行合同所需的货款、技术资料费、安装调试费、运输费、保险费、包装费、装卸费及与所有税费。乙方投标时已充分考虑到所有费用，甲方后续不额外支付任何费用。</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2.本合同技术参数详见附件，甲方用户单位已逐页确认，符合其采购需求。</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3.税率为：</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268" w:hRule="atLeast"/>
          <w:jc w:val="center"/>
        </w:trPr>
        <w:tc>
          <w:tcPr>
            <w:tcW w:w="9613" w:type="dxa"/>
            <w:gridSpan w:val="8"/>
            <w:vAlign w:val="center"/>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一、质量要求和技术标准。乙方提供的商品必须是全新的（按招标文件规定的服务性能、技术要求、质量标准），完全符合国家有关技术标准。乙方的质量保证及售后服务承诺如下：</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（一）质保期限：</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年。自验收合格之日起计算。</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（二）保修范围：上述列表所示的所有服务均属保修范围。质保期限内，乙方应当对甲方正常使用中、非人为原因、基于不可抗力出现质量及安全问题的服务，负责处理解决并承担一切费用。</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（三）服务措施：</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 质保期限内，乙方提供的服务因服务本身的质量问题发生故障，乙方应负责免费更换。对达不到技术要求者，甲方可根据实际情况，选择按以下第</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类办法处理：</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（1）更换：由乙方承担所发生的全部费用。</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（2）退货处理：乙方应退还甲方支付的全部合同款，同时应承担该服务的直接费用（运输、保险、检验、货款利息及银行手续费等）。</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质保期限内，乙方应当即时采取以下措施，并承担所有费用：</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（1）电话或网络在线咨询：甲方用户单位求助时，乙方应当立即响应，提供相关的技术支持，帮助用户单位迅速解决问题。</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（四）质保期后服务： </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 继续提供或网络在线咨询；乙方接到甲方的求助后应当立即响应，提供技术咨询服务。</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继续提供上门服务：在无法解决时，乙方应当于24小时内达到甲方现场处置。若维护维修甲方服务涉及费用，乙方应当按成本价及最惠价据实收取原厂零配件费、服务费；若甲方需要添购，乙方应当依法与甲方另行达成补充协议。</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继续提供技术升级：乙方向甲方交付服务所附随的所有软件，乙方终身提供免费维护、升级服务。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二、随机备品、附件、工具数量及供应方法：</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服务所附的备件、产品使用说明书、技术资料及配套工具应当随服务主体一次性交付至甲方，由甲方用户单位统一保管。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三、交提货方式：</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（二）乙方应当在本合同签订后</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个自然日内，将服务交付至甲方用户单位指定地点并完成安装调试。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四、验收标准、方法：</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（一）交付服务时，乙方应与甲方用户单位共同核验，做好验收记录并完成双方签字确认。</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（二）乙方应随服务提供涉及的相关产品合格证、质量证明文件、检验报告等资料。</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乙方所交服务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服务送有关权威检测部门检测；如检测不合格，乙方应承担甲方所支出的检测费用并向甲方赔偿一切损失。</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（四）如验收不合格，甲方有权解除本合同并没收履约保证金；乙方应当赔偿甲方一切损失，并返还甲方已支付的全部合同款，并接受被全市通报、被取消两年政府采购供应商资格的处理结果。</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甲方对乙方交付服务的验收仅为表面验收，验收合格不视为乙方对质量问题免责；甲方验收时未提出异议不视为对乙方服务质量合格之认定。若乙方服务存在任何质量问题，甲方有权要求乙方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五、付款方式：</w:t>
            </w:r>
          </w:p>
          <w:p>
            <w:pPr>
              <w:pStyle w:val="32"/>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（一）甲方按以下第</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种方式，向乙方付款。</w:t>
            </w:r>
          </w:p>
          <w:p>
            <w:pPr>
              <w:pStyle w:val="32"/>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 银行转账。2. 现金支票。 </w:t>
            </w:r>
          </w:p>
          <w:p>
            <w:pPr>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付款方法：服务全部到货并验收合格后，乙方按合同总价的5%向甲方交纳质保金，甲方向乙方按合同总价支付价款，乙方未支付质保金的，甲方有权拒绝支付货款。质保期内乙方提供的服务无质量问题且没有其他违约行为，质保期届满后由甲方全额无息退还。</w:t>
            </w:r>
          </w:p>
          <w:p>
            <w:pPr>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六、合同争议及违约责任：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（一）乙方在投标时未明确提出异议，视为完全响应甲方在本合同内的各项要求。</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乙方应按本合同第一条“质量要求和技术标准”提供服务。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服务费用的，甲方有权向乙方主张进行补足。</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乙方应当按第三条“交提货方式”按时交付服务。若乙方逾期，每延期1个自然日应当按合同总价的1‰向甲方支付违约金（最高不超过合同总价的10%），甲方可在乙方缴纳的质保金或履约保证金内扣除；若乙方逾期超过</w:t>
            </w:r>
            <w:r>
              <w:rPr>
                <w:rFonts w:hint="eastAsia" w:asciiTheme="minorEastAsia" w:hAnsiTheme="minorEastAsia" w:eastAsiaTheme="minorEastAsia"/>
                <w:color w:val="auto"/>
                <w:sz w:val="24"/>
                <w:szCs w:val="24"/>
                <w:highlight w:val="none"/>
                <w:u w:val="single"/>
              </w:rPr>
              <w:t>60</w:t>
            </w:r>
            <w:r>
              <w:rPr>
                <w:rFonts w:hint="eastAsia" w:asciiTheme="minorEastAsia" w:hAnsiTheme="minorEastAsia" w:eastAsiaTheme="minorEastAsia"/>
                <w:color w:val="auto"/>
                <w:sz w:val="24"/>
                <w:szCs w:val="24"/>
                <w:highlight w:val="none"/>
              </w:rPr>
              <w:t>个自然日的，甲方有权解除本合同，没收全部履约保证金，并要求乙方返还甲方已支付款项，赔偿甲方全部损失。</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乙方应当按照本合同列明的服务名称、规格、数量全面履行义务。若乙方向甲方交付的服务与本合同不符，甲方有权拒绝接收并不延长交付时间，乙方应承担由此造成甲方的损失以及逾期交付的违约责任。若甲方同意让步接收的，除要求乙方赔偿损失外，甲方有权根据服务的疵劣和受损程度要求乙方降低服务价格并承担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（五）履约保证金减少的，乙方未按照甲方要求补足履约保证金的，每逾期1个自然日，甲方有权要求乙方支付履约保证金总额</w:t>
            </w:r>
            <w:r>
              <w:rPr>
                <w:rFonts w:hint="eastAsia" w:asciiTheme="minorEastAsia" w:hAnsiTheme="minorEastAsia" w:eastAsiaTheme="minorEastAsia"/>
                <w:color w:val="auto"/>
                <w:sz w:val="24"/>
                <w:szCs w:val="24"/>
                <w:highlight w:val="none"/>
                <w:u w:val="single"/>
              </w:rPr>
              <w:t xml:space="preserve"> 0.1 </w:t>
            </w:r>
            <w:r>
              <w:rPr>
                <w:rFonts w:hint="eastAsia" w:asciiTheme="minorEastAsia" w:hAnsiTheme="minorEastAsia" w:eastAsiaTheme="minorEastAsia"/>
                <w:color w:val="auto"/>
                <w:sz w:val="24"/>
                <w:szCs w:val="24"/>
                <w:highlight w:val="none"/>
              </w:rPr>
              <w:t>%的违约金；逾期超过</w:t>
            </w:r>
            <w:r>
              <w:rPr>
                <w:rFonts w:hint="eastAsia" w:asciiTheme="minorEastAsia" w:hAnsiTheme="minorEastAsia" w:eastAsiaTheme="minorEastAsia"/>
                <w:color w:val="auto"/>
                <w:sz w:val="24"/>
                <w:szCs w:val="24"/>
                <w:highlight w:val="none"/>
                <w:u w:val="single"/>
              </w:rPr>
              <w:t xml:space="preserve"> 60 </w:t>
            </w:r>
            <w:r>
              <w:rPr>
                <w:rFonts w:hint="eastAsia" w:asciiTheme="minorEastAsia" w:hAnsiTheme="minorEastAsia" w:eastAsiaTheme="minorEastAsia"/>
                <w:color w:val="auto"/>
                <w:sz w:val="24"/>
                <w:szCs w:val="24"/>
                <w:highlight w:val="none"/>
              </w:rPr>
              <w:t>个自然日，甲方有权解除合同，要求乙方支付前述违约金并没收剩余的履约保证金。</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七）乙方承诺本合同履行期间持续具有履行本经济合同所需合法、有效资质，否则视为重大违约，甲方有权立即解除本合同，已交付的费用乙方须无条件全额退还，甲方没收全部履约保证金并追究乙方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（八）甲乙双方若不能按互谅互惠原则协商解决争议，任何一方均可向重庆仲裁委员会提请仲裁。</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（十）本合同项下各违约责任相互独立，可同时、一并适用。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七、其他约定事项：</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甲方招标文件及其补遗文件、乙方投标文件和承诺不可分割，与本合同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甲方在中华人民共和国境内使用乙方提供的合同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（三）乙方负责及时将服务包装材料清运离开甲方所在地，由此产生的费用由乙方自行承担。</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（四）乙方向甲方申请付款时，应当按甲方财务管理要求开具增值税专用发票。若乙方未提供有效增值税专用发票的，甲方有权拒绝支付合同价款且不承担任何延迟履行的责任。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（六）本经济合同的任何修订、变更或调整，须经甲方、乙方共同书面确认。补充协议与本经济合同具有同等法律效力，不一致之处，以补充协议为准。</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（七）合同有效期：本合同有效期</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年（不超过叁年），自 </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日- </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日。</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（八）本合同</w:t>
            </w:r>
            <w:r>
              <w:rPr>
                <w:rFonts w:hint="eastAsia" w:asciiTheme="minorEastAsia" w:hAnsiTheme="minorEastAsia" w:eastAsiaTheme="minorEastAsia"/>
                <w:color w:val="auto"/>
                <w:sz w:val="24"/>
                <w:szCs w:val="24"/>
                <w:highlight w:val="none"/>
                <w:u w:val="single"/>
              </w:rPr>
              <w:t xml:space="preserve"> 壹 </w:t>
            </w:r>
            <w:r>
              <w:rPr>
                <w:rFonts w:hint="eastAsia" w:asciiTheme="minorEastAsia" w:hAnsiTheme="minorEastAsia" w:eastAsiaTheme="minorEastAsia"/>
                <w:color w:val="auto"/>
                <w:sz w:val="24"/>
                <w:szCs w:val="24"/>
                <w:highlight w:val="none"/>
              </w:rPr>
              <w:t>式</w:t>
            </w:r>
            <w:r>
              <w:rPr>
                <w:rFonts w:hint="eastAsia" w:asciiTheme="minorEastAsia" w:hAnsiTheme="minorEastAsia" w:eastAsiaTheme="minorEastAsia"/>
                <w:color w:val="auto"/>
                <w:sz w:val="24"/>
                <w:szCs w:val="24"/>
                <w:highlight w:val="none"/>
                <w:u w:val="single"/>
              </w:rPr>
              <w:t xml:space="preserve"> 陆 </w:t>
            </w:r>
            <w:r>
              <w:rPr>
                <w:rFonts w:hint="eastAsia" w:asciiTheme="minorEastAsia" w:hAnsiTheme="minorEastAsia" w:eastAsiaTheme="minorEastAsia"/>
                <w:color w:val="auto"/>
                <w:sz w:val="24"/>
                <w:szCs w:val="24"/>
                <w:highlight w:val="none"/>
              </w:rPr>
              <w:t>份，甲方执正本</w:t>
            </w:r>
            <w:r>
              <w:rPr>
                <w:rFonts w:hint="eastAsia" w:asciiTheme="minorEastAsia" w:hAnsiTheme="minorEastAsia" w:eastAsiaTheme="minorEastAsia"/>
                <w:color w:val="auto"/>
                <w:sz w:val="24"/>
                <w:szCs w:val="24"/>
                <w:highlight w:val="none"/>
                <w:u w:val="single"/>
              </w:rPr>
              <w:t xml:space="preserve"> 壹 </w:t>
            </w:r>
            <w:r>
              <w:rPr>
                <w:rFonts w:hint="eastAsia" w:asciiTheme="minorEastAsia" w:hAnsiTheme="minorEastAsia" w:eastAsiaTheme="minorEastAsia"/>
                <w:color w:val="auto"/>
                <w:sz w:val="24"/>
                <w:szCs w:val="24"/>
                <w:highlight w:val="none"/>
              </w:rPr>
              <w:t xml:space="preserve">份、副本 </w:t>
            </w:r>
            <w:r>
              <w:rPr>
                <w:rFonts w:hint="eastAsia" w:asciiTheme="minorEastAsia" w:hAnsiTheme="minorEastAsia" w:eastAsiaTheme="minorEastAsia"/>
                <w:color w:val="auto"/>
                <w:sz w:val="24"/>
                <w:szCs w:val="24"/>
                <w:highlight w:val="none"/>
                <w:u w:val="single"/>
              </w:rPr>
              <w:t xml:space="preserve">肆 </w:t>
            </w:r>
            <w:r>
              <w:rPr>
                <w:rFonts w:hint="eastAsia" w:asciiTheme="minorEastAsia" w:hAnsiTheme="minorEastAsia" w:eastAsiaTheme="minorEastAsia"/>
                <w:color w:val="auto"/>
                <w:sz w:val="24"/>
                <w:szCs w:val="24"/>
                <w:highlight w:val="none"/>
              </w:rPr>
              <w:t>份，乙方执正本</w:t>
            </w:r>
            <w:r>
              <w:rPr>
                <w:rFonts w:hint="eastAsia" w:asciiTheme="minorEastAsia" w:hAnsiTheme="minorEastAsia" w:eastAsiaTheme="minorEastAsia"/>
                <w:color w:val="auto"/>
                <w:sz w:val="24"/>
                <w:szCs w:val="24"/>
                <w:highlight w:val="none"/>
                <w:u w:val="single"/>
              </w:rPr>
              <w:t xml:space="preserve"> 壹</w:t>
            </w:r>
            <w:r>
              <w:rPr>
                <w:rFonts w:hint="eastAsia" w:asciiTheme="minorEastAsia" w:hAnsiTheme="minorEastAsia" w:eastAsiaTheme="minorEastAsia"/>
                <w:color w:val="auto"/>
                <w:sz w:val="24"/>
                <w:szCs w:val="24"/>
                <w:highlight w:val="none"/>
              </w:rPr>
              <w:t xml:space="preserve"> 份，均具备同等法律效力。</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（九）本经济合同自当事人法定代表人或委托代理人签字并加盖双方合同专用章或公章后生效。</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4772" w:type="dxa"/>
            <w:gridSpan w:val="4"/>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甲方（需方）：重庆医科大学</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地址：重庆市渝中区医学院路1号</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统一社会信用代码：</w:t>
            </w:r>
            <w:r>
              <w:rPr>
                <w:rFonts w:asciiTheme="minorEastAsia" w:hAnsiTheme="minorEastAsia" w:eastAsiaTheme="minorEastAsia"/>
                <w:color w:val="auto"/>
                <w:sz w:val="24"/>
                <w:szCs w:val="24"/>
                <w:highlight w:val="none"/>
              </w:rPr>
              <w:t>12500000450401805G</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开户行：中国建设银行股份有限公司重庆高新区分行</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账号：</w:t>
            </w:r>
            <w:r>
              <w:rPr>
                <w:rFonts w:asciiTheme="minorEastAsia" w:hAnsiTheme="minorEastAsia" w:eastAsiaTheme="minorEastAsia"/>
                <w:color w:val="auto"/>
                <w:sz w:val="24"/>
                <w:szCs w:val="24"/>
                <w:highlight w:val="none"/>
              </w:rPr>
              <w:t>50001033600050008726</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授权代表人：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联系电话：（请备注用户单位联系人电话）</w:t>
            </w:r>
          </w:p>
          <w:p>
            <w:pPr>
              <w:spacing w:line="240" w:lineRule="atLeast"/>
              <w:rPr>
                <w:rFonts w:asciiTheme="minorEastAsia" w:hAnsiTheme="minorEastAsia" w:eastAsiaTheme="minorEastAsia"/>
                <w:color w:val="auto"/>
                <w:sz w:val="24"/>
                <w:szCs w:val="24"/>
                <w:highlight w:val="none"/>
              </w:rPr>
            </w:pPr>
          </w:p>
        </w:tc>
        <w:tc>
          <w:tcPr>
            <w:tcW w:w="4856" w:type="dxa"/>
            <w:gridSpan w:val="5"/>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乙方（供方）：</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统一社会信用代码：</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开户行：</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账号：</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授权代表人：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w:t>
            </w:r>
          </w:p>
          <w:p>
            <w:pPr>
              <w:spacing w:line="240" w:lineRule="atLeast"/>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628" w:type="dxa"/>
            <w:gridSpan w:val="9"/>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备注：</w:t>
            </w:r>
          </w:p>
        </w:tc>
      </w:tr>
    </w:tbl>
    <w:p>
      <w:pPr>
        <w:spacing w:line="560" w:lineRule="exact"/>
        <w:jc w:val="left"/>
        <w:rPr>
          <w:rFonts w:asciiTheme="minorEastAsia" w:hAnsiTheme="minorEastAsia" w:eastAsiaTheme="minorEastAsia"/>
          <w:color w:val="auto"/>
          <w:sz w:val="24"/>
          <w:szCs w:val="24"/>
          <w:highlight w:val="none"/>
        </w:rPr>
      </w:pPr>
    </w:p>
    <w:p>
      <w:pPr>
        <w:spacing w:line="50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签约时间：           年   月   日      签约地点：重庆医科大学袁家岗校区</w:t>
      </w:r>
    </w:p>
    <w:p>
      <w:pPr>
        <w:spacing w:line="560" w:lineRule="exact"/>
        <w:jc w:val="left"/>
        <w:rPr>
          <w:rFonts w:asciiTheme="minorEastAsia" w:hAnsiTheme="minorEastAsia" w:eastAsiaTheme="minorEastAsia"/>
          <w:color w:val="auto"/>
          <w:sz w:val="24"/>
          <w:szCs w:val="24"/>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附件1</w:t>
      </w:r>
    </w:p>
    <w:p>
      <w:pPr>
        <w:spacing w:line="560" w:lineRule="exact"/>
        <w:jc w:val="center"/>
        <w:rPr>
          <w:rFonts w:asciiTheme="minorEastAsia" w:hAnsiTheme="minorEastAsia" w:eastAsiaTheme="minorEastAsia"/>
          <w:b/>
          <w:color w:val="auto"/>
          <w:szCs w:val="28"/>
          <w:highlight w:val="none"/>
        </w:rPr>
      </w:pPr>
    </w:p>
    <w:p>
      <w:pPr>
        <w:spacing w:line="560" w:lineRule="exact"/>
        <w:jc w:val="center"/>
        <w:rPr>
          <w:rFonts w:asciiTheme="minorEastAsia" w:hAnsiTheme="minorEastAsia" w:eastAsiaTheme="minorEastAsia"/>
          <w:b/>
          <w:color w:val="auto"/>
          <w:szCs w:val="28"/>
          <w:highlight w:val="none"/>
        </w:rPr>
      </w:pPr>
      <w:r>
        <w:rPr>
          <w:rFonts w:hint="eastAsia" w:asciiTheme="minorEastAsia" w:hAnsiTheme="minorEastAsia" w:eastAsiaTheme="minorEastAsia"/>
          <w:b/>
          <w:color w:val="auto"/>
          <w:szCs w:val="28"/>
          <w:highlight w:val="none"/>
        </w:rPr>
        <w:t>商务参数明细</w:t>
      </w: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118"/>
        <w:gridCol w:w="1276"/>
        <w:gridCol w:w="175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221"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货物名称</w:t>
            </w:r>
          </w:p>
        </w:tc>
        <w:tc>
          <w:tcPr>
            <w:tcW w:w="311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规格型号</w:t>
            </w:r>
          </w:p>
        </w:tc>
        <w:tc>
          <w:tcPr>
            <w:tcW w:w="127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数量</w:t>
            </w:r>
          </w:p>
        </w:tc>
        <w:tc>
          <w:tcPr>
            <w:tcW w:w="1751"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单价（不变价）</w:t>
            </w:r>
          </w:p>
        </w:tc>
        <w:tc>
          <w:tcPr>
            <w:tcW w:w="1262"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bl>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附件2</w:t>
      </w:r>
    </w:p>
    <w:p>
      <w:pPr>
        <w:spacing w:line="560" w:lineRule="exact"/>
        <w:jc w:val="center"/>
        <w:rPr>
          <w:rFonts w:asciiTheme="minorEastAsia" w:hAnsiTheme="minorEastAsia" w:eastAsiaTheme="minorEastAsia"/>
          <w:b/>
          <w:color w:val="auto"/>
          <w:szCs w:val="28"/>
          <w:highlight w:val="none"/>
        </w:rPr>
      </w:pPr>
      <w:r>
        <w:rPr>
          <w:rFonts w:hint="eastAsia" w:asciiTheme="minorEastAsia" w:hAnsiTheme="minorEastAsia" w:eastAsiaTheme="minorEastAsia"/>
          <w:b/>
          <w:color w:val="auto"/>
          <w:szCs w:val="28"/>
          <w:highlight w:val="none"/>
        </w:rPr>
        <w:t>技术参数明细</w:t>
      </w:r>
    </w:p>
    <w:tbl>
      <w:tblPr>
        <w:tblStyle w:val="58"/>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6" w:type="dxa"/>
            <w:vAlign w:val="center"/>
          </w:tcPr>
          <w:p>
            <w:pPr>
              <w:adjustRightInd w:val="0"/>
              <w:snapToGrid w:val="0"/>
              <w:spacing w:line="360" w:lineRule="auto"/>
              <w:jc w:val="center"/>
              <w:outlineLvl w:val="2"/>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w:t>
            </w:r>
          </w:p>
        </w:tc>
        <w:tc>
          <w:tcPr>
            <w:tcW w:w="1297" w:type="dxa"/>
            <w:vAlign w:val="center"/>
          </w:tcPr>
          <w:p>
            <w:pPr>
              <w:adjustRightInd w:val="0"/>
              <w:snapToGrid w:val="0"/>
              <w:spacing w:line="360" w:lineRule="auto"/>
              <w:jc w:val="center"/>
              <w:outlineLvl w:val="2"/>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商品名称</w:t>
            </w:r>
          </w:p>
        </w:tc>
        <w:tc>
          <w:tcPr>
            <w:tcW w:w="7514" w:type="dxa"/>
            <w:noWrap/>
            <w:vAlign w:val="center"/>
          </w:tcPr>
          <w:p>
            <w:pPr>
              <w:adjustRightInd w:val="0"/>
              <w:snapToGrid w:val="0"/>
              <w:spacing w:line="360" w:lineRule="auto"/>
              <w:jc w:val="center"/>
              <w:outlineLvl w:val="2"/>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bl>
    <w:p>
      <w:pPr>
        <w:rPr>
          <w:color w:val="auto"/>
          <w:highlight w:val="none"/>
        </w:rPr>
      </w:pPr>
    </w:p>
    <w:p>
      <w:pPr>
        <w:tabs>
          <w:tab w:val="left" w:pos="9000"/>
        </w:tabs>
        <w:spacing w:line="560" w:lineRule="exact"/>
        <w:jc w:val="center"/>
        <w:rPr>
          <w:rFonts w:asciiTheme="minorEastAsia" w:hAnsiTheme="minorEastAsia" w:eastAsiaTheme="minorEastAsia"/>
          <w:color w:val="auto"/>
          <w:szCs w:val="28"/>
          <w:highlight w:val="none"/>
        </w:rPr>
        <w:sectPr>
          <w:footerReference r:id="rId15" w:type="default"/>
          <w:footerReference r:id="rId16" w:type="even"/>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Theme="minorEastAsia" w:hAnsiTheme="minorEastAsia" w:eastAsiaTheme="minorEastAsia"/>
          <w:bCs/>
          <w:color w:val="auto"/>
          <w:sz w:val="44"/>
          <w:szCs w:val="44"/>
          <w:highlight w:val="none"/>
        </w:rPr>
      </w:pPr>
      <w:bookmarkStart w:id="85" w:name="_Hlt41879464"/>
      <w:bookmarkEnd w:id="85"/>
      <w:bookmarkStart w:id="86" w:name="_Toc105060913"/>
      <w:r>
        <w:rPr>
          <w:rFonts w:hint="eastAsia" w:asciiTheme="minorEastAsia" w:hAnsiTheme="minorEastAsia" w:eastAsiaTheme="minorEastAsia"/>
          <w:bCs/>
          <w:color w:val="auto"/>
          <w:sz w:val="44"/>
          <w:szCs w:val="44"/>
          <w:highlight w:val="none"/>
        </w:rPr>
        <w:t>第七篇  响应文件编制要求</w:t>
      </w:r>
      <w:bookmarkEnd w:id="86"/>
    </w:p>
    <w:p>
      <w:pPr>
        <w:spacing w:line="560" w:lineRule="exact"/>
        <w:ind w:firstLine="560" w:firstLineChars="200"/>
        <w:rPr>
          <w:rFonts w:asciiTheme="minorEastAsia" w:hAnsiTheme="minorEastAsia" w:eastAsiaTheme="minorEastAsia"/>
          <w:color w:val="auto"/>
          <w:szCs w:val="28"/>
          <w:highlight w:val="none"/>
        </w:rPr>
      </w:pP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一、经济部分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（一）竞争性磋商报价函</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（二）明细报价表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二、服务部分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（一）服务方案</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（二）服务响应偏离表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三、商务部分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（一）商务要求响应情况：服务期及地点、报价要求、质量保证及售后服务等。</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（二）商务响应偏离表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（三）其它优惠服务承诺</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四、资格条件及其他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（一）营业执照（副本）或事业单位法人证书（副本）复印件</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（二）组织机构代码证复印件</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（三）法定代表人身份证明书（格式）</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（四）法定代表人授权委托书（格式）</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（五）2021或2022年度财务状况报告（表）复印件，本年度新成立的公司提供提交响应文件截止时间前一个月的财务状况报告（表）复印件</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（六）书面声明（格式）</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（七）税务登记证（副本）复印件和社会保险缴纳证明材料</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（八）特定资格条件证书或证明文件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说明：供应商按“多证合一”登记制度办理营业执照的，组织机构代码证和税务登记证以供应商所提供的法人营业执照（副本）复印件为准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五、其他应提供的资料</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（一）供应商小微企业证明文件（非小微企业不提供）</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（二）联合体共同联合协议（如果有）</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（三）其他资料</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其他与项目有关的资料</w:t>
      </w:r>
    </w:p>
    <w:p>
      <w:pPr>
        <w:snapToGrid w:val="0"/>
        <w:spacing w:line="560" w:lineRule="exact"/>
        <w:rPr>
          <w:rFonts w:asciiTheme="minorEastAsia" w:hAnsiTheme="minorEastAsia" w:eastAsiaTheme="minorEastAsia"/>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Theme="minorEastAsia" w:hAnsiTheme="minorEastAsia" w:eastAsiaTheme="minorEastAsia"/>
          <w:b w:val="0"/>
          <w:color w:val="auto"/>
          <w:sz w:val="28"/>
          <w:szCs w:val="28"/>
          <w:highlight w:val="none"/>
        </w:rPr>
      </w:pPr>
      <w:bookmarkStart w:id="87" w:name="_Toc313008356"/>
      <w:bookmarkStart w:id="88" w:name="_Toc313888360"/>
      <w:bookmarkStart w:id="89" w:name="_Toc105060914"/>
      <w:bookmarkStart w:id="90" w:name="_Toc342913419"/>
      <w:bookmarkStart w:id="91" w:name="_Toc283382454"/>
      <w:bookmarkStart w:id="92" w:name="_Toc12789073"/>
      <w:r>
        <w:rPr>
          <w:rFonts w:hint="eastAsia" w:asciiTheme="minorEastAsia" w:hAnsiTheme="minorEastAsia" w:eastAsiaTheme="minorEastAsia"/>
          <w:b w:val="0"/>
          <w:color w:val="auto"/>
          <w:sz w:val="28"/>
          <w:szCs w:val="28"/>
          <w:highlight w:val="none"/>
        </w:rPr>
        <w:t>一、经济部分</w:t>
      </w:r>
      <w:bookmarkEnd w:id="87"/>
      <w:bookmarkEnd w:id="88"/>
      <w:bookmarkEnd w:id="89"/>
      <w:bookmarkEnd w:id="90"/>
    </w:p>
    <w:bookmarkEnd w:id="91"/>
    <w:bookmarkEnd w:id="92"/>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（一）竞争性磋商报价函</w:t>
      </w:r>
    </w:p>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竞争性磋商报价函</w:t>
      </w:r>
    </w:p>
    <w:p>
      <w:pPr>
        <w:tabs>
          <w:tab w:val="left" w:pos="6300"/>
        </w:tabs>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（采购代理机构名称）</w:t>
      </w:r>
      <w:r>
        <w:rPr>
          <w:rFonts w:hint="eastAsia" w:asciiTheme="minorEastAsia" w:hAnsiTheme="minorEastAsia" w:eastAsiaTheme="minorEastAsia"/>
          <w:color w:val="auto"/>
          <w:szCs w:val="28"/>
          <w:highlight w:val="none"/>
        </w:rPr>
        <w:t>：</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我方收到____________________________（磋商项目名称）的竞争性磋商文件，经详细研究，决定参加该项目的磋商。</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1.愿意按照竞争性磋商文件中的一切要求，提供本项目的服务，初始报价为人民币大写：</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元整；人民币小写：</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元。以我公司最后报价为准。</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2.我方现提交的响应文件为：响应文件正本</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份，副本</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份，电子文档</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份。</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3.我方承诺：本次磋商的有效期为90天。</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4.我方完全理解和接受贵方竞争性磋商文件的一切规定和要求及评审办法。</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5.在整个竞争性磋商过程中，我方若有违规行为，接受按照《中华人民共和国政府采购法》和《竞争性磋商文件》之规定给予惩罚。</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7.如果我方成为成交供应商，保证在接到成交通知书后，向采购代理机构和重庆联合产权交易所集团股份有限公司竞争性磋商文件规定的采购代理服务费和交易服务费。</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8.我方未为采购项目提供整体设计、规范编制或者项目管理、监理、检测等服务。</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地址：  </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电话：                                     传真：</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网址：                                     邮编：</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联系人：</w:t>
      </w:r>
    </w:p>
    <w:p>
      <w:pPr>
        <w:snapToGrid w:val="0"/>
        <w:spacing w:line="560" w:lineRule="exact"/>
        <w:ind w:firstLine="560" w:firstLineChars="200"/>
        <w:rPr>
          <w:rFonts w:asciiTheme="minorEastAsia" w:hAnsiTheme="minorEastAsia" w:eastAsiaTheme="minorEastAsia"/>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hint="eastAsia" w:asciiTheme="minorEastAsia" w:hAnsiTheme="minorEastAsia" w:eastAsiaTheme="minorEastAsia"/>
          <w:color w:val="auto"/>
          <w:szCs w:val="28"/>
          <w:highlight w:val="none"/>
        </w:rPr>
        <w:t xml:space="preserve">                                                  年   月   日</w:t>
      </w:r>
    </w:p>
    <w:p>
      <w:pPr>
        <w:tabs>
          <w:tab w:val="left" w:pos="2895"/>
        </w:tabs>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（二）明细报价表</w:t>
      </w:r>
    </w:p>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明细报价表</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项目号：                                磋商项目编号：</w:t>
      </w:r>
    </w:p>
    <w:p>
      <w:pPr>
        <w:spacing w:line="560" w:lineRule="exact"/>
        <w:rPr>
          <w:rFonts w:asciiTheme="minorEastAsia" w:hAnsiTheme="minorEastAsia" w:eastAsiaTheme="minorEastAsia"/>
          <w:color w:val="auto"/>
          <w:szCs w:val="28"/>
          <w:highlight w:val="none"/>
          <w:u w:val="single"/>
        </w:rPr>
      </w:pPr>
      <w:r>
        <w:rPr>
          <w:rFonts w:hint="eastAsia" w:asciiTheme="minorEastAsia" w:hAnsiTheme="minorEastAsia" w:eastAsiaTheme="minorEastAsia"/>
          <w:color w:val="auto"/>
          <w:szCs w:val="28"/>
          <w:highlight w:val="none"/>
        </w:rPr>
        <w:t xml:space="preserve">磋商项目名称： </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序号</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名称</w:t>
            </w:r>
          </w:p>
        </w:tc>
        <w:tc>
          <w:tcPr>
            <w:tcW w:w="312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相关信息</w:t>
            </w: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数量</w:t>
            </w: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单价</w:t>
            </w: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4</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5</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6</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7</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8</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人工费</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9</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运输费</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10</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其他费用</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11</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12</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总计</w:t>
            </w:r>
          </w:p>
        </w:tc>
        <w:tc>
          <w:tcPr>
            <w:tcW w:w="6832" w:type="dxa"/>
            <w:gridSpan w:val="4"/>
          </w:tcPr>
          <w:p>
            <w:pPr>
              <w:spacing w:line="560" w:lineRule="exact"/>
              <w:rPr>
                <w:rFonts w:asciiTheme="minorEastAsia" w:hAnsiTheme="minorEastAsia" w:eastAsiaTheme="minorEastAsia"/>
                <w:color w:val="auto"/>
                <w:szCs w:val="28"/>
                <w:highlight w:val="none"/>
              </w:rPr>
            </w:pPr>
          </w:p>
        </w:tc>
      </w:tr>
    </w:tbl>
    <w:p>
      <w:pPr>
        <w:snapToGrid w:val="0"/>
        <w:spacing w:line="560" w:lineRule="exact"/>
        <w:ind w:firstLine="560" w:firstLineChars="200"/>
        <w:rPr>
          <w:rFonts w:asciiTheme="minorEastAsia" w:hAnsiTheme="minorEastAsia" w:eastAsiaTheme="minorEastAsia"/>
          <w:color w:val="auto"/>
          <w:szCs w:val="28"/>
          <w:highlight w:val="none"/>
        </w:rPr>
      </w:pP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注：1.供应商应完整填写本表。</w:t>
      </w:r>
    </w:p>
    <w:p>
      <w:pPr>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2.该表可扩展</w:t>
      </w:r>
      <w:bookmarkStart w:id="93" w:name="OLE_LINK1"/>
      <w:bookmarkStart w:id="94" w:name="OLE_LINK2"/>
      <w:r>
        <w:rPr>
          <w:rFonts w:hint="eastAsia" w:asciiTheme="minorEastAsia" w:hAnsiTheme="minorEastAsia" w:eastAsiaTheme="minorEastAsia"/>
          <w:color w:val="auto"/>
          <w:szCs w:val="28"/>
          <w:highlight w:val="none"/>
        </w:rPr>
        <w:t>，并逐页签字或盖章。</w:t>
      </w:r>
      <w:bookmarkEnd w:id="93"/>
      <w:bookmarkEnd w:id="94"/>
    </w:p>
    <w:p>
      <w:pPr>
        <w:pStyle w:val="37"/>
        <w:spacing w:line="560" w:lineRule="exact"/>
        <w:rPr>
          <w:rFonts w:asciiTheme="minorEastAsia" w:hAnsiTheme="minorEastAsia" w:eastAsiaTheme="minorEastAsia"/>
          <w:color w:val="auto"/>
          <w:sz w:val="28"/>
          <w:szCs w:val="28"/>
          <w:highlight w:val="none"/>
        </w:rPr>
      </w:pPr>
    </w:p>
    <w:p>
      <w:pPr>
        <w:pStyle w:val="37"/>
        <w:spacing w:line="560" w:lineRule="exac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 xml:space="preserve">                        </w:t>
      </w:r>
      <w:r>
        <w:rPr>
          <w:rFonts w:hint="eastAsia" w:asciiTheme="minorEastAsia" w:hAnsiTheme="minorEastAsia" w:eastAsiaTheme="minorEastAsia"/>
          <w:color w:val="auto"/>
          <w:szCs w:val="28"/>
          <w:highlight w:val="none"/>
        </w:rPr>
        <w:t>供应商名称（公章）：</w:t>
      </w:r>
    </w:p>
    <w:p>
      <w:pPr>
        <w:spacing w:line="560" w:lineRule="exact"/>
        <w:ind w:firstLine="6440" w:firstLineChars="23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snapToGrid w:val="0"/>
        <w:spacing w:line="560" w:lineRule="exact"/>
        <w:ind w:firstLine="560" w:firstLineChars="200"/>
        <w:rPr>
          <w:rFonts w:asciiTheme="minorEastAsia" w:hAnsiTheme="minorEastAsia" w:eastAsiaTheme="minorEastAsia"/>
          <w:color w:val="auto"/>
          <w:szCs w:val="28"/>
          <w:highlight w:val="none"/>
          <w:bdr w:val="single" w:color="auto" w:sz="4" w:space="0"/>
        </w:rPr>
        <w:sectPr>
          <w:headerReference r:id="rId17"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rPr>
          <w:rFonts w:asciiTheme="minorEastAsia" w:hAnsiTheme="minorEastAsia" w:eastAsiaTheme="minorEastAsia"/>
          <w:b w:val="0"/>
          <w:color w:val="auto"/>
          <w:sz w:val="28"/>
          <w:szCs w:val="28"/>
          <w:highlight w:val="none"/>
        </w:rPr>
      </w:pPr>
      <w:bookmarkStart w:id="95" w:name="_Toc342913420"/>
      <w:bookmarkStart w:id="96" w:name="_Toc313008357"/>
      <w:bookmarkStart w:id="97" w:name="_Toc105060915"/>
      <w:bookmarkStart w:id="98" w:name="_Toc313888361"/>
      <w:r>
        <w:rPr>
          <w:rFonts w:hint="eastAsia" w:asciiTheme="minorEastAsia" w:hAnsiTheme="minorEastAsia" w:eastAsiaTheme="minorEastAsia"/>
          <w:b w:val="0"/>
          <w:color w:val="auto"/>
          <w:sz w:val="28"/>
          <w:szCs w:val="28"/>
          <w:highlight w:val="none"/>
        </w:rPr>
        <w:t>二、服务部分</w:t>
      </w:r>
      <w:bookmarkEnd w:id="95"/>
      <w:bookmarkEnd w:id="96"/>
      <w:bookmarkEnd w:id="97"/>
      <w:bookmarkEnd w:id="98"/>
    </w:p>
    <w:p>
      <w:pPr>
        <w:snapToGrid w:val="0"/>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（一）服务方案（格式自定）</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（二）服务响应偏离表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项目号：                                磋商项目编号：</w:t>
      </w:r>
    </w:p>
    <w:p>
      <w:pPr>
        <w:pStyle w:val="32"/>
        <w:tabs>
          <w:tab w:val="left" w:pos="6300"/>
        </w:tabs>
        <w:snapToGrid w:val="0"/>
        <w:spacing w:line="560" w:lineRule="exact"/>
        <w:ind w:firstLine="560" w:firstLineChars="200"/>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序号</w:t>
            </w: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采购需求</w:t>
            </w: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响应情况</w:t>
            </w: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bl>
    <w:p>
      <w:pPr>
        <w:spacing w:line="560" w:lineRule="exact"/>
        <w:ind w:firstLine="700" w:firstLineChars="2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                         法定代表人授权代表：</w:t>
      </w:r>
    </w:p>
    <w:p>
      <w:pPr>
        <w:spacing w:line="560" w:lineRule="exact"/>
        <w:ind w:firstLine="840" w:firstLineChars="3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                   （签字或盖章）</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年     月     日</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1.本表即为对本项目“第二篇  项目服务需求”中所列服务要求进行比较和响应；</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2.该表必须按照竞争性磋商要求逐条如实填写，根据响应情况在“差异说明”项填写正偏离或负偏离及原因，完全符合的填写“无差异”；</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3.该表可扩展，并逐页签字或盖章；</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4.可附相关支撑材料。（格式自定）</w:t>
      </w:r>
    </w:p>
    <w:p>
      <w:pPr>
        <w:pStyle w:val="4"/>
        <w:spacing w:before="0" w:after="0" w:line="560" w:lineRule="exact"/>
        <w:rPr>
          <w:rFonts w:asciiTheme="minorEastAsia" w:hAnsiTheme="minorEastAsia" w:eastAsiaTheme="minorEastAsia"/>
          <w:b w:val="0"/>
          <w:color w:val="auto"/>
          <w:sz w:val="28"/>
          <w:szCs w:val="28"/>
          <w:highlight w:val="none"/>
        </w:rPr>
      </w:pPr>
      <w:r>
        <w:rPr>
          <w:rFonts w:hint="eastAsia" w:asciiTheme="minorEastAsia" w:hAnsiTheme="minorEastAsia" w:eastAsiaTheme="minorEastAsia"/>
          <w:b w:val="0"/>
          <w:color w:val="auto"/>
          <w:sz w:val="28"/>
          <w:szCs w:val="28"/>
          <w:highlight w:val="none"/>
        </w:rPr>
        <w:br w:type="page"/>
      </w:r>
      <w:bookmarkStart w:id="99" w:name="_Toc105060916"/>
      <w:bookmarkStart w:id="100" w:name="_Toc342913421"/>
      <w:bookmarkStart w:id="101" w:name="_Toc313888362"/>
      <w:bookmarkStart w:id="102" w:name="_Toc313008358"/>
      <w:r>
        <w:rPr>
          <w:rFonts w:hint="eastAsia" w:asciiTheme="minorEastAsia" w:hAnsiTheme="minorEastAsia" w:eastAsiaTheme="minorEastAsia"/>
          <w:b w:val="0"/>
          <w:color w:val="auto"/>
          <w:sz w:val="28"/>
          <w:szCs w:val="28"/>
          <w:highlight w:val="none"/>
        </w:rPr>
        <w:t>三、商务部分</w:t>
      </w:r>
      <w:bookmarkEnd w:id="99"/>
      <w:bookmarkEnd w:id="100"/>
      <w:bookmarkEnd w:id="101"/>
      <w:bookmarkEnd w:id="102"/>
    </w:p>
    <w:p>
      <w:pPr>
        <w:snapToGrid w:val="0"/>
        <w:spacing w:line="560" w:lineRule="exact"/>
        <w:ind w:firstLine="560" w:firstLineChars="200"/>
        <w:rPr>
          <w:rFonts w:asciiTheme="minorEastAsia" w:hAnsiTheme="minorEastAsia" w:eastAsiaTheme="minorEastAsia"/>
          <w:color w:val="auto"/>
          <w:szCs w:val="28"/>
          <w:highlight w:val="none"/>
        </w:rPr>
        <w:sectPr>
          <w:pgSz w:w="11907" w:h="16840"/>
          <w:pgMar w:top="1134" w:right="1191" w:bottom="1134" w:left="1304" w:header="851" w:footer="992" w:gutter="0"/>
          <w:pgNumType w:fmt="numberInDash"/>
          <w:cols w:space="720" w:num="1"/>
          <w:docGrid w:linePitch="380" w:charSpace="-5735"/>
        </w:sectPr>
      </w:pPr>
      <w:r>
        <w:rPr>
          <w:rFonts w:hint="eastAsia" w:asciiTheme="minorEastAsia" w:hAnsiTheme="minorEastAsia" w:eastAsiaTheme="minorEastAsia"/>
          <w:color w:val="auto"/>
          <w:szCs w:val="28"/>
          <w:highlight w:val="none"/>
        </w:rPr>
        <w:t>（一）商务要求响应情况：服务期及地点、报价要求、质量保证及售后服务等（格式自定）</w:t>
      </w:r>
    </w:p>
    <w:p>
      <w:pPr>
        <w:spacing w:line="560" w:lineRule="exact"/>
        <w:ind w:firstLine="560" w:firstLineChars="200"/>
        <w:rPr>
          <w:rFonts w:asciiTheme="minorEastAsia" w:hAnsiTheme="minorEastAsia" w:eastAsiaTheme="minorEastAsia"/>
          <w:color w:val="auto"/>
          <w:szCs w:val="28"/>
          <w:highlight w:val="none"/>
        </w:rPr>
      </w:pPr>
      <w:bookmarkStart w:id="103" w:name="_Toc283382459"/>
      <w:r>
        <w:rPr>
          <w:rFonts w:hint="eastAsia" w:asciiTheme="minorEastAsia" w:hAnsiTheme="minorEastAsia" w:eastAsiaTheme="minorEastAsia"/>
          <w:color w:val="auto"/>
          <w:szCs w:val="28"/>
          <w:highlight w:val="none"/>
        </w:rPr>
        <w:t>（二）商务响应偏离表</w:t>
      </w:r>
    </w:p>
    <w:p>
      <w:pPr>
        <w:snapToGrid w:val="0"/>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商务响应偏离表</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项目号：                                磋商项目编号：</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磋商项目名称： </w:t>
      </w: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序号</w:t>
            </w: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磋商项目商务需求</w:t>
            </w: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响应情况</w:t>
            </w: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bl>
    <w:p>
      <w:pPr>
        <w:snapToGrid w:val="0"/>
        <w:spacing w:line="560" w:lineRule="exact"/>
        <w:ind w:firstLine="465"/>
        <w:rPr>
          <w:rFonts w:asciiTheme="minorEastAsia" w:hAnsiTheme="minorEastAsia" w:eastAsiaTheme="minorEastAsia"/>
          <w:color w:val="auto"/>
          <w:szCs w:val="28"/>
          <w:highlight w:val="none"/>
        </w:rPr>
      </w:pPr>
    </w:p>
    <w:p>
      <w:pPr>
        <w:spacing w:line="560" w:lineRule="exact"/>
        <w:ind w:firstLine="700" w:firstLineChars="2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                           法定代表人授权代表：</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                      （签字或盖章）</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年     月     日</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1.本表即为对本项目“第三篇 项目商务需求”中所列服务要求进行比较和响应；</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2.该表必须按照竞争性磋商要求逐条如实填写，根据响应情况在“差异说明”项填写正偏离或负偏离及原因，完全符合的填写“无差异”；</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3.该表可扩展，并逐页签字或盖章。</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（三）其它优惠承诺（格式自定）</w:t>
      </w:r>
    </w:p>
    <w:p>
      <w:pPr>
        <w:pStyle w:val="4"/>
        <w:spacing w:before="0" w:after="0" w:line="560" w:lineRule="exact"/>
        <w:rPr>
          <w:rFonts w:asciiTheme="minorEastAsia" w:hAnsiTheme="minorEastAsia" w:eastAsiaTheme="minorEastAsia"/>
          <w:b w:val="0"/>
          <w:color w:val="auto"/>
          <w:sz w:val="28"/>
          <w:szCs w:val="28"/>
          <w:highlight w:val="none"/>
        </w:rPr>
      </w:pPr>
      <w:r>
        <w:rPr>
          <w:rFonts w:hint="eastAsia" w:asciiTheme="minorEastAsia" w:hAnsiTheme="minorEastAsia" w:eastAsiaTheme="minorEastAsia"/>
          <w:b w:val="0"/>
          <w:color w:val="auto"/>
          <w:sz w:val="28"/>
          <w:szCs w:val="28"/>
          <w:highlight w:val="none"/>
        </w:rPr>
        <w:br w:type="page"/>
      </w:r>
      <w:bookmarkEnd w:id="103"/>
      <w:bookmarkStart w:id="104" w:name="_Toc313008359"/>
      <w:bookmarkStart w:id="105" w:name="_Toc105060917"/>
      <w:bookmarkStart w:id="106" w:name="_Toc342913422"/>
      <w:bookmarkStart w:id="107" w:name="_Toc313888363"/>
      <w:r>
        <w:rPr>
          <w:rFonts w:hint="eastAsia" w:asciiTheme="minorEastAsia" w:hAnsiTheme="minorEastAsia" w:eastAsiaTheme="minorEastAsia"/>
          <w:b w:val="0"/>
          <w:color w:val="auto"/>
          <w:sz w:val="28"/>
          <w:szCs w:val="28"/>
          <w:highlight w:val="none"/>
        </w:rPr>
        <w:t>四、资格条件及其他</w:t>
      </w:r>
      <w:bookmarkEnd w:id="104"/>
      <w:bookmarkEnd w:id="105"/>
      <w:bookmarkEnd w:id="106"/>
      <w:bookmarkEnd w:id="107"/>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（一）营业执照（副本）或事业单位法人证书（副本）复印件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（二）组织机构代码证复印件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widowControl/>
        <w:spacing w:line="560" w:lineRule="exact"/>
        <w:ind w:firstLine="560" w:firstLineChars="200"/>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（三）法定代表人身份证明书（格式）</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（法定代表人姓名）在</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（供应商名称）任</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（职务名称）职务，是（供应商名称）</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的法定代表人。</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特此证明。</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（供应商公章）</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年   月   日</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（附：法定代表人身份证正反面复印件）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column"/>
      </w:r>
      <w:r>
        <w:rPr>
          <w:rFonts w:hint="eastAsia" w:asciiTheme="minorEastAsia" w:hAnsiTheme="minorEastAsia" w:eastAsiaTheme="minorEastAsia"/>
          <w:color w:val="auto"/>
          <w:szCs w:val="28"/>
          <w:highlight w:val="none"/>
        </w:rPr>
        <w:t>（四）法定代表人授权委托书（格式）</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（供应商法定代表人名称）是</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（供应商名称）的法定代表人，特授权</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（被授权人姓名及身份证代码）代表我单位全权办理上述项目的磋商、签约等具体工作，并签署全部有关文件、协议及合同。</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我单位对被授权人的签字负全部责任。</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被授权人：                                 供应商法定代表人：</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（签字或盖章）                                （签字或盖章）</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（附：被授权人身份证正反面复印件）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6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column"/>
      </w:r>
      <w:r>
        <w:rPr>
          <w:rFonts w:hint="eastAsia" w:asciiTheme="minorEastAsia" w:hAnsiTheme="minorEastAsia" w:eastAsiaTheme="minorEastAsia"/>
          <w:color w:val="auto"/>
          <w:szCs w:val="28"/>
          <w:highlight w:val="none"/>
        </w:rPr>
        <w:t>（五）2021或2022年度财务状况报告（表）复印件，本年度新成立的公司提供提交响应文件截止时间前一个月的财务状况报告（表）复印件</w:t>
      </w:r>
    </w:p>
    <w:p>
      <w:pPr>
        <w:tabs>
          <w:tab w:val="left" w:pos="6300"/>
        </w:tabs>
        <w:snapToGrid w:val="0"/>
        <w:spacing w:line="520" w:lineRule="exact"/>
        <w:ind w:firstLine="3220" w:firstLineChars="1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（六）书面声明</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特此声明。</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供应商可以将信用中国网站及中国政府采购网查询结果附后（查询时间为本项目采购公告发布之日起至提交响应文件截止时间前）。</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 信用中国网站（www.creditchina.gov.cn）查询结果（提供查询结果网页打印件或截图，并加盖供应商公章）</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1.1“失信被执行人”查询结果；</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1.2“重大税收违法案件当事人名单”查询结果；</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 中国政府采购网（www.ccgp.gov.cn）（提供查询结果网页打印件或截图，并加盖供应商公章）</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“政府采购严重违法失信行为记录名单”查询结果。</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2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（七）税务登记证（副本）复印件和社会保险缴纳证明材料</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（八）特定资格条件证书或证明文件</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说明：供应商按“多证合一”登记制度办理营业执照的，组织机构代码证和税务登记证以供应商所提供的营业执照（副本）复印件为准。</w:t>
      </w:r>
    </w:p>
    <w:p>
      <w:pPr>
        <w:pStyle w:val="4"/>
        <w:spacing w:before="0" w:after="0" w:line="560" w:lineRule="exact"/>
        <w:rPr>
          <w:rFonts w:asciiTheme="minorEastAsia" w:hAnsiTheme="minorEastAsia" w:eastAsiaTheme="minorEastAsia"/>
          <w:b w:val="0"/>
          <w:color w:val="auto"/>
          <w:sz w:val="28"/>
          <w:szCs w:val="28"/>
          <w:highlight w:val="none"/>
        </w:rPr>
      </w:pPr>
      <w:bookmarkStart w:id="108" w:name="_Toc14422"/>
      <w:r>
        <w:rPr>
          <w:rFonts w:hint="eastAsia" w:asciiTheme="minorEastAsia" w:hAnsiTheme="minorEastAsia" w:eastAsiaTheme="minorEastAsia"/>
          <w:b w:val="0"/>
          <w:color w:val="auto"/>
          <w:sz w:val="28"/>
          <w:szCs w:val="28"/>
          <w:highlight w:val="none"/>
        </w:rPr>
        <w:br w:type="page"/>
      </w:r>
      <w:bookmarkStart w:id="109" w:name="_Toc105060918"/>
      <w:r>
        <w:rPr>
          <w:rFonts w:hint="eastAsia" w:asciiTheme="minorEastAsia" w:hAnsiTheme="minorEastAsia" w:eastAsiaTheme="minorEastAsia"/>
          <w:b w:val="0"/>
          <w:color w:val="auto"/>
          <w:sz w:val="28"/>
          <w:szCs w:val="28"/>
          <w:highlight w:val="none"/>
        </w:rPr>
        <w:t>五、其他应提供的资料</w:t>
      </w:r>
      <w:bookmarkEnd w:id="108"/>
      <w:bookmarkEnd w:id="109"/>
    </w:p>
    <w:p>
      <w:pPr>
        <w:tabs>
          <w:tab w:val="left" w:pos="6300"/>
        </w:tabs>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（一）供应商小微企业证明文件（非小微企业不提供）</w:t>
      </w:r>
    </w:p>
    <w:p>
      <w:pPr>
        <w:tabs>
          <w:tab w:val="left" w:pos="6300"/>
        </w:tabs>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1.提供企业所在地的县级以上中小企业主管部门本年度出具的证明文件</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2.书面承诺书</w:t>
      </w:r>
    </w:p>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书面承诺书</w:t>
      </w:r>
    </w:p>
    <w:p>
      <w:pPr>
        <w:rPr>
          <w:color w:val="auto"/>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（供应商名称）郑重声明，我公司符合工信部联企业〔2011〕300号中微型企业的认定标准，属于微型企业，并且对于本次项目我公司仅提供本企业或其他微型企业（企业名称：</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）制造的货物、承担的工程或者服务。我方对以上声明负全部法律责任。</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特此承诺。</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right="560" w:firstLine="6025" w:firstLineChars="2152"/>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60" w:lineRule="exact"/>
        <w:ind w:firstLine="6580" w:firstLineChars="23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tabs>
          <w:tab w:val="left" w:pos="6300"/>
        </w:tabs>
        <w:snapToGrid w:val="0"/>
        <w:spacing w:line="560" w:lineRule="exact"/>
        <w:rPr>
          <w:rFonts w:asciiTheme="minorEastAsia" w:hAnsiTheme="minorEastAsia" w:eastAsiaTheme="minorEastAsia"/>
          <w:color w:val="auto"/>
          <w:szCs w:val="28"/>
          <w:highlight w:val="none"/>
        </w:rPr>
      </w:pPr>
    </w:p>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残疾人福利性单位声明函</w:t>
      </w:r>
    </w:p>
    <w:p>
      <w:pPr>
        <w:rPr>
          <w:color w:val="auto"/>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供应商名称（盖章）：</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日  期：</w:t>
      </w: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（二）联合体共同联合协议（如果有）</w:t>
      </w:r>
    </w:p>
    <w:p>
      <w:pPr>
        <w:spacing w:line="560" w:lineRule="exact"/>
        <w:ind w:firstLine="560" w:firstLineChars="200"/>
        <w:rPr>
          <w:rFonts w:asciiTheme="minorEastAsia" w:hAnsiTheme="minorEastAsia" w:eastAsiaTheme="minorEastAsia"/>
          <w:color w:val="auto"/>
          <w:szCs w:val="28"/>
          <w:highlight w:val="none"/>
        </w:rPr>
      </w:pP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（三）其他资料</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其他与项目有关的资料（自附）：供应商总体情况介绍、其他与本项目有关的资料等。</w:t>
      </w:r>
    </w:p>
    <w:p>
      <w:pPr>
        <w:spacing w:line="560" w:lineRule="exact"/>
        <w:ind w:firstLine="560" w:firstLineChars="200"/>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8"/>
          <w:highlight w:val="none"/>
        </w:rPr>
        <w:t>（结束）</w:t>
      </w:r>
      <w:bookmarkEnd w:id="57"/>
      <w:bookmarkEnd w:id="58"/>
    </w:p>
    <w:sectPr>
      <w:headerReference r:id="rId18" w:type="default"/>
      <w:pgSz w:w="11907" w:h="16840"/>
      <w:pgMar w:top="1134" w:right="1191" w:bottom="1134" w:left="1304" w:header="964"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685CFD-B514-4BAA-8EB0-4969342817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FangSong_GB2312">
    <w:altName w:val="仿宋"/>
    <w:panose1 w:val="020B0604020202020204"/>
    <w:charset w:val="86"/>
    <w:family w:val="modern"/>
    <w:pitch w:val="default"/>
    <w:sig w:usb0="00000000" w:usb1="00000000" w:usb2="00000000" w:usb3="00000000" w:csb0="00040000" w:csb1="00000000"/>
    <w:embedRegular r:id="rId2" w:fontKey="{539E83F2-62C8-4F6B-8A93-22F0A85AEED7}"/>
  </w:font>
  <w:font w:name="_x000B__x000C_">
    <w:altName w:val="Times New Roman"/>
    <w:panose1 w:val="020B0604020202020204"/>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文鼎粗黑">
    <w:altName w:val="宋体"/>
    <w:panose1 w:val="020B0604020202020204"/>
    <w:charset w:val="86"/>
    <w:family w:val="modern"/>
    <w:pitch w:val="default"/>
    <w:sig w:usb0="00000000" w:usb1="00000000" w:usb2="00000010" w:usb3="00000000" w:csb0="00040000" w:csb1="00000000"/>
  </w:font>
  <w:font w:name="昆仑楷体">
    <w:altName w:val="宋体"/>
    <w:panose1 w:val="020B0604020202020204"/>
    <w:charset w:val="86"/>
    <w:family w:val="modern"/>
    <w:pitch w:val="default"/>
    <w:sig w:usb0="00000000" w:usb1="00000000" w:usb2="00000010" w:usb3="00000000" w:csb0="00040000" w:csb1="00000000"/>
  </w:font>
  <w:font w:name="KaiTi_GB2312">
    <w:altName w:val="楷体"/>
    <w:panose1 w:val="020B0604020202020204"/>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embedRegular r:id="rId3" w:fontKey="{13C6CACC-8836-4CC6-B2D9-265F5A135094}"/>
  </w:font>
  <w:font w:name="仿宋">
    <w:panose1 w:val="02010609060101010101"/>
    <w:charset w:val="86"/>
    <w:family w:val="modern"/>
    <w:pitch w:val="default"/>
    <w:sig w:usb0="800002BF" w:usb1="38CF7CFA" w:usb2="00000016" w:usb3="00000000" w:csb0="00040001" w:csb1="00000000"/>
    <w:embedRegular r:id="rId4" w:fontKey="{B0A16952-7F61-404B-A670-A0E0A4A7AC5E}"/>
  </w:font>
  <w:font w:name="Wingdings 2">
    <w:panose1 w:val="05020102010507070707"/>
    <w:charset w:val="4D"/>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1"/>
        <w:rFonts w:ascii="宋体"/>
      </w:rPr>
    </w:pPr>
    <w:r>
      <w:rPr>
        <w:rFonts w:ascii="宋体"/>
        <w:sz w:val="28"/>
      </w:rPr>
      <w:fldChar w:fldCharType="begin"/>
    </w:r>
    <w:r>
      <w:rPr>
        <w:rStyle w:val="61"/>
        <w:rFonts w:ascii="宋体"/>
      </w:rPr>
      <w:instrText xml:space="preserve">PAGE  </w:instrText>
    </w:r>
    <w:r>
      <w:rPr>
        <w:rFonts w:ascii="宋体"/>
        <w:sz w:val="28"/>
      </w:rPr>
      <w:fldChar w:fldCharType="separate"/>
    </w:r>
    <w:r>
      <w:rPr>
        <w:rStyle w:val="61"/>
        <w:rFonts w:ascii="宋体"/>
      </w:rPr>
      <w:t>- 1 -</w:t>
    </w:r>
    <w:r>
      <w:rPr>
        <w:rFonts w:ascii="宋体"/>
        <w:sz w:val="28"/>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- 1 -</w:t>
    </w:r>
    <w:r>
      <w:rPr>
        <w:rFonts w:ascii="宋体"/>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p>
  <w:p>
    <w:pPr>
      <w:pStyle w:val="35"/>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- 61 -</w:t>
    </w:r>
    <w:r>
      <w:rPr>
        <w:rFonts w:ascii="宋体" w:hAnsi="宋体"/>
        <w:sz w:val="21"/>
        <w:szCs w:val="21"/>
      </w:rPr>
      <w:fldChar w:fldCharType="end"/>
    </w:r>
  </w:p>
  <w:p>
    <w:pPr>
      <w:rPr>
        <w:rFonts w:ascii="宋体" w:hAnsi="宋体"/>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2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6"/>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13"/>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19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135"/>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8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231"/>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3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AAD2F11"/>
    <w:multiLevelType w:val="multilevel"/>
    <w:tmpl w:val="0AAD2F11"/>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11"/>
  </w:num>
  <w:num w:numId="8">
    <w:abstractNumId w:val="6"/>
  </w:num>
  <w:num w:numId="9">
    <w:abstractNumId w:val="5"/>
  </w:num>
  <w:num w:numId="10">
    <w:abstractNumId w:val="7"/>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wOTAyMzZkZjE2MTdhZjFhODQ1YTRmNTUxNTFhMTcifQ=="/>
  </w:docVars>
  <w:rsids>
    <w:rsidRoot w:val="00172A27"/>
    <w:rsid w:val="00003626"/>
    <w:rsid w:val="00004029"/>
    <w:rsid w:val="000040DE"/>
    <w:rsid w:val="00004656"/>
    <w:rsid w:val="000075E8"/>
    <w:rsid w:val="00007AAC"/>
    <w:rsid w:val="00011B4B"/>
    <w:rsid w:val="0001566F"/>
    <w:rsid w:val="00016B79"/>
    <w:rsid w:val="00017816"/>
    <w:rsid w:val="00020C14"/>
    <w:rsid w:val="0002257F"/>
    <w:rsid w:val="00025BDE"/>
    <w:rsid w:val="0003065E"/>
    <w:rsid w:val="00032ACA"/>
    <w:rsid w:val="0003549B"/>
    <w:rsid w:val="0003632F"/>
    <w:rsid w:val="00037381"/>
    <w:rsid w:val="000426B2"/>
    <w:rsid w:val="0004739C"/>
    <w:rsid w:val="0005298B"/>
    <w:rsid w:val="0005417C"/>
    <w:rsid w:val="000576E1"/>
    <w:rsid w:val="00063981"/>
    <w:rsid w:val="00064AB4"/>
    <w:rsid w:val="00074CBE"/>
    <w:rsid w:val="000865AE"/>
    <w:rsid w:val="00090C5A"/>
    <w:rsid w:val="00091346"/>
    <w:rsid w:val="00091B1C"/>
    <w:rsid w:val="00091D22"/>
    <w:rsid w:val="00093D40"/>
    <w:rsid w:val="000978B6"/>
    <w:rsid w:val="000A164E"/>
    <w:rsid w:val="000A3057"/>
    <w:rsid w:val="000A49EC"/>
    <w:rsid w:val="000B1068"/>
    <w:rsid w:val="000B42F4"/>
    <w:rsid w:val="000B7377"/>
    <w:rsid w:val="000B7419"/>
    <w:rsid w:val="000B7F54"/>
    <w:rsid w:val="000C08C1"/>
    <w:rsid w:val="000C32EE"/>
    <w:rsid w:val="000C6D89"/>
    <w:rsid w:val="000D17ED"/>
    <w:rsid w:val="000D1A14"/>
    <w:rsid w:val="000D776F"/>
    <w:rsid w:val="000E01C9"/>
    <w:rsid w:val="000E06D9"/>
    <w:rsid w:val="000E0DD7"/>
    <w:rsid w:val="000E3259"/>
    <w:rsid w:val="000F4624"/>
    <w:rsid w:val="000F6677"/>
    <w:rsid w:val="000F7DBF"/>
    <w:rsid w:val="000F7F70"/>
    <w:rsid w:val="0010014A"/>
    <w:rsid w:val="00100639"/>
    <w:rsid w:val="0010088E"/>
    <w:rsid w:val="001028FD"/>
    <w:rsid w:val="00105638"/>
    <w:rsid w:val="00114CFE"/>
    <w:rsid w:val="00115337"/>
    <w:rsid w:val="00115B5E"/>
    <w:rsid w:val="0011683E"/>
    <w:rsid w:val="00116856"/>
    <w:rsid w:val="00116C42"/>
    <w:rsid w:val="0011780F"/>
    <w:rsid w:val="00120259"/>
    <w:rsid w:val="00122F9D"/>
    <w:rsid w:val="001265BC"/>
    <w:rsid w:val="001266BF"/>
    <w:rsid w:val="00126BE8"/>
    <w:rsid w:val="00133D16"/>
    <w:rsid w:val="00134037"/>
    <w:rsid w:val="001342AC"/>
    <w:rsid w:val="00147FB4"/>
    <w:rsid w:val="0015011C"/>
    <w:rsid w:val="0015033B"/>
    <w:rsid w:val="00150429"/>
    <w:rsid w:val="00152B00"/>
    <w:rsid w:val="00157014"/>
    <w:rsid w:val="00171E05"/>
    <w:rsid w:val="00172A27"/>
    <w:rsid w:val="001761B8"/>
    <w:rsid w:val="00180ACB"/>
    <w:rsid w:val="00183B60"/>
    <w:rsid w:val="00186623"/>
    <w:rsid w:val="001879FD"/>
    <w:rsid w:val="0019452E"/>
    <w:rsid w:val="0019571D"/>
    <w:rsid w:val="001A24CC"/>
    <w:rsid w:val="001A2F98"/>
    <w:rsid w:val="001A69FC"/>
    <w:rsid w:val="001A6DCC"/>
    <w:rsid w:val="001B0396"/>
    <w:rsid w:val="001B3DBD"/>
    <w:rsid w:val="001B4377"/>
    <w:rsid w:val="001C255E"/>
    <w:rsid w:val="001C358A"/>
    <w:rsid w:val="001D042A"/>
    <w:rsid w:val="001D0DF7"/>
    <w:rsid w:val="001D2321"/>
    <w:rsid w:val="001D2DCD"/>
    <w:rsid w:val="001D5055"/>
    <w:rsid w:val="001D630C"/>
    <w:rsid w:val="001D6BED"/>
    <w:rsid w:val="001E201B"/>
    <w:rsid w:val="001E5CAC"/>
    <w:rsid w:val="001E64A9"/>
    <w:rsid w:val="001E6841"/>
    <w:rsid w:val="001E725F"/>
    <w:rsid w:val="001F1AF7"/>
    <w:rsid w:val="001F48AA"/>
    <w:rsid w:val="001F4964"/>
    <w:rsid w:val="001F7063"/>
    <w:rsid w:val="0020023B"/>
    <w:rsid w:val="00202B04"/>
    <w:rsid w:val="00203052"/>
    <w:rsid w:val="00204936"/>
    <w:rsid w:val="00206792"/>
    <w:rsid w:val="002100EE"/>
    <w:rsid w:val="0021704D"/>
    <w:rsid w:val="00222097"/>
    <w:rsid w:val="002227DB"/>
    <w:rsid w:val="00227202"/>
    <w:rsid w:val="00227377"/>
    <w:rsid w:val="00227851"/>
    <w:rsid w:val="00230FD2"/>
    <w:rsid w:val="002348E0"/>
    <w:rsid w:val="002450EE"/>
    <w:rsid w:val="002461F4"/>
    <w:rsid w:val="0026130D"/>
    <w:rsid w:val="0026246E"/>
    <w:rsid w:val="00262555"/>
    <w:rsid w:val="00262778"/>
    <w:rsid w:val="002643C1"/>
    <w:rsid w:val="00265203"/>
    <w:rsid w:val="002674A9"/>
    <w:rsid w:val="0027199E"/>
    <w:rsid w:val="00271D47"/>
    <w:rsid w:val="002721EA"/>
    <w:rsid w:val="00273714"/>
    <w:rsid w:val="00280E8A"/>
    <w:rsid w:val="00285164"/>
    <w:rsid w:val="002A2729"/>
    <w:rsid w:val="002A4956"/>
    <w:rsid w:val="002A6710"/>
    <w:rsid w:val="002A7B17"/>
    <w:rsid w:val="002B0707"/>
    <w:rsid w:val="002B1FDA"/>
    <w:rsid w:val="002B36F8"/>
    <w:rsid w:val="002B578B"/>
    <w:rsid w:val="002B5ECC"/>
    <w:rsid w:val="002B6510"/>
    <w:rsid w:val="002B72C8"/>
    <w:rsid w:val="002B7904"/>
    <w:rsid w:val="002C2507"/>
    <w:rsid w:val="002C2E6E"/>
    <w:rsid w:val="002C3538"/>
    <w:rsid w:val="002C7927"/>
    <w:rsid w:val="002D7725"/>
    <w:rsid w:val="002E0CC2"/>
    <w:rsid w:val="002E3527"/>
    <w:rsid w:val="002F0ED3"/>
    <w:rsid w:val="002F3DE3"/>
    <w:rsid w:val="002F632E"/>
    <w:rsid w:val="003021BC"/>
    <w:rsid w:val="00310AF9"/>
    <w:rsid w:val="00310DAA"/>
    <w:rsid w:val="0031465E"/>
    <w:rsid w:val="00315742"/>
    <w:rsid w:val="003163B3"/>
    <w:rsid w:val="00322A7A"/>
    <w:rsid w:val="00326C5B"/>
    <w:rsid w:val="00341DEB"/>
    <w:rsid w:val="00342F0C"/>
    <w:rsid w:val="00343154"/>
    <w:rsid w:val="0034698C"/>
    <w:rsid w:val="00346A3D"/>
    <w:rsid w:val="00350C20"/>
    <w:rsid w:val="003548FA"/>
    <w:rsid w:val="00355A74"/>
    <w:rsid w:val="00361427"/>
    <w:rsid w:val="0036458B"/>
    <w:rsid w:val="003717BD"/>
    <w:rsid w:val="00371D2F"/>
    <w:rsid w:val="00373122"/>
    <w:rsid w:val="00377CE7"/>
    <w:rsid w:val="0038033A"/>
    <w:rsid w:val="003816ED"/>
    <w:rsid w:val="00383476"/>
    <w:rsid w:val="00384161"/>
    <w:rsid w:val="00384605"/>
    <w:rsid w:val="00385A31"/>
    <w:rsid w:val="00386CA6"/>
    <w:rsid w:val="00387610"/>
    <w:rsid w:val="00395307"/>
    <w:rsid w:val="00395C2F"/>
    <w:rsid w:val="003973D3"/>
    <w:rsid w:val="00397F89"/>
    <w:rsid w:val="003A0892"/>
    <w:rsid w:val="003A422B"/>
    <w:rsid w:val="003A449E"/>
    <w:rsid w:val="003A5BC4"/>
    <w:rsid w:val="003A6AD7"/>
    <w:rsid w:val="003A71F3"/>
    <w:rsid w:val="003B19F5"/>
    <w:rsid w:val="003C67FA"/>
    <w:rsid w:val="003D0E0A"/>
    <w:rsid w:val="003D1BC7"/>
    <w:rsid w:val="003D2C6C"/>
    <w:rsid w:val="003D3B22"/>
    <w:rsid w:val="003D7B3D"/>
    <w:rsid w:val="003E3E0E"/>
    <w:rsid w:val="003F451E"/>
    <w:rsid w:val="003F4939"/>
    <w:rsid w:val="003F626F"/>
    <w:rsid w:val="004002F8"/>
    <w:rsid w:val="00402B32"/>
    <w:rsid w:val="00403DAD"/>
    <w:rsid w:val="00410C93"/>
    <w:rsid w:val="00411858"/>
    <w:rsid w:val="00411B4A"/>
    <w:rsid w:val="004134DD"/>
    <w:rsid w:val="004141EF"/>
    <w:rsid w:val="00417E99"/>
    <w:rsid w:val="00421507"/>
    <w:rsid w:val="00423679"/>
    <w:rsid w:val="00424D02"/>
    <w:rsid w:val="0042525A"/>
    <w:rsid w:val="0042570A"/>
    <w:rsid w:val="00453B8F"/>
    <w:rsid w:val="00456386"/>
    <w:rsid w:val="004577CD"/>
    <w:rsid w:val="00460489"/>
    <w:rsid w:val="004608C7"/>
    <w:rsid w:val="00462878"/>
    <w:rsid w:val="00465B7A"/>
    <w:rsid w:val="00472AA2"/>
    <w:rsid w:val="00473B39"/>
    <w:rsid w:val="00475D09"/>
    <w:rsid w:val="0047600C"/>
    <w:rsid w:val="00485683"/>
    <w:rsid w:val="0049018D"/>
    <w:rsid w:val="004928A2"/>
    <w:rsid w:val="004953EC"/>
    <w:rsid w:val="00497377"/>
    <w:rsid w:val="004A0D29"/>
    <w:rsid w:val="004A0DE1"/>
    <w:rsid w:val="004A2410"/>
    <w:rsid w:val="004A27AC"/>
    <w:rsid w:val="004A3995"/>
    <w:rsid w:val="004B64C5"/>
    <w:rsid w:val="004C1DD0"/>
    <w:rsid w:val="004C2685"/>
    <w:rsid w:val="004C64E4"/>
    <w:rsid w:val="004D2334"/>
    <w:rsid w:val="004D2C25"/>
    <w:rsid w:val="004D3AC4"/>
    <w:rsid w:val="004E156F"/>
    <w:rsid w:val="004E3BBA"/>
    <w:rsid w:val="004E550E"/>
    <w:rsid w:val="004E55DB"/>
    <w:rsid w:val="004E612F"/>
    <w:rsid w:val="004E67C6"/>
    <w:rsid w:val="00502B2F"/>
    <w:rsid w:val="00512D00"/>
    <w:rsid w:val="00514179"/>
    <w:rsid w:val="005164D4"/>
    <w:rsid w:val="0051790C"/>
    <w:rsid w:val="00533029"/>
    <w:rsid w:val="00544BEA"/>
    <w:rsid w:val="005460D5"/>
    <w:rsid w:val="005515C7"/>
    <w:rsid w:val="00553CF0"/>
    <w:rsid w:val="00560343"/>
    <w:rsid w:val="00563F3A"/>
    <w:rsid w:val="00566A85"/>
    <w:rsid w:val="00570C78"/>
    <w:rsid w:val="00571EB8"/>
    <w:rsid w:val="005727DE"/>
    <w:rsid w:val="00573AE3"/>
    <w:rsid w:val="00575F5D"/>
    <w:rsid w:val="005760FF"/>
    <w:rsid w:val="00580D30"/>
    <w:rsid w:val="00587896"/>
    <w:rsid w:val="005902D9"/>
    <w:rsid w:val="00590370"/>
    <w:rsid w:val="00593488"/>
    <w:rsid w:val="00596AB7"/>
    <w:rsid w:val="005A1B5C"/>
    <w:rsid w:val="005A1EA7"/>
    <w:rsid w:val="005B06FB"/>
    <w:rsid w:val="005B0724"/>
    <w:rsid w:val="005B1E46"/>
    <w:rsid w:val="005C3F4B"/>
    <w:rsid w:val="005C40C4"/>
    <w:rsid w:val="005C42AC"/>
    <w:rsid w:val="005C4F84"/>
    <w:rsid w:val="005D37D0"/>
    <w:rsid w:val="005D4164"/>
    <w:rsid w:val="005D53D0"/>
    <w:rsid w:val="005D703E"/>
    <w:rsid w:val="005E4DD4"/>
    <w:rsid w:val="005E5525"/>
    <w:rsid w:val="005E6C44"/>
    <w:rsid w:val="0060003E"/>
    <w:rsid w:val="0060315D"/>
    <w:rsid w:val="00611D6D"/>
    <w:rsid w:val="00613410"/>
    <w:rsid w:val="00617986"/>
    <w:rsid w:val="00627729"/>
    <w:rsid w:val="00627F21"/>
    <w:rsid w:val="00634472"/>
    <w:rsid w:val="00635A69"/>
    <w:rsid w:val="00640C4A"/>
    <w:rsid w:val="00641462"/>
    <w:rsid w:val="0064583B"/>
    <w:rsid w:val="00651127"/>
    <w:rsid w:val="0065190C"/>
    <w:rsid w:val="006542F1"/>
    <w:rsid w:val="00654A48"/>
    <w:rsid w:val="0065651B"/>
    <w:rsid w:val="00664607"/>
    <w:rsid w:val="00665F75"/>
    <w:rsid w:val="00670089"/>
    <w:rsid w:val="00670C89"/>
    <w:rsid w:val="00671D49"/>
    <w:rsid w:val="00672B83"/>
    <w:rsid w:val="006763DC"/>
    <w:rsid w:val="00680AE4"/>
    <w:rsid w:val="00682205"/>
    <w:rsid w:val="00682BB7"/>
    <w:rsid w:val="0068450F"/>
    <w:rsid w:val="00684E51"/>
    <w:rsid w:val="00687A68"/>
    <w:rsid w:val="006A100B"/>
    <w:rsid w:val="006A12A4"/>
    <w:rsid w:val="006A143A"/>
    <w:rsid w:val="006A3285"/>
    <w:rsid w:val="006A4885"/>
    <w:rsid w:val="006A4C56"/>
    <w:rsid w:val="006A5194"/>
    <w:rsid w:val="006B0567"/>
    <w:rsid w:val="006B72DE"/>
    <w:rsid w:val="006C4DD3"/>
    <w:rsid w:val="006C5FC1"/>
    <w:rsid w:val="006D44E1"/>
    <w:rsid w:val="006D6662"/>
    <w:rsid w:val="006E0095"/>
    <w:rsid w:val="006E21FA"/>
    <w:rsid w:val="006E2468"/>
    <w:rsid w:val="006E477D"/>
    <w:rsid w:val="006E55C3"/>
    <w:rsid w:val="006E6D5F"/>
    <w:rsid w:val="006F0FB7"/>
    <w:rsid w:val="006F3083"/>
    <w:rsid w:val="006F4F89"/>
    <w:rsid w:val="006F5925"/>
    <w:rsid w:val="006F5E40"/>
    <w:rsid w:val="00704E5D"/>
    <w:rsid w:val="00705739"/>
    <w:rsid w:val="00706555"/>
    <w:rsid w:val="00710AE5"/>
    <w:rsid w:val="00714BF1"/>
    <w:rsid w:val="00715FB5"/>
    <w:rsid w:val="007171A6"/>
    <w:rsid w:val="0071799D"/>
    <w:rsid w:val="00726088"/>
    <w:rsid w:val="00730B6A"/>
    <w:rsid w:val="00736D88"/>
    <w:rsid w:val="00736DD2"/>
    <w:rsid w:val="0074681C"/>
    <w:rsid w:val="00746EC2"/>
    <w:rsid w:val="00755AAA"/>
    <w:rsid w:val="00761401"/>
    <w:rsid w:val="00762BB8"/>
    <w:rsid w:val="00775469"/>
    <w:rsid w:val="00781AD3"/>
    <w:rsid w:val="00781BFB"/>
    <w:rsid w:val="0078523E"/>
    <w:rsid w:val="007852E3"/>
    <w:rsid w:val="00786B40"/>
    <w:rsid w:val="00790BD0"/>
    <w:rsid w:val="00794382"/>
    <w:rsid w:val="007959AC"/>
    <w:rsid w:val="007A0439"/>
    <w:rsid w:val="007A20E0"/>
    <w:rsid w:val="007A266F"/>
    <w:rsid w:val="007A2C00"/>
    <w:rsid w:val="007A4658"/>
    <w:rsid w:val="007B1E38"/>
    <w:rsid w:val="007B2204"/>
    <w:rsid w:val="007B2466"/>
    <w:rsid w:val="007B4B60"/>
    <w:rsid w:val="007C1867"/>
    <w:rsid w:val="007C1B8F"/>
    <w:rsid w:val="007C2392"/>
    <w:rsid w:val="007C6B0F"/>
    <w:rsid w:val="007D1041"/>
    <w:rsid w:val="007D163B"/>
    <w:rsid w:val="007D7A44"/>
    <w:rsid w:val="007D7E65"/>
    <w:rsid w:val="007E19E0"/>
    <w:rsid w:val="007F1023"/>
    <w:rsid w:val="007F35AC"/>
    <w:rsid w:val="007F6769"/>
    <w:rsid w:val="008041D4"/>
    <w:rsid w:val="00804BE7"/>
    <w:rsid w:val="00806C61"/>
    <w:rsid w:val="00807F20"/>
    <w:rsid w:val="0081156A"/>
    <w:rsid w:val="00826BF6"/>
    <w:rsid w:val="00827398"/>
    <w:rsid w:val="008375E0"/>
    <w:rsid w:val="00842974"/>
    <w:rsid w:val="00842F87"/>
    <w:rsid w:val="00843D2E"/>
    <w:rsid w:val="00850971"/>
    <w:rsid w:val="0085550A"/>
    <w:rsid w:val="008576BA"/>
    <w:rsid w:val="00857AAB"/>
    <w:rsid w:val="008616EF"/>
    <w:rsid w:val="00863C25"/>
    <w:rsid w:val="008641B7"/>
    <w:rsid w:val="00864D80"/>
    <w:rsid w:val="00864DC1"/>
    <w:rsid w:val="00865363"/>
    <w:rsid w:val="008705BC"/>
    <w:rsid w:val="00871999"/>
    <w:rsid w:val="00875A42"/>
    <w:rsid w:val="00877852"/>
    <w:rsid w:val="00882A97"/>
    <w:rsid w:val="0088414F"/>
    <w:rsid w:val="008904A8"/>
    <w:rsid w:val="00891D94"/>
    <w:rsid w:val="008A19AF"/>
    <w:rsid w:val="008A20FB"/>
    <w:rsid w:val="008B6EAF"/>
    <w:rsid w:val="008B7959"/>
    <w:rsid w:val="008C020B"/>
    <w:rsid w:val="008C0648"/>
    <w:rsid w:val="008C06A1"/>
    <w:rsid w:val="008C1B22"/>
    <w:rsid w:val="008C4C84"/>
    <w:rsid w:val="008C510F"/>
    <w:rsid w:val="008D067F"/>
    <w:rsid w:val="008D17BB"/>
    <w:rsid w:val="008D3283"/>
    <w:rsid w:val="008D3E79"/>
    <w:rsid w:val="008E437B"/>
    <w:rsid w:val="008E4D3F"/>
    <w:rsid w:val="008E66B8"/>
    <w:rsid w:val="008F0A2E"/>
    <w:rsid w:val="008F189F"/>
    <w:rsid w:val="008F1988"/>
    <w:rsid w:val="008F6252"/>
    <w:rsid w:val="009023F3"/>
    <w:rsid w:val="0090383C"/>
    <w:rsid w:val="0090423A"/>
    <w:rsid w:val="00905D85"/>
    <w:rsid w:val="00907D9C"/>
    <w:rsid w:val="00912132"/>
    <w:rsid w:val="009135AB"/>
    <w:rsid w:val="009226D2"/>
    <w:rsid w:val="00922FAD"/>
    <w:rsid w:val="00924F0A"/>
    <w:rsid w:val="00925082"/>
    <w:rsid w:val="00925726"/>
    <w:rsid w:val="0092708B"/>
    <w:rsid w:val="0093049D"/>
    <w:rsid w:val="00937713"/>
    <w:rsid w:val="00944E96"/>
    <w:rsid w:val="00946BBC"/>
    <w:rsid w:val="0094759E"/>
    <w:rsid w:val="00952C13"/>
    <w:rsid w:val="00955F38"/>
    <w:rsid w:val="009568ED"/>
    <w:rsid w:val="00956D45"/>
    <w:rsid w:val="00961B17"/>
    <w:rsid w:val="00962BF1"/>
    <w:rsid w:val="00965ACA"/>
    <w:rsid w:val="00966820"/>
    <w:rsid w:val="00971B53"/>
    <w:rsid w:val="00971E57"/>
    <w:rsid w:val="009723CF"/>
    <w:rsid w:val="0097368D"/>
    <w:rsid w:val="0097652A"/>
    <w:rsid w:val="00980037"/>
    <w:rsid w:val="00983B43"/>
    <w:rsid w:val="00984742"/>
    <w:rsid w:val="00991B37"/>
    <w:rsid w:val="00994343"/>
    <w:rsid w:val="009A35E3"/>
    <w:rsid w:val="009A536F"/>
    <w:rsid w:val="009B4B15"/>
    <w:rsid w:val="009B6208"/>
    <w:rsid w:val="009B72C5"/>
    <w:rsid w:val="009C3034"/>
    <w:rsid w:val="009C4BFF"/>
    <w:rsid w:val="009C7522"/>
    <w:rsid w:val="009D0FDD"/>
    <w:rsid w:val="009D1988"/>
    <w:rsid w:val="009D3162"/>
    <w:rsid w:val="009D3181"/>
    <w:rsid w:val="009D7B9B"/>
    <w:rsid w:val="009E717E"/>
    <w:rsid w:val="009E737D"/>
    <w:rsid w:val="009F18FA"/>
    <w:rsid w:val="009F3FAB"/>
    <w:rsid w:val="009F5474"/>
    <w:rsid w:val="00A03977"/>
    <w:rsid w:val="00A15FBF"/>
    <w:rsid w:val="00A1616D"/>
    <w:rsid w:val="00A1783B"/>
    <w:rsid w:val="00A26FF7"/>
    <w:rsid w:val="00A30B37"/>
    <w:rsid w:val="00A31575"/>
    <w:rsid w:val="00A37A20"/>
    <w:rsid w:val="00A40B2F"/>
    <w:rsid w:val="00A445DC"/>
    <w:rsid w:val="00A44BEA"/>
    <w:rsid w:val="00A45F08"/>
    <w:rsid w:val="00A46AA2"/>
    <w:rsid w:val="00A54427"/>
    <w:rsid w:val="00A55B14"/>
    <w:rsid w:val="00A55FAF"/>
    <w:rsid w:val="00A569E8"/>
    <w:rsid w:val="00A57FAF"/>
    <w:rsid w:val="00A601C4"/>
    <w:rsid w:val="00A62DA1"/>
    <w:rsid w:val="00A711C6"/>
    <w:rsid w:val="00A74276"/>
    <w:rsid w:val="00A837EF"/>
    <w:rsid w:val="00A84863"/>
    <w:rsid w:val="00A87472"/>
    <w:rsid w:val="00A935D2"/>
    <w:rsid w:val="00A95D95"/>
    <w:rsid w:val="00A96F89"/>
    <w:rsid w:val="00A977EC"/>
    <w:rsid w:val="00A97B46"/>
    <w:rsid w:val="00AA3FD1"/>
    <w:rsid w:val="00AA52DE"/>
    <w:rsid w:val="00AB11B3"/>
    <w:rsid w:val="00AB4FCA"/>
    <w:rsid w:val="00AB5ED3"/>
    <w:rsid w:val="00AB6B0C"/>
    <w:rsid w:val="00AB70CD"/>
    <w:rsid w:val="00AB7800"/>
    <w:rsid w:val="00AC1860"/>
    <w:rsid w:val="00AC1E63"/>
    <w:rsid w:val="00AC4898"/>
    <w:rsid w:val="00AC48B3"/>
    <w:rsid w:val="00AC64CE"/>
    <w:rsid w:val="00AC7AC9"/>
    <w:rsid w:val="00AD7DC5"/>
    <w:rsid w:val="00AE09E8"/>
    <w:rsid w:val="00AE1920"/>
    <w:rsid w:val="00AE46C5"/>
    <w:rsid w:val="00AE5D9A"/>
    <w:rsid w:val="00AF01B3"/>
    <w:rsid w:val="00AF0F13"/>
    <w:rsid w:val="00AF7992"/>
    <w:rsid w:val="00AF7CDD"/>
    <w:rsid w:val="00B0057E"/>
    <w:rsid w:val="00B00AB3"/>
    <w:rsid w:val="00B059A4"/>
    <w:rsid w:val="00B14C52"/>
    <w:rsid w:val="00B200AA"/>
    <w:rsid w:val="00B2403F"/>
    <w:rsid w:val="00B2488E"/>
    <w:rsid w:val="00B25EB3"/>
    <w:rsid w:val="00B400C1"/>
    <w:rsid w:val="00B41A74"/>
    <w:rsid w:val="00B42056"/>
    <w:rsid w:val="00B478C3"/>
    <w:rsid w:val="00B52715"/>
    <w:rsid w:val="00B553B1"/>
    <w:rsid w:val="00B576EB"/>
    <w:rsid w:val="00B61348"/>
    <w:rsid w:val="00B6263F"/>
    <w:rsid w:val="00B67114"/>
    <w:rsid w:val="00B7097C"/>
    <w:rsid w:val="00B75449"/>
    <w:rsid w:val="00B80C3B"/>
    <w:rsid w:val="00B81284"/>
    <w:rsid w:val="00B86DA1"/>
    <w:rsid w:val="00B87401"/>
    <w:rsid w:val="00B943FE"/>
    <w:rsid w:val="00B9452B"/>
    <w:rsid w:val="00BA527C"/>
    <w:rsid w:val="00BB0293"/>
    <w:rsid w:val="00BB1CD0"/>
    <w:rsid w:val="00BB7494"/>
    <w:rsid w:val="00BB7DA9"/>
    <w:rsid w:val="00BC2390"/>
    <w:rsid w:val="00BC5FD9"/>
    <w:rsid w:val="00BC775D"/>
    <w:rsid w:val="00BD5A75"/>
    <w:rsid w:val="00BD5EF2"/>
    <w:rsid w:val="00BE07A9"/>
    <w:rsid w:val="00BE2E36"/>
    <w:rsid w:val="00BE3E6E"/>
    <w:rsid w:val="00BE4D8F"/>
    <w:rsid w:val="00BF46A7"/>
    <w:rsid w:val="00BF5230"/>
    <w:rsid w:val="00C00289"/>
    <w:rsid w:val="00C02DFE"/>
    <w:rsid w:val="00C07955"/>
    <w:rsid w:val="00C1090C"/>
    <w:rsid w:val="00C163BD"/>
    <w:rsid w:val="00C240C8"/>
    <w:rsid w:val="00C26513"/>
    <w:rsid w:val="00C270F8"/>
    <w:rsid w:val="00C328C9"/>
    <w:rsid w:val="00C339ED"/>
    <w:rsid w:val="00C35BA8"/>
    <w:rsid w:val="00C36E14"/>
    <w:rsid w:val="00C37BFC"/>
    <w:rsid w:val="00C37F72"/>
    <w:rsid w:val="00C420C1"/>
    <w:rsid w:val="00C43FEE"/>
    <w:rsid w:val="00C45963"/>
    <w:rsid w:val="00C472B8"/>
    <w:rsid w:val="00C529FD"/>
    <w:rsid w:val="00C53124"/>
    <w:rsid w:val="00C5353D"/>
    <w:rsid w:val="00C53B2E"/>
    <w:rsid w:val="00C6160A"/>
    <w:rsid w:val="00C65711"/>
    <w:rsid w:val="00C7204D"/>
    <w:rsid w:val="00C73473"/>
    <w:rsid w:val="00C76ECD"/>
    <w:rsid w:val="00C8352C"/>
    <w:rsid w:val="00C84B63"/>
    <w:rsid w:val="00C84E04"/>
    <w:rsid w:val="00C910BE"/>
    <w:rsid w:val="00C922BE"/>
    <w:rsid w:val="00C92770"/>
    <w:rsid w:val="00CA14B2"/>
    <w:rsid w:val="00CA14F4"/>
    <w:rsid w:val="00CA583F"/>
    <w:rsid w:val="00CA5844"/>
    <w:rsid w:val="00CA7415"/>
    <w:rsid w:val="00CA7775"/>
    <w:rsid w:val="00CB265C"/>
    <w:rsid w:val="00CB32BC"/>
    <w:rsid w:val="00CB4540"/>
    <w:rsid w:val="00CB4951"/>
    <w:rsid w:val="00CB7A07"/>
    <w:rsid w:val="00CC59BB"/>
    <w:rsid w:val="00CD1B93"/>
    <w:rsid w:val="00CD2C4E"/>
    <w:rsid w:val="00CD37D3"/>
    <w:rsid w:val="00CD3BD4"/>
    <w:rsid w:val="00CD3CC8"/>
    <w:rsid w:val="00CD635D"/>
    <w:rsid w:val="00CD6DEE"/>
    <w:rsid w:val="00CD7C5B"/>
    <w:rsid w:val="00CD7CED"/>
    <w:rsid w:val="00CE04C7"/>
    <w:rsid w:val="00CE2AFE"/>
    <w:rsid w:val="00CF156B"/>
    <w:rsid w:val="00CF1AA7"/>
    <w:rsid w:val="00CF1E02"/>
    <w:rsid w:val="00CF4BD6"/>
    <w:rsid w:val="00CF5812"/>
    <w:rsid w:val="00CF597A"/>
    <w:rsid w:val="00CF5DA2"/>
    <w:rsid w:val="00D0046E"/>
    <w:rsid w:val="00D00DA0"/>
    <w:rsid w:val="00D0103F"/>
    <w:rsid w:val="00D05BAA"/>
    <w:rsid w:val="00D07522"/>
    <w:rsid w:val="00D07F26"/>
    <w:rsid w:val="00D11A09"/>
    <w:rsid w:val="00D11BCD"/>
    <w:rsid w:val="00D123E3"/>
    <w:rsid w:val="00D13B7A"/>
    <w:rsid w:val="00D13CF4"/>
    <w:rsid w:val="00D22C4B"/>
    <w:rsid w:val="00D230C7"/>
    <w:rsid w:val="00D23E7D"/>
    <w:rsid w:val="00D2405F"/>
    <w:rsid w:val="00D25002"/>
    <w:rsid w:val="00D26C71"/>
    <w:rsid w:val="00D30C7F"/>
    <w:rsid w:val="00D32DFB"/>
    <w:rsid w:val="00D41998"/>
    <w:rsid w:val="00D41BA9"/>
    <w:rsid w:val="00D44059"/>
    <w:rsid w:val="00D4511A"/>
    <w:rsid w:val="00D52376"/>
    <w:rsid w:val="00D612C2"/>
    <w:rsid w:val="00D63B17"/>
    <w:rsid w:val="00D63D50"/>
    <w:rsid w:val="00D64D38"/>
    <w:rsid w:val="00D745E0"/>
    <w:rsid w:val="00D76AA3"/>
    <w:rsid w:val="00D778E0"/>
    <w:rsid w:val="00D80604"/>
    <w:rsid w:val="00D86A86"/>
    <w:rsid w:val="00D8791E"/>
    <w:rsid w:val="00D91E20"/>
    <w:rsid w:val="00D92438"/>
    <w:rsid w:val="00D939D3"/>
    <w:rsid w:val="00D956B0"/>
    <w:rsid w:val="00DA0040"/>
    <w:rsid w:val="00DA086B"/>
    <w:rsid w:val="00DA1D7A"/>
    <w:rsid w:val="00DA4328"/>
    <w:rsid w:val="00DA44ED"/>
    <w:rsid w:val="00DA5E0A"/>
    <w:rsid w:val="00DA5FD8"/>
    <w:rsid w:val="00DA6834"/>
    <w:rsid w:val="00DA7145"/>
    <w:rsid w:val="00DA7E05"/>
    <w:rsid w:val="00DB4794"/>
    <w:rsid w:val="00DB5C3E"/>
    <w:rsid w:val="00DB628E"/>
    <w:rsid w:val="00DC4070"/>
    <w:rsid w:val="00DD14D1"/>
    <w:rsid w:val="00DD178D"/>
    <w:rsid w:val="00DD2022"/>
    <w:rsid w:val="00DD2310"/>
    <w:rsid w:val="00DD356E"/>
    <w:rsid w:val="00DD7676"/>
    <w:rsid w:val="00DE1DE6"/>
    <w:rsid w:val="00DE1E39"/>
    <w:rsid w:val="00DE3526"/>
    <w:rsid w:val="00DE513D"/>
    <w:rsid w:val="00DF235C"/>
    <w:rsid w:val="00DF47D6"/>
    <w:rsid w:val="00DF4D5A"/>
    <w:rsid w:val="00DF5425"/>
    <w:rsid w:val="00DF782C"/>
    <w:rsid w:val="00E026B4"/>
    <w:rsid w:val="00E030A0"/>
    <w:rsid w:val="00E04F16"/>
    <w:rsid w:val="00E075A1"/>
    <w:rsid w:val="00E07FD4"/>
    <w:rsid w:val="00E124E3"/>
    <w:rsid w:val="00E12F81"/>
    <w:rsid w:val="00E14812"/>
    <w:rsid w:val="00E1500C"/>
    <w:rsid w:val="00E15231"/>
    <w:rsid w:val="00E15DDE"/>
    <w:rsid w:val="00E2339E"/>
    <w:rsid w:val="00E3245B"/>
    <w:rsid w:val="00E32DCD"/>
    <w:rsid w:val="00E3707B"/>
    <w:rsid w:val="00E37A64"/>
    <w:rsid w:val="00E43673"/>
    <w:rsid w:val="00E43FFC"/>
    <w:rsid w:val="00E50685"/>
    <w:rsid w:val="00E52B2C"/>
    <w:rsid w:val="00E57F6B"/>
    <w:rsid w:val="00E609CE"/>
    <w:rsid w:val="00E6234F"/>
    <w:rsid w:val="00E67AC7"/>
    <w:rsid w:val="00E7120B"/>
    <w:rsid w:val="00E7342C"/>
    <w:rsid w:val="00E73B19"/>
    <w:rsid w:val="00E76363"/>
    <w:rsid w:val="00E90BE3"/>
    <w:rsid w:val="00E91D81"/>
    <w:rsid w:val="00E92BC2"/>
    <w:rsid w:val="00E937D0"/>
    <w:rsid w:val="00EA010E"/>
    <w:rsid w:val="00EA7E27"/>
    <w:rsid w:val="00EB1E33"/>
    <w:rsid w:val="00EB257C"/>
    <w:rsid w:val="00EB484F"/>
    <w:rsid w:val="00EB4DA6"/>
    <w:rsid w:val="00EB7B0A"/>
    <w:rsid w:val="00EC0881"/>
    <w:rsid w:val="00EC373F"/>
    <w:rsid w:val="00ED085E"/>
    <w:rsid w:val="00ED2F55"/>
    <w:rsid w:val="00ED5ED8"/>
    <w:rsid w:val="00EE3F0F"/>
    <w:rsid w:val="00EF0199"/>
    <w:rsid w:val="00EF25EA"/>
    <w:rsid w:val="00EF5C89"/>
    <w:rsid w:val="00EF7B9C"/>
    <w:rsid w:val="00F04BB6"/>
    <w:rsid w:val="00F07266"/>
    <w:rsid w:val="00F0789C"/>
    <w:rsid w:val="00F109DE"/>
    <w:rsid w:val="00F16313"/>
    <w:rsid w:val="00F1700E"/>
    <w:rsid w:val="00F20FF1"/>
    <w:rsid w:val="00F24317"/>
    <w:rsid w:val="00F25018"/>
    <w:rsid w:val="00F32641"/>
    <w:rsid w:val="00F35457"/>
    <w:rsid w:val="00F3595B"/>
    <w:rsid w:val="00F367F3"/>
    <w:rsid w:val="00F36A26"/>
    <w:rsid w:val="00F41F54"/>
    <w:rsid w:val="00F426A6"/>
    <w:rsid w:val="00F429FD"/>
    <w:rsid w:val="00F43D49"/>
    <w:rsid w:val="00F4623C"/>
    <w:rsid w:val="00F516C3"/>
    <w:rsid w:val="00F530E8"/>
    <w:rsid w:val="00F56399"/>
    <w:rsid w:val="00F6656D"/>
    <w:rsid w:val="00F66838"/>
    <w:rsid w:val="00F746E3"/>
    <w:rsid w:val="00F7533D"/>
    <w:rsid w:val="00F7709C"/>
    <w:rsid w:val="00F7750A"/>
    <w:rsid w:val="00F80006"/>
    <w:rsid w:val="00F80084"/>
    <w:rsid w:val="00F81C0D"/>
    <w:rsid w:val="00F876AC"/>
    <w:rsid w:val="00F93F0D"/>
    <w:rsid w:val="00F95676"/>
    <w:rsid w:val="00F96401"/>
    <w:rsid w:val="00FA0605"/>
    <w:rsid w:val="00FA1A42"/>
    <w:rsid w:val="00FA1FF5"/>
    <w:rsid w:val="00FA386A"/>
    <w:rsid w:val="00FA3B76"/>
    <w:rsid w:val="00FA3F8B"/>
    <w:rsid w:val="00FA767D"/>
    <w:rsid w:val="00FB71A0"/>
    <w:rsid w:val="00FC022F"/>
    <w:rsid w:val="00FC3C96"/>
    <w:rsid w:val="00FD2470"/>
    <w:rsid w:val="00FD5823"/>
    <w:rsid w:val="00FD7BE0"/>
    <w:rsid w:val="00FE1C27"/>
    <w:rsid w:val="00FE2CDF"/>
    <w:rsid w:val="00FE40BD"/>
    <w:rsid w:val="00FE5C31"/>
    <w:rsid w:val="00FF1B0E"/>
    <w:rsid w:val="00FF6FC1"/>
    <w:rsid w:val="00FF748B"/>
    <w:rsid w:val="03D7095C"/>
    <w:rsid w:val="0490375E"/>
    <w:rsid w:val="07CA01F6"/>
    <w:rsid w:val="10744B81"/>
    <w:rsid w:val="12874FEB"/>
    <w:rsid w:val="130D1D7A"/>
    <w:rsid w:val="147A5E14"/>
    <w:rsid w:val="15F31839"/>
    <w:rsid w:val="16CF5E02"/>
    <w:rsid w:val="18ED7A84"/>
    <w:rsid w:val="1D7414B2"/>
    <w:rsid w:val="1EAF7247"/>
    <w:rsid w:val="1F777037"/>
    <w:rsid w:val="20AE273E"/>
    <w:rsid w:val="21937C26"/>
    <w:rsid w:val="25754019"/>
    <w:rsid w:val="27706A3C"/>
    <w:rsid w:val="2AA01F44"/>
    <w:rsid w:val="2BC024BF"/>
    <w:rsid w:val="2D281971"/>
    <w:rsid w:val="2E57625B"/>
    <w:rsid w:val="2E9F5DEA"/>
    <w:rsid w:val="2F14441D"/>
    <w:rsid w:val="30B312EF"/>
    <w:rsid w:val="317D7B67"/>
    <w:rsid w:val="33F10957"/>
    <w:rsid w:val="36F31241"/>
    <w:rsid w:val="38910D12"/>
    <w:rsid w:val="38BA4D6A"/>
    <w:rsid w:val="39124554"/>
    <w:rsid w:val="394D2708"/>
    <w:rsid w:val="3C6329C5"/>
    <w:rsid w:val="411249BA"/>
    <w:rsid w:val="41AE46E3"/>
    <w:rsid w:val="41EE0F83"/>
    <w:rsid w:val="43F17261"/>
    <w:rsid w:val="463E30E2"/>
    <w:rsid w:val="4B2D12E0"/>
    <w:rsid w:val="4CFF2296"/>
    <w:rsid w:val="4D5F4AE3"/>
    <w:rsid w:val="52D92ACB"/>
    <w:rsid w:val="533B4DF3"/>
    <w:rsid w:val="5446789F"/>
    <w:rsid w:val="55B9289A"/>
    <w:rsid w:val="587C74B2"/>
    <w:rsid w:val="5C814A76"/>
    <w:rsid w:val="6317557C"/>
    <w:rsid w:val="634F5CF7"/>
    <w:rsid w:val="63C002CA"/>
    <w:rsid w:val="63DA1707"/>
    <w:rsid w:val="66437985"/>
    <w:rsid w:val="67A84999"/>
    <w:rsid w:val="6C494E84"/>
    <w:rsid w:val="6E901AB8"/>
    <w:rsid w:val="6FE969BF"/>
    <w:rsid w:val="713A123F"/>
    <w:rsid w:val="72B2048A"/>
    <w:rsid w:val="74B864FD"/>
    <w:rsid w:val="77356731"/>
    <w:rsid w:val="789F3DA6"/>
    <w:rsid w:val="7A1A3954"/>
    <w:rsid w:val="7BD52290"/>
    <w:rsid w:val="7CE54755"/>
    <w:rsid w:val="7DBF6F57"/>
    <w:rsid w:val="7E481261"/>
    <w:rsid w:val="7EA7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69"/>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qFormat/>
    <w:uiPriority w:val="0"/>
    <w:rPr>
      <w:rFonts w:ascii="FangSong_GB2312" w:eastAsia="FangSong_GB2312"/>
      <w:sz w:val="32"/>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71"/>
    <w:qFormat/>
    <w:uiPriority w:val="0"/>
  </w:style>
  <w:style w:type="paragraph" w:styleId="33">
    <w:name w:val="Body Text Indent 2"/>
    <w:basedOn w:val="1"/>
    <w:link w:val="72"/>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link w:val="73"/>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4"/>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9"/>
    <w:next w:val="19"/>
    <w:link w:val="75"/>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link w:val="76"/>
    <w:qFormat/>
    <w:uiPriority w:val="0"/>
    <w:pPr>
      <w:spacing w:after="120" w:line="240" w:lineRule="auto"/>
      <w:ind w:left="420" w:leftChars="200" w:firstLine="420" w:firstLineChars="200"/>
    </w:pPr>
  </w:style>
  <w:style w:type="character" w:styleId="60">
    <w:name w:val="Strong"/>
    <w:qFormat/>
    <w:uiPriority w:val="22"/>
    <w:rPr>
      <w:b/>
    </w:rPr>
  </w:style>
  <w:style w:type="character" w:styleId="61">
    <w:name w:val="page number"/>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Heading 2 Char"/>
    <w:link w:val="3"/>
    <w:qFormat/>
    <w:uiPriority w:val="0"/>
    <w:rPr>
      <w:rFonts w:ascii="Arial" w:hAnsi="Arial" w:eastAsia="黑体"/>
      <w:b/>
      <w:kern w:val="2"/>
      <w:sz w:val="32"/>
    </w:rPr>
  </w:style>
  <w:style w:type="character" w:customStyle="1" w:styleId="68">
    <w:name w:val="Heading 3 Char"/>
    <w:link w:val="4"/>
    <w:qFormat/>
    <w:uiPriority w:val="0"/>
    <w:rPr>
      <w:rFonts w:eastAsia="宋体"/>
      <w:b/>
      <w:kern w:val="2"/>
      <w:sz w:val="32"/>
      <w:lang w:val="en-US" w:eastAsia="zh-CN"/>
    </w:rPr>
  </w:style>
  <w:style w:type="character" w:customStyle="1" w:styleId="69">
    <w:name w:val="Comment Text Char"/>
    <w:link w:val="19"/>
    <w:qFormat/>
    <w:uiPriority w:val="0"/>
    <w:rPr>
      <w:sz w:val="24"/>
    </w:rPr>
  </w:style>
  <w:style w:type="character" w:customStyle="1" w:styleId="70">
    <w:name w:val="Body Text Indent Char"/>
    <w:link w:val="23"/>
    <w:qFormat/>
    <w:uiPriority w:val="0"/>
    <w:rPr>
      <w:kern w:val="2"/>
      <w:sz w:val="44"/>
    </w:rPr>
  </w:style>
  <w:style w:type="character" w:customStyle="1" w:styleId="71">
    <w:name w:val="Date Char"/>
    <w:link w:val="32"/>
    <w:qFormat/>
    <w:uiPriority w:val="0"/>
    <w:rPr>
      <w:kern w:val="2"/>
      <w:sz w:val="28"/>
    </w:rPr>
  </w:style>
  <w:style w:type="character" w:customStyle="1" w:styleId="72">
    <w:name w:val="Body Text Indent 2 Char"/>
    <w:link w:val="33"/>
    <w:qFormat/>
    <w:uiPriority w:val="0"/>
    <w:rPr>
      <w:kern w:val="2"/>
      <w:sz w:val="28"/>
    </w:rPr>
  </w:style>
  <w:style w:type="character" w:customStyle="1" w:styleId="73">
    <w:name w:val="Header Char"/>
    <w:link w:val="36"/>
    <w:qFormat/>
    <w:uiPriority w:val="0"/>
    <w:rPr>
      <w:kern w:val="2"/>
      <w:sz w:val="18"/>
    </w:rPr>
  </w:style>
  <w:style w:type="character" w:customStyle="1" w:styleId="74">
    <w:name w:val="Footnote Text Char"/>
    <w:link w:val="40"/>
    <w:qFormat/>
    <w:uiPriority w:val="0"/>
    <w:rPr>
      <w:kern w:val="2"/>
      <w:sz w:val="18"/>
    </w:rPr>
  </w:style>
  <w:style w:type="character" w:customStyle="1" w:styleId="75">
    <w:name w:val="Comment Subject Char"/>
    <w:link w:val="55"/>
    <w:qFormat/>
    <w:uiPriority w:val="0"/>
  </w:style>
  <w:style w:type="character" w:customStyle="1" w:styleId="76">
    <w:name w:val="Body Text First Indent 2 Char"/>
    <w:link w:val="57"/>
    <w:qFormat/>
    <w:uiPriority w:val="0"/>
  </w:style>
  <w:style w:type="character" w:customStyle="1" w:styleId="77">
    <w:name w:val="未命名11"/>
    <w:qFormat/>
    <w:uiPriority w:val="0"/>
    <w:rPr>
      <w:color w:val="77FFFF"/>
      <w:sz w:val="24"/>
    </w:rPr>
  </w:style>
  <w:style w:type="character" w:customStyle="1" w:styleId="78">
    <w:name w:val="crowed11"/>
    <w:qFormat/>
    <w:uiPriority w:val="0"/>
    <w:rPr>
      <w:rFonts w:hint="default" w:ascii="_x000B__x000C_" w:hAnsi="_x000B__x000C_"/>
      <w:sz w:val="24"/>
    </w:rPr>
  </w:style>
  <w:style w:type="character" w:customStyle="1" w:styleId="79">
    <w:name w:val="Char Char7"/>
    <w:qFormat/>
    <w:uiPriority w:val="0"/>
    <w:rPr>
      <w:rFonts w:ascii="宋体" w:hAnsi="宋体" w:eastAsia="宋体"/>
      <w:kern w:val="2"/>
      <w:sz w:val="28"/>
    </w:rPr>
  </w:style>
  <w:style w:type="character" w:customStyle="1" w:styleId="80">
    <w:name w:val="Table Heading Char Char"/>
    <w:qFormat/>
    <w:uiPriority w:val="0"/>
    <w:rPr>
      <w:rFonts w:ascii="Arial" w:hAnsi="Arial" w:eastAsia="黑体"/>
      <w:kern w:val="2"/>
      <w:sz w:val="18"/>
      <w:lang w:val="en-US" w:eastAsia="zh-CN"/>
    </w:rPr>
  </w:style>
  <w:style w:type="character" w:customStyle="1" w:styleId="81">
    <w:name w:val="小 Char"/>
    <w:qFormat/>
    <w:uiPriority w:val="0"/>
    <w:rPr>
      <w:rFonts w:ascii="宋体" w:hAnsi="Courier New" w:eastAsia="宋体"/>
      <w:kern w:val="2"/>
      <w:sz w:val="21"/>
      <w:lang w:val="en-US" w:eastAsia="zh-CN" w:bidi="ar-SA"/>
    </w:rPr>
  </w:style>
  <w:style w:type="character" w:customStyle="1" w:styleId="82">
    <w:name w:val="Char Char6"/>
    <w:qFormat/>
    <w:uiPriority w:val="0"/>
    <w:rPr>
      <w:rFonts w:ascii="FangSong_GB2312" w:eastAsia="FangSong_GB2312"/>
      <w:kern w:val="2"/>
      <w:sz w:val="32"/>
    </w:rPr>
  </w:style>
  <w:style w:type="character" w:customStyle="1" w:styleId="83">
    <w:name w:val="文字 Char"/>
    <w:link w:val="84"/>
    <w:qFormat/>
    <w:uiPriority w:val="0"/>
    <w:rPr>
      <w:rFonts w:ascii="宋体"/>
      <w:kern w:val="2"/>
      <w:sz w:val="28"/>
    </w:rPr>
  </w:style>
  <w:style w:type="paragraph" w:customStyle="1" w:styleId="84">
    <w:name w:val="文字"/>
    <w:basedOn w:val="1"/>
    <w:link w:val="83"/>
    <w:qFormat/>
    <w:uiPriority w:val="0"/>
    <w:pPr>
      <w:tabs>
        <w:tab w:val="left" w:pos="8520"/>
      </w:tabs>
      <w:spacing w:line="312" w:lineRule="auto"/>
      <w:ind w:right="-210" w:firstLine="556"/>
    </w:pPr>
    <w:rPr>
      <w:rFonts w:ascii="宋体"/>
    </w:rPr>
  </w:style>
  <w:style w:type="character" w:customStyle="1" w:styleId="85">
    <w:name w:val="v151"/>
    <w:qFormat/>
    <w:uiPriority w:val="0"/>
    <w:rPr>
      <w:sz w:val="18"/>
    </w:rPr>
  </w:style>
  <w:style w:type="character" w:customStyle="1" w:styleId="86">
    <w:name w:val="Table Text Char Char Char Char"/>
    <w:link w:val="87"/>
    <w:qFormat/>
    <w:uiPriority w:val="0"/>
    <w:rPr>
      <w:rFonts w:ascii="Arial" w:hAnsi="Arial"/>
      <w:kern w:val="2"/>
      <w:sz w:val="18"/>
      <w:lang w:val="en-US" w:eastAsia="zh-CN" w:bidi="ar-SA"/>
    </w:rPr>
  </w:style>
  <w:style w:type="paragraph" w:customStyle="1" w:styleId="87">
    <w:name w:val="Table Text Char Char Char"/>
    <w:link w:val="86"/>
    <w:qFormat/>
    <w:uiPriority w:val="0"/>
    <w:pPr>
      <w:snapToGrid w:val="0"/>
      <w:spacing w:before="80" w:after="80"/>
    </w:pPr>
    <w:rPr>
      <w:rFonts w:ascii="Arial" w:hAnsi="Arial" w:eastAsia="宋体" w:cs="Times New Roman"/>
      <w:kern w:val="2"/>
      <w:sz w:val="18"/>
      <w:lang w:val="en-US" w:eastAsia="zh-CN" w:bidi="ar-SA"/>
    </w:rPr>
  </w:style>
  <w:style w:type="character" w:customStyle="1" w:styleId="88">
    <w:name w:val="content-white1"/>
    <w:qFormat/>
    <w:uiPriority w:val="0"/>
    <w:rPr>
      <w:rFonts w:ascii="_x000B__x000C_" w:hAnsi="_x000B__x000C_"/>
      <w:color w:val="auto"/>
      <w:sz w:val="18"/>
      <w:u w:val="none"/>
    </w:rPr>
  </w:style>
  <w:style w:type="character" w:customStyle="1" w:styleId="89">
    <w:name w:val="正文 + 三号 Char"/>
    <w:qFormat/>
    <w:uiPriority w:val="0"/>
    <w:rPr>
      <w:rFonts w:eastAsia="宋体"/>
      <w:kern w:val="2"/>
      <w:sz w:val="21"/>
      <w:lang w:val="en-US" w:eastAsia="zh-CN"/>
    </w:rPr>
  </w:style>
  <w:style w:type="character" w:customStyle="1" w:styleId="90">
    <w:name w:val="title_emph1"/>
    <w:qFormat/>
    <w:uiPriority w:val="0"/>
    <w:rPr>
      <w:rFonts w:hint="default" w:ascii="Arial" w:hAnsi="Arial"/>
      <w:b/>
      <w:sz w:val="20"/>
    </w:rPr>
  </w:style>
  <w:style w:type="character" w:customStyle="1" w:styleId="91">
    <w:name w:val="font1"/>
    <w:qFormat/>
    <w:uiPriority w:val="0"/>
    <w:rPr>
      <w:color w:val="000000"/>
      <w:sz w:val="18"/>
    </w:rPr>
  </w:style>
  <w:style w:type="character" w:customStyle="1" w:styleId="92">
    <w:name w:val="Table Text Char"/>
    <w:link w:val="93"/>
    <w:qFormat/>
    <w:uiPriority w:val="0"/>
    <w:rPr>
      <w:rFonts w:ascii="Arial" w:hAnsi="Arial"/>
      <w:kern w:val="2"/>
      <w:sz w:val="18"/>
      <w:lang w:val="en-US" w:eastAsia="zh-CN" w:bidi="ar-SA"/>
    </w:rPr>
  </w:style>
  <w:style w:type="paragraph" w:customStyle="1" w:styleId="93">
    <w:name w:val="Table Text"/>
    <w:link w:val="92"/>
    <w:qFormat/>
    <w:uiPriority w:val="0"/>
    <w:pPr>
      <w:snapToGrid w:val="0"/>
      <w:spacing w:before="80" w:after="80"/>
    </w:pPr>
    <w:rPr>
      <w:rFonts w:ascii="Arial" w:hAnsi="Arial" w:eastAsia="宋体" w:cs="Times New Roman"/>
      <w:kern w:val="2"/>
      <w:sz w:val="18"/>
      <w:lang w:val="en-US" w:eastAsia="zh-CN" w:bidi="ar-SA"/>
    </w:rPr>
  </w:style>
  <w:style w:type="character" w:customStyle="1" w:styleId="94">
    <w:name w:val="Char Char3"/>
    <w:qFormat/>
    <w:uiPriority w:val="0"/>
    <w:rPr>
      <w:rFonts w:eastAsia="宋体"/>
      <w:kern w:val="2"/>
      <w:sz w:val="18"/>
      <w:lang w:val="en-US" w:eastAsia="zh-CN"/>
    </w:rPr>
  </w:style>
  <w:style w:type="character" w:customStyle="1" w:styleId="95">
    <w:name w:val="Char Char4"/>
    <w:qFormat/>
    <w:uiPriority w:val="0"/>
    <w:rPr>
      <w:rFonts w:eastAsia="宋体"/>
      <w:b/>
      <w:kern w:val="2"/>
      <w:sz w:val="21"/>
      <w:lang w:val="en-US" w:eastAsia="zh-CN"/>
    </w:rPr>
  </w:style>
  <w:style w:type="character" w:customStyle="1" w:styleId="96">
    <w:name w:val="Char Char11"/>
    <w:qFormat/>
    <w:uiPriority w:val="0"/>
    <w:rPr>
      <w:rFonts w:ascii="宋体"/>
      <w:kern w:val="2"/>
      <w:sz w:val="28"/>
    </w:rPr>
  </w:style>
  <w:style w:type="character" w:customStyle="1" w:styleId="97">
    <w:name w:val="标书正文:  0.74 厘米 Char1"/>
    <w:qFormat/>
    <w:uiPriority w:val="0"/>
    <w:rPr>
      <w:rFonts w:eastAsia="宋体"/>
      <w:kern w:val="2"/>
      <w:sz w:val="24"/>
      <w:lang w:val="en-US" w:eastAsia="zh-CN"/>
    </w:rPr>
  </w:style>
  <w:style w:type="character" w:customStyle="1" w:styleId="98">
    <w:name w:val="Table Text Char1 Char"/>
    <w:qFormat/>
    <w:uiPriority w:val="0"/>
    <w:rPr>
      <w:rFonts w:ascii="Arial" w:hAnsi="Arial"/>
      <w:kern w:val="2"/>
      <w:sz w:val="18"/>
      <w:lang w:val="en-US" w:eastAsia="zh-CN" w:bidi="ar-SA"/>
    </w:rPr>
  </w:style>
  <w:style w:type="character" w:customStyle="1" w:styleId="99">
    <w:name w:val="Char Char5"/>
    <w:qFormat/>
    <w:uiPriority w:val="0"/>
    <w:rPr>
      <w:rFonts w:ascii="Arial" w:hAnsi="Arial" w:eastAsia="宋体"/>
      <w:b/>
      <w:smallCaps/>
      <w:kern w:val="28"/>
      <w:sz w:val="36"/>
      <w:lang w:val="en-US" w:eastAsia="en-US"/>
    </w:rPr>
  </w:style>
  <w:style w:type="character" w:customStyle="1" w:styleId="100">
    <w:name w:val="top-det1"/>
    <w:qFormat/>
    <w:uiPriority w:val="0"/>
    <w:rPr>
      <w:b/>
      <w:color w:val="000000"/>
    </w:rPr>
  </w:style>
  <w:style w:type="character" w:customStyle="1" w:styleId="101">
    <w:name w:val="Char Char2"/>
    <w:qFormat/>
    <w:uiPriority w:val="0"/>
    <w:rPr>
      <w:rFonts w:eastAsia="宋体"/>
      <w:kern w:val="2"/>
      <w:sz w:val="18"/>
      <w:lang w:val="en-US" w:eastAsia="zh-CN"/>
    </w:rPr>
  </w:style>
  <w:style w:type="character" w:customStyle="1" w:styleId="102">
    <w:name w:val="H2 Char"/>
    <w:qFormat/>
    <w:uiPriority w:val="0"/>
    <w:rPr>
      <w:rFonts w:ascii="Arial" w:hAnsi="Arial" w:eastAsia="宋体"/>
      <w:kern w:val="2"/>
      <w:sz w:val="28"/>
      <w:lang w:val="en-US" w:eastAsia="zh-CN"/>
    </w:rPr>
  </w:style>
  <w:style w:type="character" w:customStyle="1" w:styleId="103">
    <w:name w:val="Char Char"/>
    <w:qFormat/>
    <w:uiPriority w:val="0"/>
    <w:rPr>
      <w:rFonts w:ascii="宋体" w:hAnsi="宋体" w:eastAsia="宋体"/>
      <w:kern w:val="2"/>
      <w:sz w:val="24"/>
      <w:lang w:val="en-US" w:eastAsia="zh-CN" w:bidi="ar-SA"/>
    </w:rPr>
  </w:style>
  <w:style w:type="character" w:customStyle="1" w:styleId="104">
    <w:name w:val="样式 宋体"/>
    <w:qFormat/>
    <w:uiPriority w:val="0"/>
    <w:rPr>
      <w:rFonts w:ascii="宋体" w:hAnsi="宋体" w:eastAsia="宋体"/>
      <w:sz w:val="28"/>
    </w:rPr>
  </w:style>
  <w:style w:type="paragraph" w:customStyle="1" w:styleId="105">
    <w:name w:val="表格文本"/>
    <w:qFormat/>
    <w:uiPriority w:val="0"/>
    <w:pPr>
      <w:tabs>
        <w:tab w:val="decimal" w:pos="0"/>
      </w:tabs>
    </w:pPr>
    <w:rPr>
      <w:rFonts w:ascii="Arial" w:hAnsi="Arial" w:eastAsia="宋体" w:cs="Times New Roman"/>
      <w:sz w:val="21"/>
      <w:lang w:val="en-US" w:eastAsia="zh-CN" w:bidi="ar-SA"/>
    </w:rPr>
  </w:style>
  <w:style w:type="paragraph" w:customStyle="1" w:styleId="106">
    <w:name w:val="Char2 Char Char Char Char Char Char"/>
    <w:basedOn w:val="1"/>
    <w:qFormat/>
    <w:uiPriority w:val="0"/>
    <w:rPr>
      <w:rFonts w:ascii="FangSong_GB2312"/>
      <w:b/>
      <w:sz w:val="30"/>
    </w:rPr>
  </w:style>
  <w:style w:type="paragraph" w:customStyle="1" w:styleId="107">
    <w:name w:val="正文文本 21"/>
    <w:basedOn w:val="1"/>
    <w:qFormat/>
    <w:uiPriority w:val="0"/>
    <w:pPr>
      <w:adjustRightInd w:val="0"/>
      <w:spacing w:before="120" w:line="360" w:lineRule="auto"/>
      <w:ind w:firstLine="480"/>
      <w:textAlignment w:val="baseline"/>
    </w:pPr>
    <w:rPr>
      <w:sz w:val="24"/>
    </w:rPr>
  </w:style>
  <w:style w:type="paragraph" w:customStyle="1" w:styleId="108">
    <w:name w:val="Char Char Char Char Char"/>
    <w:basedOn w:val="1"/>
    <w:qFormat/>
    <w:uiPriority w:val="0"/>
    <w:pPr>
      <w:tabs>
        <w:tab w:val="left" w:pos="425"/>
      </w:tabs>
      <w:ind w:left="1620" w:hanging="360"/>
    </w:pPr>
    <w:rPr>
      <w:rFonts w:ascii="Tahoma" w:hAnsi="Tahoma"/>
      <w:sz w:val="24"/>
    </w:rPr>
  </w:style>
  <w:style w:type="paragraph" w:customStyle="1" w:styleId="109">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FangSong_GB2312"/>
      <w:kern w:val="0"/>
      <w:sz w:val="24"/>
    </w:rPr>
  </w:style>
  <w:style w:type="paragraph" w:customStyle="1" w:styleId="110">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11">
    <w:name w:val="正文 + 三号"/>
    <w:basedOn w:val="1"/>
    <w:qFormat/>
    <w:uiPriority w:val="0"/>
    <w:rPr>
      <w:sz w:val="21"/>
    </w:rPr>
  </w:style>
  <w:style w:type="paragraph" w:customStyle="1" w:styleId="11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13">
    <w:name w:val="表号"/>
    <w:basedOn w:val="1"/>
    <w:qFormat/>
    <w:uiPriority w:val="0"/>
    <w:pPr>
      <w:numPr>
        <w:ilvl w:val="0"/>
        <w:numId w:val="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14">
    <w:name w:val="二级条标题"/>
    <w:basedOn w:val="115"/>
    <w:next w:val="117"/>
    <w:qFormat/>
    <w:uiPriority w:val="0"/>
    <w:pPr>
      <w:ind w:left="840"/>
      <w:outlineLvl w:val="3"/>
    </w:pPr>
  </w:style>
  <w:style w:type="paragraph" w:customStyle="1" w:styleId="115">
    <w:name w:val="一级条标题"/>
    <w:basedOn w:val="116"/>
    <w:next w:val="117"/>
    <w:qFormat/>
    <w:uiPriority w:val="0"/>
    <w:pPr>
      <w:numPr>
        <w:numId w:val="0"/>
      </w:numPr>
      <w:spacing w:before="0" w:beforeLines="0" w:after="0" w:afterLines="0"/>
      <w:ind w:left="525"/>
      <w:outlineLvl w:val="2"/>
    </w:pPr>
    <w:rPr>
      <w:sz w:val="21"/>
    </w:rPr>
  </w:style>
  <w:style w:type="paragraph" w:customStyle="1" w:styleId="116">
    <w:name w:val="章标题"/>
    <w:next w:val="1"/>
    <w:qFormat/>
    <w:uiPriority w:val="0"/>
    <w:pPr>
      <w:numPr>
        <w:ilvl w:val="1"/>
        <w:numId w:val="5"/>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19">
    <w:name w:val="Char Char14 Char Char"/>
    <w:basedOn w:val="1"/>
    <w:qFormat/>
    <w:uiPriority w:val="0"/>
    <w:rPr>
      <w:sz w:val="21"/>
      <w:szCs w:val="24"/>
    </w:rPr>
  </w:style>
  <w:style w:type="paragraph" w:customStyle="1" w:styleId="120">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文本框样式1"/>
    <w:basedOn w:val="1"/>
    <w:qFormat/>
    <w:uiPriority w:val="0"/>
    <w:pPr>
      <w:adjustRightInd w:val="0"/>
      <w:snapToGrid w:val="0"/>
      <w:spacing w:before="60" w:line="180" w:lineRule="exact"/>
      <w:jc w:val="center"/>
    </w:pPr>
    <w:rPr>
      <w:sz w:val="21"/>
    </w:rPr>
  </w:style>
  <w:style w:type="paragraph" w:customStyle="1" w:styleId="122">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3">
    <w:name w:val="Item Step in Tabl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124">
    <w:name w:val="样式 仿宋_GB2312 首行缩进:  2 字符"/>
    <w:basedOn w:val="1"/>
    <w:qFormat/>
    <w:uiPriority w:val="0"/>
    <w:pPr>
      <w:spacing w:line="600" w:lineRule="exact"/>
      <w:ind w:firstLine="420" w:firstLineChars="150"/>
      <w:jc w:val="left"/>
    </w:pPr>
    <w:rPr>
      <w:rFonts w:ascii="FangSong_GB2312" w:hAnsi="Arial" w:eastAsia="FangSong_GB2312"/>
      <w:color w:val="000000"/>
      <w:kern w:val="0"/>
      <w:lang w:val="zh-CN"/>
    </w:rPr>
  </w:style>
  <w:style w:type="paragraph" w:customStyle="1" w:styleId="125">
    <w:name w:val="样式4"/>
    <w:basedOn w:val="5"/>
    <w:qFormat/>
    <w:uiPriority w:val="0"/>
    <w:pPr>
      <w:adjustRightInd w:val="0"/>
      <w:snapToGrid w:val="0"/>
    </w:pPr>
  </w:style>
  <w:style w:type="paragraph" w:customStyle="1" w:styleId="126">
    <w:name w:val="摘要"/>
    <w:basedOn w:val="1"/>
    <w:next w:val="3"/>
    <w:qFormat/>
    <w:uiPriority w:val="0"/>
    <w:pPr>
      <w:spacing w:line="360" w:lineRule="auto"/>
    </w:pPr>
    <w:rPr>
      <w:rFonts w:eastAsia="黑体"/>
      <w:sz w:val="20"/>
    </w:rPr>
  </w:style>
  <w:style w:type="paragraph" w:customStyle="1" w:styleId="12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8">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9">
    <w:name w:val="样式 正文首行缩进 2 + 首行缩进:  2 字符"/>
    <w:basedOn w:val="1"/>
    <w:qFormat/>
    <w:uiPriority w:val="0"/>
    <w:pPr>
      <w:numPr>
        <w:ilvl w:val="0"/>
        <w:numId w:val="6"/>
      </w:numPr>
      <w:adjustRightInd w:val="0"/>
      <w:snapToGrid w:val="0"/>
      <w:spacing w:line="360" w:lineRule="auto"/>
    </w:pPr>
    <w:rPr>
      <w:rFonts w:ascii="Arial" w:hAnsi="Arial"/>
      <w:b/>
      <w:sz w:val="24"/>
    </w:rPr>
  </w:style>
  <w:style w:type="paragraph" w:customStyle="1" w:styleId="130">
    <w:name w:val="Title - Date"/>
    <w:basedOn w:val="54"/>
    <w:next w:val="1"/>
    <w:qFormat/>
    <w:uiPriority w:val="0"/>
    <w:pPr>
      <w:spacing w:before="240" w:after="720"/>
    </w:pPr>
    <w:rPr>
      <w:sz w:val="28"/>
    </w:rPr>
  </w:style>
  <w:style w:type="paragraph" w:customStyle="1" w:styleId="131">
    <w:name w:val="文本1"/>
    <w:basedOn w:val="1"/>
    <w:qFormat/>
    <w:uiPriority w:val="0"/>
    <w:pPr>
      <w:adjustRightInd w:val="0"/>
      <w:spacing w:line="312" w:lineRule="atLeast"/>
      <w:jc w:val="center"/>
      <w:textAlignment w:val="baseline"/>
    </w:pPr>
    <w:rPr>
      <w:kern w:val="0"/>
      <w:sz w:val="18"/>
    </w:rPr>
  </w:style>
  <w:style w:type="paragraph" w:customStyle="1" w:styleId="132">
    <w:name w:val="样式2"/>
    <w:basedOn w:val="5"/>
    <w:qFormat/>
    <w:uiPriority w:val="0"/>
    <w:pPr>
      <w:numPr>
        <w:ilvl w:val="0"/>
        <w:numId w:val="7"/>
      </w:numPr>
      <w:spacing w:before="560" w:line="400" w:lineRule="exact"/>
      <w:jc w:val="center"/>
      <w:outlineLvl w:val="0"/>
    </w:pPr>
    <w:rPr>
      <w:b w:val="0"/>
      <w:sz w:val="44"/>
    </w:rPr>
  </w:style>
  <w:style w:type="paragraph" w:customStyle="1" w:styleId="1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34">
    <w:name w:val="1.正文"/>
    <w:basedOn w:val="1"/>
    <w:qFormat/>
    <w:uiPriority w:val="0"/>
    <w:pPr>
      <w:spacing w:line="360" w:lineRule="auto"/>
      <w:ind w:left="540" w:leftChars="225" w:firstLine="540" w:firstLineChars="225"/>
    </w:pPr>
    <w:rPr>
      <w:sz w:val="24"/>
    </w:rPr>
  </w:style>
  <w:style w:type="paragraph" w:customStyle="1" w:styleId="135">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36">
    <w:name w:val="段落正文"/>
    <w:basedOn w:val="1"/>
    <w:qFormat/>
    <w:uiPriority w:val="0"/>
    <w:pPr>
      <w:spacing w:before="156" w:beforeLines="50" w:line="360" w:lineRule="auto"/>
      <w:ind w:firstLine="200" w:firstLineChars="200"/>
    </w:pPr>
    <w:rPr>
      <w:spacing w:val="2"/>
      <w:sz w:val="24"/>
    </w:rPr>
  </w:style>
  <w:style w:type="paragraph" w:customStyle="1" w:styleId="137">
    <w:name w:val="Table Contents"/>
    <w:basedOn w:val="22"/>
    <w:qFormat/>
    <w:uiPriority w:val="0"/>
    <w:pPr>
      <w:suppressAutoHyphens/>
      <w:jc w:val="left"/>
    </w:pPr>
    <w:rPr>
      <w:rFonts w:ascii="Times New Roman" w:eastAsia="Times New Roman"/>
      <w:kern w:val="0"/>
      <w:sz w:val="24"/>
    </w:rPr>
  </w:style>
  <w:style w:type="paragraph" w:customStyle="1" w:styleId="138">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39">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40">
    <w:name w:val="关键词"/>
    <w:basedOn w:val="1"/>
    <w:next w:val="1"/>
    <w:qFormat/>
    <w:uiPriority w:val="0"/>
    <w:pPr>
      <w:spacing w:line="360" w:lineRule="auto"/>
    </w:pPr>
    <w:rPr>
      <w:rFonts w:eastAsia="黑体"/>
      <w:sz w:val="20"/>
    </w:rPr>
  </w:style>
  <w:style w:type="paragraph" w:customStyle="1" w:styleId="141">
    <w:name w:val="样式 行距: 1.5 倍行距1"/>
    <w:basedOn w:val="1"/>
    <w:qFormat/>
    <w:uiPriority w:val="0"/>
    <w:pPr>
      <w:snapToGrid w:val="0"/>
    </w:pPr>
    <w:rPr>
      <w:sz w:val="21"/>
    </w:rPr>
  </w:style>
  <w:style w:type="paragraph" w:customStyle="1" w:styleId="142">
    <w:name w:val="Char Char Char Char Char Char Char"/>
    <w:basedOn w:val="1"/>
    <w:qFormat/>
    <w:uiPriority w:val="0"/>
    <w:rPr>
      <w:rFonts w:ascii="Tahoma" w:hAnsi="Tahoma"/>
      <w:sz w:val="24"/>
    </w:rPr>
  </w:style>
  <w:style w:type="paragraph" w:customStyle="1" w:styleId="143">
    <w:name w:val="标准正文"/>
    <w:basedOn w:val="23"/>
    <w:qFormat/>
    <w:uiPriority w:val="0"/>
    <w:pPr>
      <w:spacing w:before="60" w:after="60" w:line="360" w:lineRule="auto"/>
      <w:ind w:left="0" w:firstLine="482"/>
    </w:pPr>
    <w:rPr>
      <w:rFonts w:ascii="Arial" w:hAnsi="Arial"/>
      <w:sz w:val="24"/>
    </w:rPr>
  </w:style>
  <w:style w:type="paragraph" w:customStyle="1" w:styleId="144">
    <w:name w:val="_Style 142"/>
    <w:qFormat/>
    <w:uiPriority w:val="0"/>
    <w:rPr>
      <w:rFonts w:ascii="Times New Roman" w:hAnsi="Times New Roman" w:eastAsia="宋体" w:cs="Times New Roman"/>
      <w:kern w:val="2"/>
      <w:sz w:val="21"/>
      <w:lang w:val="en-US" w:eastAsia="zh-CN" w:bidi="ar-SA"/>
    </w:rPr>
  </w:style>
  <w:style w:type="paragraph" w:customStyle="1" w:styleId="145">
    <w:name w:val="Style Heading 3h3Heading 3 - oldLevel 3 HeadH3level_3PIM 3se..."/>
    <w:basedOn w:val="4"/>
    <w:qFormat/>
    <w:uiPriority w:val="0"/>
    <w:pPr>
      <w:numPr>
        <w:ilvl w:val="2"/>
        <w:numId w:val="9"/>
      </w:numPr>
      <w:tabs>
        <w:tab w:val="left" w:pos="709"/>
        <w:tab w:val="left" w:pos="1620"/>
      </w:tabs>
    </w:pPr>
  </w:style>
  <w:style w:type="paragraph" w:customStyle="1" w:styleId="146">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7">
    <w:name w:val="00"/>
    <w:basedOn w:val="1"/>
    <w:qFormat/>
    <w:uiPriority w:val="0"/>
    <w:pPr>
      <w:autoSpaceDE w:val="0"/>
      <w:autoSpaceDN w:val="0"/>
      <w:adjustRightInd w:val="0"/>
      <w:jc w:val="left"/>
    </w:pPr>
    <w:rPr>
      <w:rFonts w:ascii="黑体" w:eastAsia="黑体"/>
      <w:b/>
      <w:kern w:val="0"/>
      <w:sz w:val="20"/>
    </w:rPr>
  </w:style>
  <w:style w:type="paragraph" w:customStyle="1" w:styleId="14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4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0">
    <w:name w:val="标题3——2"/>
    <w:basedOn w:val="4"/>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51">
    <w:name w:val="列表项目"/>
    <w:basedOn w:val="1"/>
    <w:qFormat/>
    <w:uiPriority w:val="0"/>
    <w:pPr>
      <w:tabs>
        <w:tab w:val="left" w:pos="420"/>
      </w:tabs>
      <w:spacing w:line="288" w:lineRule="auto"/>
      <w:ind w:left="840" w:leftChars="200" w:hanging="420" w:hangingChars="200"/>
    </w:pPr>
    <w:rPr>
      <w:sz w:val="21"/>
    </w:rPr>
  </w:style>
  <w:style w:type="paragraph" w:customStyle="1" w:styleId="152">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53">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4">
    <w:name w:val="正文4"/>
    <w:basedOn w:val="1"/>
    <w:qFormat/>
    <w:uiPriority w:val="0"/>
    <w:pPr>
      <w:tabs>
        <w:tab w:val="left" w:pos="1275"/>
      </w:tabs>
      <w:spacing w:before="60" w:after="60" w:line="360" w:lineRule="auto"/>
      <w:ind w:left="820" w:leftChars="400" w:hanging="705"/>
    </w:pPr>
    <w:rPr>
      <w:sz w:val="24"/>
    </w:rPr>
  </w:style>
  <w:style w:type="paragraph" w:customStyle="1" w:styleId="155">
    <w:name w:val="Char Char Char Char Char Char Char Char Char Char Char Char Char"/>
    <w:basedOn w:val="1"/>
    <w:qFormat/>
    <w:uiPriority w:val="0"/>
    <w:pPr>
      <w:widowControl/>
      <w:spacing w:after="160" w:line="240" w:lineRule="exact"/>
      <w:jc w:val="left"/>
    </w:pPr>
    <w:rPr>
      <w:rFonts w:ascii="Verdana" w:hAnsi="Verdana" w:eastAsia="FangSong_GB2312"/>
      <w:kern w:val="0"/>
      <w:sz w:val="24"/>
      <w:lang w:eastAsia="en-US"/>
    </w:rPr>
  </w:style>
  <w:style w:type="paragraph" w:customStyle="1" w:styleId="156">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7">
    <w:name w:val="Char Char 字元 字元 字元 Char Char Char Char"/>
    <w:basedOn w:val="1"/>
    <w:qFormat/>
    <w:uiPriority w:val="0"/>
    <w:pPr>
      <w:adjustRightInd w:val="0"/>
      <w:spacing w:line="360" w:lineRule="auto"/>
    </w:pPr>
    <w:rPr>
      <w:kern w:val="0"/>
      <w:sz w:val="24"/>
    </w:rPr>
  </w:style>
  <w:style w:type="paragraph" w:customStyle="1" w:styleId="158">
    <w:name w:val="内容标题"/>
    <w:basedOn w:val="17"/>
    <w:qFormat/>
    <w:uiPriority w:val="0"/>
    <w:rPr>
      <w:rFonts w:ascii="Tahoma" w:hAnsi="Tahoma"/>
      <w:sz w:val="24"/>
    </w:rPr>
  </w:style>
  <w:style w:type="paragraph" w:customStyle="1" w:styleId="159">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60">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61">
    <w:name w:val="默认段落字体 Para Char Char Char Char Char Char Char Char Char1 Char Char Char Char"/>
    <w:basedOn w:val="1"/>
    <w:qFormat/>
    <w:uiPriority w:val="0"/>
    <w:rPr>
      <w:rFonts w:ascii="Tahoma" w:hAnsi="Tahoma"/>
      <w:sz w:val="24"/>
    </w:rPr>
  </w:style>
  <w:style w:type="paragraph" w:customStyle="1" w:styleId="162">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63">
    <w:name w:val="Char Char Char Char Char Char Char1"/>
    <w:basedOn w:val="17"/>
    <w:qFormat/>
    <w:uiPriority w:val="0"/>
    <w:rPr>
      <w:rFonts w:ascii="宋体" w:hAnsi="Tahoma"/>
    </w:rPr>
  </w:style>
  <w:style w:type="paragraph" w:customStyle="1" w:styleId="164">
    <w:name w:val="Title - Revision"/>
    <w:basedOn w:val="54"/>
    <w:qFormat/>
    <w:uiPriority w:val="0"/>
    <w:pPr>
      <w:spacing w:before="720"/>
    </w:pPr>
  </w:style>
  <w:style w:type="paragraph" w:customStyle="1" w:styleId="165">
    <w:name w:val="编号正文"/>
    <w:basedOn w:val="166"/>
    <w:qFormat/>
    <w:uiPriority w:val="0"/>
    <w:pPr>
      <w:snapToGrid/>
      <w:spacing w:line="360" w:lineRule="auto"/>
      <w:ind w:left="1407" w:hanging="1047"/>
      <w:jc w:val="left"/>
    </w:pPr>
    <w:rPr>
      <w:rFonts w:eastAsia="FangSong_GB2312"/>
    </w:rPr>
  </w:style>
  <w:style w:type="paragraph" w:customStyle="1" w:styleId="16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69">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70">
    <w:name w:val="样式1"/>
    <w:basedOn w:val="5"/>
    <w:qFormat/>
    <w:uiPriority w:val="0"/>
    <w:pPr>
      <w:tabs>
        <w:tab w:val="left" w:pos="720"/>
      </w:tabs>
      <w:spacing w:before="500" w:after="260" w:line="560" w:lineRule="atLeast"/>
      <w:ind w:left="420" w:hanging="420"/>
    </w:pPr>
  </w:style>
  <w:style w:type="paragraph" w:customStyle="1" w:styleId="171">
    <w:name w:val="二级列表"/>
    <w:basedOn w:val="136"/>
    <w:next w:val="136"/>
    <w:qFormat/>
    <w:uiPriority w:val="0"/>
    <w:pPr>
      <w:tabs>
        <w:tab w:val="left" w:pos="2120"/>
      </w:tabs>
      <w:ind w:firstLine="0" w:firstLineChars="0"/>
    </w:pPr>
    <w:rPr>
      <w:b/>
    </w:rPr>
  </w:style>
  <w:style w:type="paragraph" w:customStyle="1" w:styleId="17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73">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74">
    <w:name w:val="样式 首行缩进:  0.74 厘米"/>
    <w:basedOn w:val="1"/>
    <w:qFormat/>
    <w:uiPriority w:val="0"/>
    <w:pPr>
      <w:spacing w:line="360" w:lineRule="auto"/>
      <w:ind w:firstLine="420"/>
    </w:pPr>
    <w:rPr>
      <w:sz w:val="24"/>
    </w:rPr>
  </w:style>
  <w:style w:type="paragraph" w:customStyle="1" w:styleId="175">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7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7">
    <w:name w:val="标书正文:  0.74 厘米"/>
    <w:basedOn w:val="1"/>
    <w:qFormat/>
    <w:uiPriority w:val="0"/>
    <w:pPr>
      <w:snapToGrid w:val="0"/>
      <w:spacing w:line="360" w:lineRule="auto"/>
      <w:ind w:firstLine="420"/>
    </w:pPr>
    <w:rPr>
      <w:sz w:val="24"/>
    </w:rPr>
  </w:style>
  <w:style w:type="paragraph" w:customStyle="1" w:styleId="178">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79">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80">
    <w:name w:val="文章正文"/>
    <w:basedOn w:val="1"/>
    <w:qFormat/>
    <w:uiPriority w:val="0"/>
    <w:pPr>
      <w:ind w:firstLine="560" w:firstLineChars="200"/>
    </w:pPr>
    <w:rPr>
      <w:rFonts w:ascii="FangSong_GB2312" w:hAnsi="宋体" w:eastAsia="FangSong_GB2312"/>
      <w:color w:val="000000"/>
    </w:rPr>
  </w:style>
  <w:style w:type="paragraph" w:customStyle="1" w:styleId="181">
    <w:name w:val="Char Char1 Char"/>
    <w:basedOn w:val="1"/>
    <w:qFormat/>
    <w:uiPriority w:val="0"/>
    <w:rPr>
      <w:rFonts w:ascii="Tahoma" w:hAnsi="Tahoma"/>
      <w:sz w:val="24"/>
      <w:szCs w:val="24"/>
    </w:rPr>
  </w:style>
  <w:style w:type="paragraph" w:customStyle="1" w:styleId="182">
    <w:name w:val="Item List"/>
    <w:qFormat/>
    <w:uiPriority w:val="0"/>
    <w:pPr>
      <w:numPr>
        <w:ilvl w:val="0"/>
        <w:numId w:val="10"/>
      </w:numPr>
      <w:spacing w:line="300" w:lineRule="auto"/>
      <w:jc w:val="both"/>
    </w:pPr>
    <w:rPr>
      <w:rFonts w:ascii="Arial" w:hAnsi="Arial" w:eastAsia="宋体" w:cs="Times New Roman"/>
      <w:sz w:val="21"/>
      <w:lang w:val="en-US" w:eastAsia="zh-CN" w:bidi="ar-SA"/>
    </w:rPr>
  </w:style>
  <w:style w:type="paragraph" w:customStyle="1" w:styleId="183">
    <w:name w:val="Char"/>
    <w:basedOn w:val="1"/>
    <w:qFormat/>
    <w:uiPriority w:val="0"/>
    <w:pPr>
      <w:spacing w:line="240" w:lineRule="atLeast"/>
      <w:ind w:left="420" w:firstLine="420"/>
    </w:pPr>
    <w:rPr>
      <w:kern w:val="0"/>
      <w:sz w:val="21"/>
    </w:rPr>
  </w:style>
  <w:style w:type="paragraph" w:customStyle="1" w:styleId="184">
    <w:name w:val="_"/>
    <w:basedOn w:val="1"/>
    <w:qFormat/>
    <w:uiPriority w:val="0"/>
    <w:pPr>
      <w:adjustRightInd w:val="0"/>
      <w:spacing w:line="360" w:lineRule="auto"/>
      <w:ind w:left="480" w:firstLine="200" w:firstLineChars="200"/>
      <w:textAlignment w:val="baseline"/>
    </w:pPr>
    <w:rPr>
      <w:kern w:val="0"/>
      <w:sz w:val="24"/>
    </w:rPr>
  </w:style>
  <w:style w:type="paragraph" w:customStyle="1" w:styleId="185">
    <w:name w:val="Char1 Char Char Char"/>
    <w:basedOn w:val="1"/>
    <w:qFormat/>
    <w:uiPriority w:val="0"/>
    <w:rPr>
      <w:rFonts w:ascii="Tahoma" w:hAnsi="Tahoma"/>
      <w:sz w:val="30"/>
    </w:rPr>
  </w:style>
  <w:style w:type="paragraph" w:customStyle="1" w:styleId="186">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8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88">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8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90">
    <w:name w:val="IN Feature"/>
    <w:next w:val="191"/>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1">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92">
    <w:name w:val="首行缩进"/>
    <w:basedOn w:val="1"/>
    <w:qFormat/>
    <w:uiPriority w:val="0"/>
    <w:pPr>
      <w:numPr>
        <w:ilvl w:val="0"/>
        <w:numId w:val="11"/>
      </w:numPr>
      <w:spacing w:line="360" w:lineRule="auto"/>
    </w:pPr>
    <w:rPr>
      <w:rFonts w:eastAsia="FangSong_GB2312"/>
    </w:rPr>
  </w:style>
  <w:style w:type="paragraph" w:customStyle="1" w:styleId="193">
    <w:name w:val="正文字缩2字"/>
    <w:basedOn w:val="1"/>
    <w:qFormat/>
    <w:uiPriority w:val="0"/>
    <w:pPr>
      <w:spacing w:before="60" w:after="60" w:line="360" w:lineRule="auto"/>
      <w:ind w:left="200" w:leftChars="200" w:firstLine="200" w:firstLineChars="200"/>
    </w:pPr>
    <w:rPr>
      <w:sz w:val="24"/>
    </w:rPr>
  </w:style>
  <w:style w:type="paragraph" w:customStyle="1" w:styleId="194">
    <w:name w:val="表文字"/>
    <w:qFormat/>
    <w:uiPriority w:val="0"/>
    <w:rPr>
      <w:rFonts w:ascii="宋体" w:hAnsi="Times New Roman" w:eastAsia="宋体" w:cs="Times New Roman"/>
      <w:kern w:val="2"/>
      <w:lang w:val="en-US" w:eastAsia="zh-CN" w:bidi="ar-SA"/>
    </w:rPr>
  </w:style>
  <w:style w:type="paragraph" w:customStyle="1" w:styleId="195">
    <w:name w:val="正文文本缩进 21"/>
    <w:basedOn w:val="1"/>
    <w:qFormat/>
    <w:uiPriority w:val="0"/>
    <w:pPr>
      <w:adjustRightInd w:val="0"/>
      <w:spacing w:before="120"/>
      <w:ind w:firstLine="420"/>
      <w:textAlignment w:val="baseline"/>
    </w:pPr>
    <w:rPr>
      <w:sz w:val="24"/>
    </w:rPr>
  </w:style>
  <w:style w:type="paragraph" w:customStyle="1" w:styleId="196">
    <w:name w:val="标题无"/>
    <w:basedOn w:val="1"/>
    <w:qFormat/>
    <w:uiPriority w:val="0"/>
    <w:pPr>
      <w:spacing w:line="360" w:lineRule="auto"/>
    </w:pPr>
    <w:rPr>
      <w:sz w:val="24"/>
    </w:rPr>
  </w:style>
  <w:style w:type="paragraph" w:customStyle="1" w:styleId="197">
    <w:name w:val="简单回函地址"/>
    <w:basedOn w:val="1"/>
    <w:qFormat/>
    <w:uiPriority w:val="0"/>
    <w:pPr>
      <w:adjustRightInd w:val="0"/>
      <w:snapToGrid w:val="0"/>
      <w:spacing w:line="360" w:lineRule="auto"/>
    </w:pPr>
    <w:rPr>
      <w:sz w:val="24"/>
    </w:rPr>
  </w:style>
  <w:style w:type="paragraph" w:customStyle="1" w:styleId="198">
    <w:name w:val="正文（首行不缩进）"/>
    <w:basedOn w:val="1"/>
    <w:qFormat/>
    <w:uiPriority w:val="0"/>
    <w:pPr>
      <w:autoSpaceDE w:val="0"/>
      <w:autoSpaceDN w:val="0"/>
      <w:adjustRightInd w:val="0"/>
      <w:spacing w:line="360" w:lineRule="auto"/>
      <w:jc w:val="left"/>
    </w:pPr>
    <w:rPr>
      <w:kern w:val="0"/>
      <w:sz w:val="21"/>
    </w:rPr>
  </w:style>
  <w:style w:type="paragraph" w:customStyle="1" w:styleId="199">
    <w:name w:val="正文1"/>
    <w:basedOn w:val="1"/>
    <w:qFormat/>
    <w:uiPriority w:val="0"/>
    <w:pPr>
      <w:spacing w:line="300" w:lineRule="auto"/>
      <w:ind w:firstLine="200" w:firstLineChars="200"/>
    </w:pPr>
    <w:rPr>
      <w:sz w:val="24"/>
    </w:rPr>
  </w:style>
  <w:style w:type="paragraph" w:customStyle="1" w:styleId="200">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0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02">
    <w:name w:val="表头样式"/>
    <w:basedOn w:val="1"/>
    <w:qFormat/>
    <w:uiPriority w:val="0"/>
    <w:pPr>
      <w:autoSpaceDE w:val="0"/>
      <w:autoSpaceDN w:val="0"/>
      <w:adjustRightInd w:val="0"/>
      <w:spacing w:line="360" w:lineRule="auto"/>
      <w:jc w:val="left"/>
    </w:pPr>
    <w:rPr>
      <w:b/>
      <w:kern w:val="0"/>
      <w:sz w:val="21"/>
    </w:rPr>
  </w:style>
  <w:style w:type="paragraph" w:customStyle="1" w:styleId="20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04">
    <w:name w:val="样式 正文缩进正文（首行缩进两字）表正文正文非缩进特点标题4段1 + 首行缩进:  2 字符"/>
    <w:basedOn w:val="15"/>
    <w:qFormat/>
    <w:uiPriority w:val="0"/>
    <w:pPr>
      <w:ind w:firstLine="480" w:firstLineChars="200"/>
    </w:pPr>
  </w:style>
  <w:style w:type="paragraph" w:customStyle="1" w:styleId="205">
    <w:name w:val="图片文字"/>
    <w:basedOn w:val="1"/>
    <w:qFormat/>
    <w:uiPriority w:val="0"/>
    <w:pPr>
      <w:spacing w:line="240" w:lineRule="atLeast"/>
      <w:jc w:val="center"/>
    </w:pPr>
    <w:rPr>
      <w:sz w:val="21"/>
    </w:rPr>
  </w:style>
  <w:style w:type="paragraph" w:customStyle="1" w:styleId="206">
    <w:name w:val="1"/>
    <w:basedOn w:val="1"/>
    <w:next w:val="30"/>
    <w:qFormat/>
    <w:uiPriority w:val="0"/>
    <w:rPr>
      <w:rFonts w:ascii="宋体" w:hAnsi="Courier New"/>
      <w:sz w:val="21"/>
    </w:rPr>
  </w:style>
  <w:style w:type="paragraph" w:customStyle="1" w:styleId="207">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09">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10">
    <w:name w:val="附录3"/>
    <w:basedOn w:val="1"/>
    <w:next w:val="1"/>
    <w:qFormat/>
    <w:uiPriority w:val="0"/>
    <w:pPr>
      <w:tabs>
        <w:tab w:val="left" w:pos="851"/>
      </w:tabs>
      <w:ind w:left="425" w:hanging="425"/>
      <w:outlineLvl w:val="2"/>
    </w:pPr>
    <w:rPr>
      <w:rFonts w:eastAsia="黑体"/>
      <w:b/>
      <w:sz w:val="32"/>
    </w:rPr>
  </w:style>
  <w:style w:type="paragraph" w:customStyle="1" w:styleId="21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12">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13">
    <w:name w:val="首行缩进 1"/>
    <w:basedOn w:val="1"/>
    <w:qFormat/>
    <w:uiPriority w:val="0"/>
    <w:pPr>
      <w:spacing w:after="120" w:line="360" w:lineRule="auto"/>
      <w:ind w:firstLine="200" w:firstLineChars="200"/>
    </w:pPr>
    <w:rPr>
      <w:sz w:val="24"/>
    </w:rPr>
  </w:style>
  <w:style w:type="paragraph" w:customStyle="1" w:styleId="214">
    <w:name w:val="表头文本"/>
    <w:qFormat/>
    <w:uiPriority w:val="0"/>
    <w:pPr>
      <w:jc w:val="center"/>
    </w:pPr>
    <w:rPr>
      <w:rFonts w:ascii="Arial" w:hAnsi="Arial" w:eastAsia="宋体" w:cs="Times New Roman"/>
      <w:b/>
      <w:sz w:val="21"/>
      <w:lang w:val="en-US" w:eastAsia="zh-CN" w:bidi="ar-SA"/>
    </w:rPr>
  </w:style>
  <w:style w:type="paragraph" w:customStyle="1" w:styleId="215">
    <w:name w:val="Char Char Char"/>
    <w:basedOn w:val="1"/>
    <w:qFormat/>
    <w:uiPriority w:val="0"/>
    <w:rPr>
      <w:rFonts w:ascii="Tahoma" w:hAnsi="Tahoma"/>
      <w:sz w:val="24"/>
    </w:rPr>
  </w:style>
  <w:style w:type="paragraph" w:customStyle="1" w:styleId="216">
    <w:name w:val="Char11"/>
    <w:basedOn w:val="1"/>
    <w:qFormat/>
    <w:uiPriority w:val="0"/>
    <w:pPr>
      <w:spacing w:line="240" w:lineRule="atLeast"/>
      <w:ind w:left="420" w:firstLine="420"/>
    </w:pPr>
    <w:rPr>
      <w:kern w:val="0"/>
      <w:sz w:val="21"/>
    </w:rPr>
  </w:style>
  <w:style w:type="paragraph" w:customStyle="1" w:styleId="217">
    <w:name w:val="司法正文"/>
    <w:qFormat/>
    <w:uiPriority w:val="0"/>
    <w:pPr>
      <w:widowControl w:val="0"/>
      <w:ind w:firstLine="200" w:firstLineChars="200"/>
      <w:jc w:val="both"/>
    </w:pPr>
    <w:rPr>
      <w:rFonts w:ascii="Times New Roman" w:hAnsi="Times New Roman" w:eastAsia="FangSong_GB2312" w:cs="Times New Roman"/>
      <w:sz w:val="32"/>
      <w:lang w:val="en-US" w:eastAsia="zh-CN" w:bidi="ar-SA"/>
    </w:rPr>
  </w:style>
  <w:style w:type="paragraph" w:customStyle="1" w:styleId="218">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19">
    <w:name w:val="默认段落字体 Para Char Char Char Char Char Char Char"/>
    <w:basedOn w:val="1"/>
    <w:qFormat/>
    <w:uiPriority w:val="0"/>
    <w:rPr>
      <w:rFonts w:ascii="Tahoma" w:hAnsi="Tahoma"/>
      <w:sz w:val="24"/>
    </w:rPr>
  </w:style>
  <w:style w:type="paragraph" w:customStyle="1" w:styleId="220">
    <w:name w:val="正文表格"/>
    <w:basedOn w:val="1"/>
    <w:qFormat/>
    <w:uiPriority w:val="0"/>
    <w:pPr>
      <w:adjustRightInd w:val="0"/>
      <w:spacing w:before="40" w:after="40"/>
    </w:pPr>
    <w:rPr>
      <w:sz w:val="24"/>
    </w:rPr>
  </w:style>
  <w:style w:type="paragraph" w:customStyle="1" w:styleId="221">
    <w:name w:val="表格内文字"/>
    <w:basedOn w:val="30"/>
    <w:qFormat/>
    <w:uiPriority w:val="0"/>
    <w:pPr>
      <w:adjustRightInd w:val="0"/>
    </w:pPr>
    <w:rPr>
      <w:color w:val="000000"/>
      <w:lang w:val="en-GB"/>
    </w:rPr>
  </w:style>
  <w:style w:type="paragraph" w:customStyle="1" w:styleId="222">
    <w:name w:val="样式1xz"/>
    <w:basedOn w:val="1"/>
    <w:qFormat/>
    <w:uiPriority w:val="0"/>
    <w:pPr>
      <w:tabs>
        <w:tab w:val="left" w:pos="1050"/>
        <w:tab w:val="right" w:leader="dot" w:pos="8296"/>
      </w:tabs>
    </w:pPr>
    <w:rPr>
      <w:caps/>
      <w:spacing w:val="20"/>
      <w:sz w:val="24"/>
    </w:rPr>
  </w:style>
  <w:style w:type="paragraph" w:customStyle="1" w:styleId="223">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24">
    <w:name w:val="Char1"/>
    <w:basedOn w:val="1"/>
    <w:qFormat/>
    <w:uiPriority w:val="0"/>
    <w:rPr>
      <w:sz w:val="21"/>
    </w:rPr>
  </w:style>
  <w:style w:type="paragraph" w:customStyle="1" w:styleId="225">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6">
    <w:name w:val="Note"/>
    <w:basedOn w:val="1"/>
    <w:qFormat/>
    <w:uiPriority w:val="0"/>
    <w:pPr>
      <w:pBdr>
        <w:top w:val="single" w:color="auto" w:sz="12" w:space="3"/>
        <w:bottom w:val="single" w:color="auto" w:sz="12" w:space="3"/>
      </w:pBdr>
      <w:spacing w:line="360" w:lineRule="auto"/>
    </w:pPr>
    <w:rPr>
      <w:sz w:val="24"/>
    </w:rPr>
  </w:style>
  <w:style w:type="paragraph" w:customStyle="1" w:styleId="227">
    <w:name w:val="af"/>
    <w:basedOn w:val="1"/>
    <w:qFormat/>
    <w:uiPriority w:val="0"/>
    <w:pPr>
      <w:widowControl/>
      <w:spacing w:line="300" w:lineRule="atLeast"/>
      <w:jc w:val="left"/>
    </w:pPr>
    <w:rPr>
      <w:rFonts w:ascii="宋体" w:hAnsi="宋体"/>
      <w:kern w:val="0"/>
      <w:sz w:val="18"/>
    </w:rPr>
  </w:style>
  <w:style w:type="paragraph" w:customStyle="1" w:styleId="228">
    <w:name w:val="Char Char Char Char Char Char Char Char Char Char Char Char Char Char Char Char"/>
    <w:basedOn w:val="1"/>
    <w:qFormat/>
    <w:uiPriority w:val="0"/>
    <w:pPr>
      <w:tabs>
        <w:tab w:val="left" w:pos="360"/>
      </w:tabs>
    </w:pPr>
    <w:rPr>
      <w:sz w:val="24"/>
    </w:rPr>
  </w:style>
  <w:style w:type="paragraph" w:customStyle="1" w:styleId="229">
    <w:name w:val="没有缩进（为图形使用）"/>
    <w:basedOn w:val="1"/>
    <w:qFormat/>
    <w:uiPriority w:val="0"/>
    <w:pPr>
      <w:spacing w:before="120" w:after="120" w:line="360" w:lineRule="auto"/>
    </w:pPr>
    <w:rPr>
      <w:sz w:val="24"/>
    </w:rPr>
  </w:style>
  <w:style w:type="paragraph" w:customStyle="1" w:styleId="230">
    <w:name w:val="样式 宋体 五号 行距: 单倍行距"/>
    <w:basedOn w:val="1"/>
    <w:qFormat/>
    <w:uiPriority w:val="0"/>
    <w:pPr>
      <w:adjustRightInd w:val="0"/>
      <w:jc w:val="left"/>
    </w:pPr>
    <w:rPr>
      <w:rFonts w:ascii="宋体" w:hAnsi="宋体"/>
      <w:kern w:val="0"/>
      <w:sz w:val="21"/>
    </w:rPr>
  </w:style>
  <w:style w:type="paragraph" w:customStyle="1" w:styleId="231">
    <w:name w:val="操作步骤"/>
    <w:basedOn w:val="1"/>
    <w:qFormat/>
    <w:uiPriority w:val="0"/>
    <w:pPr>
      <w:numPr>
        <w:ilvl w:val="0"/>
        <w:numId w:val="12"/>
      </w:numPr>
      <w:autoSpaceDE w:val="0"/>
      <w:autoSpaceDN w:val="0"/>
      <w:adjustRightInd w:val="0"/>
      <w:snapToGrid w:val="0"/>
      <w:spacing w:line="40" w:lineRule="atLeast"/>
      <w:textAlignment w:val="bottom"/>
    </w:pPr>
    <w:rPr>
      <w:rFonts w:ascii="昆仑楷体" w:eastAsia="KaiTi_GB2312"/>
      <w:kern w:val="0"/>
      <w:sz w:val="21"/>
    </w:rPr>
  </w:style>
  <w:style w:type="paragraph" w:customStyle="1" w:styleId="23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3">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34">
    <w:name w:val="图例"/>
    <w:basedOn w:val="1"/>
    <w:qFormat/>
    <w:uiPriority w:val="0"/>
    <w:pPr>
      <w:spacing w:before="120" w:after="120" w:line="360" w:lineRule="auto"/>
      <w:jc w:val="center"/>
    </w:pPr>
    <w:rPr>
      <w:rFonts w:eastAsia="FangSong_GB2312"/>
      <w:b/>
      <w:sz w:val="24"/>
    </w:rPr>
  </w:style>
  <w:style w:type="paragraph" w:customStyle="1" w:styleId="235">
    <w:name w:val="Char1 Char Char Char1"/>
    <w:basedOn w:val="1"/>
    <w:qFormat/>
    <w:uiPriority w:val="0"/>
    <w:rPr>
      <w:rFonts w:ascii="Tahoma" w:hAnsi="Tahoma"/>
      <w:sz w:val="24"/>
    </w:rPr>
  </w:style>
  <w:style w:type="paragraph" w:customStyle="1" w:styleId="236">
    <w:name w:val="样式 宋体 五号 两端对齐 行距: 单倍行距"/>
    <w:basedOn w:val="1"/>
    <w:qFormat/>
    <w:uiPriority w:val="0"/>
    <w:pPr>
      <w:adjustRightInd w:val="0"/>
      <w:textAlignment w:val="baseline"/>
    </w:pPr>
    <w:rPr>
      <w:rFonts w:ascii="宋体" w:hAnsi="宋体"/>
      <w:kern w:val="0"/>
      <w:sz w:val="21"/>
    </w:rPr>
  </w:style>
  <w:style w:type="paragraph" w:styleId="237">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59</Pages>
  <Words>23990</Words>
  <Characters>24702</Characters>
  <Lines>213</Lines>
  <Paragraphs>60</Paragraphs>
  <TotalTime>72</TotalTime>
  <ScaleCrop>false</ScaleCrop>
  <LinksUpToDate>false</LinksUpToDate>
  <CharactersWithSpaces>26348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2023-10-18T07:07:00Z</dcterms:created>
  <dc:creator>周媛媛</dc:creator>
  <cp:lastModifiedBy>奥利佛</cp:lastModifiedBy>
  <cp:lastPrinted>2023-10-31T08:32:32Z</cp:lastPrinted>
  <dcterms:modified xsi:type="dcterms:W3CDTF">2023-10-31T08:32:41Z</dcterms:modified>
  <dc:title>竞争性谈判文件</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83660266793142988E5FB741B9375C7F_13</vt:lpwstr>
  </property>
</Properties>
</file>