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1"/>
        <w:rPr>
          <w:rFonts w:hint="eastAsia" w:ascii="Times New Roman" w:hAnsi="Times New Roman" w:eastAsia="方正小标宋_GBK" w:cs="Times New Roman"/>
          <w:b/>
          <w:sz w:val="32"/>
          <w:szCs w:val="32"/>
        </w:rPr>
      </w:pPr>
      <w:r>
        <w:rPr>
          <w:rFonts w:ascii="Times New Roman" w:hAnsi="Times New Roman" w:eastAsia="方正小标宋_GBK" w:cs="Times New Roman"/>
          <w:b/>
          <w:sz w:val="32"/>
          <w:szCs w:val="32"/>
        </w:rPr>
        <w:t>重庆医科大学</w:t>
      </w:r>
      <w:r>
        <w:rPr>
          <w:rFonts w:hint="eastAsia" w:ascii="Times New Roman" w:hAnsi="Times New Roman" w:eastAsia="方正小标宋_GBK" w:cs="Times New Roman"/>
          <w:b/>
          <w:sz w:val="32"/>
          <w:szCs w:val="32"/>
        </w:rPr>
        <w:t>中医药学院科研平台2023年常规设备采购</w:t>
      </w:r>
    </w:p>
    <w:p>
      <w:pPr>
        <w:jc w:val="center"/>
        <w:outlineLvl w:val="1"/>
        <w:rPr>
          <w:rFonts w:ascii="Times New Roman" w:hAnsi="Times New Roman" w:eastAsia="方正小标宋_GBK" w:cs="Times New Roman"/>
          <w:b/>
          <w:sz w:val="32"/>
          <w:szCs w:val="32"/>
        </w:rPr>
      </w:pPr>
      <w:r>
        <w:rPr>
          <w:rFonts w:ascii="Times New Roman" w:hAnsi="Times New Roman" w:eastAsia="方正小标宋_GBK" w:cs="Times New Roman"/>
          <w:b/>
          <w:sz w:val="32"/>
          <w:szCs w:val="32"/>
        </w:rPr>
        <w:t>询价文件</w:t>
      </w:r>
    </w:p>
    <w:p>
      <w:pPr>
        <w:outlineLvl w:val="1"/>
        <w:rPr>
          <w:rFonts w:ascii="Times New Roman" w:hAnsi="Times New Roman" w:cs="Times New Roman"/>
          <w:b/>
          <w:snapToGrid w:val="0"/>
          <w:kern w:val="0"/>
          <w:sz w:val="28"/>
          <w:szCs w:val="28"/>
        </w:rPr>
      </w:pPr>
      <w:r>
        <w:rPr>
          <w:rFonts w:ascii="Times New Roman" w:hAnsi="Times New Roman" w:cs="Times New Roman"/>
          <w:b/>
          <w:snapToGrid w:val="0"/>
          <w:kern w:val="0"/>
          <w:sz w:val="28"/>
          <w:szCs w:val="28"/>
        </w:rPr>
        <w:t>一、项目说明</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（一）本项目为政府采购限额以下自主采购项目，根据《中华人民共和国政府采购法》第二条及重庆市财政局关于印发《重庆市政府集中采购目录及采购限额标准》的通知（渝财规〔2020〕14 号）第三条要求，本项目不适用《中华人民共和国政府采购法》及其实施条例的有关规定。</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二）本项目根据重庆医科大学内控制度及《重庆医科大学采购管理办法》，参照政府采购的网上询价方式进行采购，在遵守公开、公平、公正、高效廉洁的原则下，以保障学校科研及教学高质量为前提，合理设置采购需求，同步做好预算、合同、资产、支付等内控管理工作。</w:t>
      </w:r>
    </w:p>
    <w:p>
      <w:pPr>
        <w:spacing w:line="440" w:lineRule="exact"/>
        <w:ind w:firstLine="480" w:firstLineChars="200"/>
        <w:rPr>
          <w:rFonts w:ascii="Times New Roman" w:hAnsi="Times New Roman" w:cs="Times New Roman"/>
          <w:color w:val="000000"/>
          <w:sz w:val="24"/>
          <w:szCs w:val="24"/>
        </w:rPr>
      </w:pPr>
      <w:r>
        <w:rPr>
          <w:rFonts w:ascii="Times New Roman" w:hAnsi="Times New Roman" w:cs="Times New Roman"/>
          <w:color w:val="000000"/>
          <w:sz w:val="24"/>
          <w:szCs w:val="24"/>
        </w:rPr>
        <w:t>（三）本项目要求设备采购带安装调试，必须满足所有参数及使用要求，欢迎有符合要求的供应商参与投标。</w:t>
      </w:r>
    </w:p>
    <w:p>
      <w:pPr>
        <w:numPr>
          <w:ilvl w:val="0"/>
          <w:numId w:val="1"/>
        </w:numPr>
        <w:spacing w:line="360" w:lineRule="auto"/>
        <w:outlineLvl w:val="1"/>
        <w:rPr>
          <w:rFonts w:ascii="Times New Roman" w:hAnsi="Times New Roman" w:eastAsia="宋体" w:cs="Times New Roman"/>
          <w:b/>
          <w:snapToGrid w:val="0"/>
          <w:kern w:val="0"/>
          <w:sz w:val="28"/>
          <w:szCs w:val="28"/>
        </w:rPr>
      </w:pPr>
      <w:r>
        <w:rPr>
          <w:rFonts w:ascii="Times New Roman" w:hAnsi="Times New Roman" w:eastAsia="宋体" w:cs="Times New Roman"/>
          <w:b/>
          <w:snapToGrid w:val="0"/>
          <w:kern w:val="0"/>
          <w:sz w:val="28"/>
          <w:szCs w:val="28"/>
        </w:rPr>
        <w:t>采购清单及技术要求</w:t>
      </w:r>
    </w:p>
    <w:p>
      <w:pPr>
        <w:widowControl/>
        <w:shd w:val="clear" w:color="auto" w:fill="FFFFFF"/>
        <w:spacing w:line="420" w:lineRule="atLeast"/>
        <w:ind w:firstLine="480" w:firstLineChars="200"/>
        <w:rPr>
          <w:rFonts w:ascii="Times New Roman" w:hAnsi="Times New Roman" w:eastAsia="宋体" w:cs="Times New Roman"/>
          <w:color w:val="FF0000"/>
          <w:kern w:val="0"/>
          <w:sz w:val="24"/>
          <w:szCs w:val="24"/>
          <w:highlight w:val="yellow"/>
        </w:rPr>
      </w:pPr>
      <w:r>
        <w:rPr>
          <w:rFonts w:ascii="Times New Roman" w:hAnsi="Times New Roman" w:eastAsia="宋体" w:cs="Times New Roman"/>
          <w:color w:val="000000" w:themeColor="text1"/>
          <w:kern w:val="0"/>
          <w:sz w:val="24"/>
          <w:szCs w:val="24"/>
          <w14:textFill>
            <w14:solidFill>
              <w14:schemeClr w14:val="tx1"/>
            </w14:solidFill>
          </w14:textFill>
        </w:rPr>
        <w:t>1、项目内容</w:t>
      </w:r>
    </w:p>
    <w:tbl>
      <w:tblPr>
        <w:tblStyle w:val="8"/>
        <w:tblW w:w="8520" w:type="dxa"/>
        <w:jc w:val="center"/>
        <w:tblLayout w:type="autofit"/>
        <w:tblCellMar>
          <w:top w:w="0" w:type="dxa"/>
          <w:left w:w="108" w:type="dxa"/>
          <w:bottom w:w="0" w:type="dxa"/>
          <w:right w:w="108" w:type="dxa"/>
        </w:tblCellMar>
      </w:tblPr>
      <w:tblGrid>
        <w:gridCol w:w="641"/>
        <w:gridCol w:w="1674"/>
        <w:gridCol w:w="1851"/>
        <w:gridCol w:w="2177"/>
        <w:gridCol w:w="2177"/>
      </w:tblGrid>
      <w:tr>
        <w:tblPrEx>
          <w:tblCellMar>
            <w:top w:w="0" w:type="dxa"/>
            <w:left w:w="108" w:type="dxa"/>
            <w:bottom w:w="0" w:type="dxa"/>
            <w:right w:w="108" w:type="dxa"/>
          </w:tblCellMar>
        </w:tblPrEx>
        <w:trPr>
          <w:trHeight w:val="60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序号</w:t>
            </w:r>
          </w:p>
        </w:tc>
        <w:tc>
          <w:tcPr>
            <w:tcW w:w="16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名称</w:t>
            </w:r>
          </w:p>
        </w:tc>
        <w:tc>
          <w:tcPr>
            <w:tcW w:w="1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数量</w:t>
            </w:r>
          </w:p>
        </w:tc>
        <w:tc>
          <w:tcPr>
            <w:tcW w:w="21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单位</w:t>
            </w:r>
          </w:p>
        </w:tc>
        <w:tc>
          <w:tcPr>
            <w:tcW w:w="2177"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eastAsiaTheme="minorEastAsia"/>
                <w:lang w:val="en-US" w:eastAsia="zh-CN"/>
              </w:rPr>
            </w:pPr>
            <w:r>
              <w:rPr>
                <w:rFonts w:hint="eastAsia"/>
                <w:lang w:val="en-US" w:eastAsia="zh-CN"/>
              </w:rPr>
              <w:t>最高限价</w:t>
            </w: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四板垂直电泳槽+转膜电泳槽</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default" w:cs="宋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en-US" w:eastAsia="zh-CN"/>
              </w:rPr>
              <w:t>套</w:t>
            </w:r>
          </w:p>
        </w:tc>
        <w:tc>
          <w:tcPr>
            <w:tcW w:w="2177" w:type="dxa"/>
            <w:vMerge w:val="restart"/>
            <w:tcBorders>
              <w:top w:val="nil"/>
              <w:left w:val="nil"/>
              <w:right w:val="single" w:color="auto" w:sz="4" w:space="0"/>
            </w:tcBorders>
            <w:shd w:val="clear" w:color="auto" w:fill="auto"/>
            <w:vAlign w:val="center"/>
          </w:tcPr>
          <w:p>
            <w:pPr>
              <w:jc w:val="center"/>
            </w:pPr>
            <w:r>
              <w:rPr>
                <w:rFonts w:hint="eastAsia" w:cs="宋体" w:asciiTheme="minorEastAsia" w:hAnsiTheme="minorEastAsia"/>
                <w:color w:val="000000"/>
                <w:kern w:val="0"/>
                <w:sz w:val="24"/>
                <w:szCs w:val="24"/>
                <w:lang w:val="en-US" w:eastAsia="zh-CN"/>
              </w:rPr>
              <w:t>98000元</w:t>
            </w: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超净台</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套</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598"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电子分析天平</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废液收集器</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套</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二氧化碳培养箱</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水浴锅</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双开门冰箱</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微孔板离心机</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9</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涡旋混匀器</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10</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基础型电源</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套</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11</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摇床</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12</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移液器</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套</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13</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数显圆周摇床</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r>
              <w:rPr>
                <w:rFonts w:hint="eastAsia" w:cs="宋体" w:asciiTheme="minorEastAsia" w:hAnsiTheme="minorEastAsia"/>
                <w:color w:val="000000"/>
                <w:kern w:val="0"/>
                <w:sz w:val="24"/>
                <w:szCs w:val="24"/>
                <w:lang w:val="en-US" w:eastAsia="zh-CN"/>
              </w:rPr>
              <w:t>台</w:t>
            </w:r>
          </w:p>
        </w:tc>
        <w:tc>
          <w:tcPr>
            <w:tcW w:w="2177" w:type="dxa"/>
            <w:vMerge w:val="continue"/>
            <w:tcBorders>
              <w:left w:val="nil"/>
              <w:right w:val="single" w:color="auto" w:sz="4" w:space="0"/>
            </w:tcBorders>
            <w:shd w:val="clear" w:color="auto" w:fill="auto"/>
            <w:vAlign w:val="center"/>
          </w:tcPr>
          <w:p/>
        </w:tc>
      </w:tr>
      <w:tr>
        <w:tblPrEx>
          <w:tblCellMar>
            <w:top w:w="0" w:type="dxa"/>
            <w:left w:w="108" w:type="dxa"/>
            <w:bottom w:w="0" w:type="dxa"/>
            <w:right w:w="108" w:type="dxa"/>
          </w:tblCellMar>
        </w:tblPrEx>
        <w:trPr>
          <w:trHeight w:val="600" w:hRule="atLeast"/>
          <w:jc w:val="center"/>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14</w:t>
            </w:r>
          </w:p>
        </w:tc>
        <w:tc>
          <w:tcPr>
            <w:tcW w:w="167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掌上离心机</w:t>
            </w:r>
          </w:p>
        </w:tc>
        <w:tc>
          <w:tcPr>
            <w:tcW w:w="185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w:t>
            </w:r>
          </w:p>
        </w:tc>
        <w:tc>
          <w:tcPr>
            <w:tcW w:w="2177" w:type="dxa"/>
            <w:tcBorders>
              <w:top w:val="nil"/>
              <w:left w:val="nil"/>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color w:val="000000"/>
                <w:kern w:val="0"/>
                <w:sz w:val="24"/>
                <w:szCs w:val="24"/>
              </w:rPr>
            </w:pPr>
            <w:bookmarkStart w:id="0" w:name="_GoBack"/>
            <w:r>
              <w:rPr>
                <w:rFonts w:hint="eastAsia" w:cs="宋体" w:asciiTheme="minorEastAsia" w:hAnsiTheme="minorEastAsia"/>
                <w:color w:val="000000"/>
                <w:kern w:val="0"/>
                <w:sz w:val="24"/>
                <w:szCs w:val="24"/>
                <w:lang w:val="en-US" w:eastAsia="zh-CN"/>
              </w:rPr>
              <w:t>台</w:t>
            </w:r>
            <w:bookmarkEnd w:id="0"/>
          </w:p>
        </w:tc>
        <w:tc>
          <w:tcPr>
            <w:tcW w:w="2177" w:type="dxa"/>
            <w:vMerge w:val="continue"/>
            <w:tcBorders>
              <w:left w:val="nil"/>
              <w:bottom w:val="single" w:color="auto" w:sz="4" w:space="0"/>
              <w:right w:val="single" w:color="auto" w:sz="4" w:space="0"/>
            </w:tcBorders>
            <w:shd w:val="clear" w:color="auto" w:fill="auto"/>
            <w:vAlign w:val="center"/>
          </w:tcPr>
          <w:p/>
        </w:tc>
      </w:tr>
    </w:tbl>
    <w:p>
      <w:pPr>
        <w:widowControl/>
        <w:shd w:val="clear" w:color="auto" w:fill="FFFFFF"/>
        <w:spacing w:line="420" w:lineRule="atLeast"/>
        <w:rPr>
          <w:rFonts w:ascii="Times New Roman" w:hAnsi="Times New Roman" w:eastAsia="宋体" w:cs="Times New Roman"/>
          <w:color w:val="000000" w:themeColor="text1"/>
          <w:kern w:val="0"/>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widowControl/>
        <w:shd w:val="clear" w:color="auto" w:fill="FFFFFF"/>
        <w:spacing w:line="420" w:lineRule="atLeas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2、技术参数要求</w:t>
      </w:r>
    </w:p>
    <w:tbl>
      <w:tblPr>
        <w:tblStyle w:val="8"/>
        <w:tblpPr w:leftFromText="180" w:rightFromText="180" w:vertAnchor="text" w:horzAnchor="page" w:tblpX="1332" w:tblpY="422"/>
        <w:tblOverlap w:val="never"/>
        <w:tblW w:w="9464" w:type="dxa"/>
        <w:jc w:val="center"/>
        <w:tblLayout w:type="autofit"/>
        <w:tblCellMar>
          <w:top w:w="15" w:type="dxa"/>
          <w:left w:w="15" w:type="dxa"/>
          <w:bottom w:w="15" w:type="dxa"/>
          <w:right w:w="15" w:type="dxa"/>
        </w:tblCellMar>
      </w:tblPr>
      <w:tblGrid>
        <w:gridCol w:w="1570"/>
        <w:gridCol w:w="7894"/>
      </w:tblGrid>
      <w:tr>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名 称</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cs="Times New Roman" w:asciiTheme="minorEastAsia" w:hAnsiTheme="minorEastAsia"/>
                <w:color w:val="000000" w:themeColor="text1"/>
                <w:kern w:val="0"/>
                <w:sz w:val="24"/>
                <w:szCs w:val="24"/>
                <w14:textFill>
                  <w14:solidFill>
                    <w14:schemeClr w14:val="tx1"/>
                  </w14:solidFill>
                </w14:textFill>
              </w:rPr>
              <w:t>参数</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四板垂直电泳槽+转膜电泳槽</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小型垂直电泳槽技术参数：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1、电泳槽可同时进行1-4块凝胶电泳</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2、胶面积：8.3X7.3cm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3、凝胶厚度选择：0.75mm，1mm，1.5mm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4、2块胶缓冲液总体积：700ml</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5、4块胶缓冲液总体积：：1000ml</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6、长玻璃板具有永久固定的封边垫条</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7、灌胶架上的弹簧杠杆可再橡胶衬垫上形成良好的密封性，无需用琼脂糖密封</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8、电泳槽为注塑一次成形</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9、具有上样引导装置</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小型湿法转印槽技术参数：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1、1小时内可同时转印2块7.5×10cm凝胶</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2、电极丝相距4cm，以产生强电场保证有效的蛋白转印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3、颜色标记的转印夹和电极，确保转印过程凝胶的方向正确</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4、内置冷却装置，快速吸收转移过程中产生的热量</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5、可与垂直电泳槽的缓冲液槽和盖兼容</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二、配置要求：</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1、小型垂直电泳槽1套，配置包括：缓冲液槽1个，带电源线的盖子，电极芯，固夹框和缓冲液挡板；玻板1盒内外玻板各5块( 厚度1mm)，封边垫条厚度1mm；10孔梳子五把( 厚度1mm)；灌胶架两个，含4个软橡胶密封衬垫；制胶框；上样引导装置1个</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2、小型湿法转印模块1套，小型湿法转印模块可快速、高质量地转印小型凝胶，配置包括：凝胶支架转印夹2个，电转印模块1个，冷却装置1个，纤维垫4块</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超净台</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1.产品类型：双人单面洁净工作台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2.气流模式：垂直层流</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3.外形长度：≤1370mm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4.工作区长度：≥1300mm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5.工作台面高度：770±10mm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6.工作区洁净度：100级</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7.操作台面平均菌落数≤0.5CFU（皿/0.5h）</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8.工作区风速：0.2-0.5m/s三挡可调</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9.工作区内部照度：≥600LX</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10.噪声：≤60分贝</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11.采用知名品牌防潮、阻燃玻璃纤维高效过滤器（HEAP）</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12.具有初效预过滤器，不使用工具即可更换，有效延长高效过滤器寿命</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13.前窗钢化玻璃材质，厚度≥6mm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14.工作台面选用304不锈钢材质，外缘凸起设计，防止液体倾洒时溢出</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15.内嵌式照明，眼睛不疲劳：采用内嵌式照明，避免日光灯对眼睛照射，眼睛不疲劳</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16.2个电源插座，具有防溅功能，防水防尘等级不低于IP44</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17.</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三位互锁，紫外灯与照明灯、前窗三位互锁功能，屏蔽误操作风险</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18.</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具有联动功能，开门后自动开启荧光灯，方便实验准备工作；关门后风机自动关闭，防止风机空转不对外做功而产生过热现象</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19.</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紫外杀菌延时启动，远离紫外线伤害：紫外灯开关按下后，声光提醒操作者及时离开，延时10秒钟后紫外灯点亮，保护操作者免受紫外照射伤害</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20.</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可预设紫外灯自动点亮时间，方便班前班后自动消毒</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21.</w:t>
            </w:r>
            <w:r>
              <w:rPr>
                <w:rFonts w:cs="Times New Roman" w:asciiTheme="minorEastAsia" w:hAnsiTheme="minorEastAsia"/>
                <w:color w:val="000000" w:themeColor="text1"/>
                <w:kern w:val="0"/>
                <w:sz w:val="24"/>
                <w:szCs w:val="24"/>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紫外灯延时启动时间、杀菌时间长短、预约启动时间、风机档位等可按用户使用习惯自行设置；设置完成后，微电脑自动记忆用户使用习惯，方便用户使用</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22.电控元件全部布置在正面面板内，与人体视线等高，使用简单的常规工具即可开启，维修保养时无需移动设备</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23.底座设有4个万向脚轮和固定底脚，方便移动和定位</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t>4.</w:t>
            </w:r>
            <w:r>
              <w:rPr>
                <w:rFonts w:hint="eastAsia" w:cs="Times New Roman" w:asciiTheme="minorEastAsia" w:hAnsiTheme="minorEastAsia"/>
                <w:color w:val="000000" w:themeColor="text1"/>
                <w:kern w:val="0"/>
                <w:sz w:val="24"/>
                <w:szCs w:val="24"/>
                <w14:textFill>
                  <w14:solidFill>
                    <w14:schemeClr w14:val="tx1"/>
                  </w14:solidFill>
                </w14:textFill>
              </w:rPr>
              <w:t>提供生产厂家盖具鲜章的针对该项目叁年质保承诺</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电子分析天平</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 全彩大屏幕：大屏幕真彩TFT液晶显示器</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全屏触摸：符合实验室工作习惯的触摸解决方案，即使戴多双手套也可精确操作。</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用户界面：应用双Metro配色方案</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 用户操作：丰富的操作信息提示，帮助用户更高效的完成工作流程</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 内置程序：标配的便于使用的内置应用程序</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 显示屏防护罩：提供额外的防尘和防划保护</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 玻璃门运输保护锁：有效的提供天平的运输保护。</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 全自动内校砝码标定功能：无需打开机壳直接进行内部砝码的周期检定和校准。</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 全铝制底座设计</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 实际分度值：0.0001g</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 最大称量范围：≥220g</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12. 重复性（≤）：±0.0001g</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13. 最大允许误差（≤）：±0.0002g</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14. 类型：内部自动校准</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15. 天平的外形尺寸：≤365×223×338mm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16. 秤盘尺寸：Ф90mm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17. 风罩有效容积：≥160×165×200mm</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废液收集器</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1.类型：负压抽气</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2.控制方式：数显旋钮</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3.抽气速率：6L/Min</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4.调速档位：9</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5.极限真空度：0.06Mpa</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6.吸液瓶直径：93mm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7.功率：10W</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8.净重：780g"</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二氧化碳培养箱</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1、容积≥16</w:t>
            </w:r>
            <w:r>
              <w:rPr>
                <w:rFonts w:cs="Times New Roman" w:asciiTheme="minorEastAsia" w:hAnsiTheme="minorEastAsia"/>
                <w:color w:val="000000" w:themeColor="text1"/>
                <w:kern w:val="0"/>
                <w:sz w:val="24"/>
                <w:szCs w:val="24"/>
                <w14:textFill>
                  <w14:solidFill>
                    <w14:schemeClr w14:val="tx1"/>
                  </w14:solidFill>
                </w14:textFill>
              </w:rPr>
              <w:t>0</w:t>
            </w:r>
            <w:r>
              <w:rPr>
                <w:rFonts w:hint="eastAsia" w:cs="Times New Roman" w:asciiTheme="minorEastAsia" w:hAnsiTheme="minorEastAsia"/>
                <w:color w:val="000000" w:themeColor="text1"/>
                <w:kern w:val="0"/>
                <w:sz w:val="24"/>
                <w:szCs w:val="24"/>
                <w14:textFill>
                  <w14:solidFill>
                    <w14:schemeClr w14:val="tx1"/>
                  </w14:solidFill>
                </w14:textFill>
              </w:rPr>
              <w:t>L</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2、液晶屏显示，屏幕≥</w:t>
            </w:r>
            <w:r>
              <w:rPr>
                <w:rFonts w:cs="Times New Roman" w:asciiTheme="minorEastAsia" w:hAnsiTheme="minorEastAsia"/>
                <w:color w:val="000000" w:themeColor="text1"/>
                <w:kern w:val="0"/>
                <w:sz w:val="24"/>
                <w:szCs w:val="24"/>
                <w14:textFill>
                  <w14:solidFill>
                    <w14:schemeClr w14:val="tx1"/>
                  </w14:solidFill>
                </w14:textFill>
              </w:rPr>
              <w:t>6.5</w:t>
            </w:r>
            <w:r>
              <w:rPr>
                <w:rFonts w:hint="eastAsia" w:cs="Times New Roman" w:asciiTheme="minorEastAsia" w:hAnsiTheme="minorEastAsia"/>
                <w:color w:val="000000" w:themeColor="text1"/>
                <w:kern w:val="0"/>
                <w:sz w:val="24"/>
                <w:szCs w:val="24"/>
                <w14:textFill>
                  <w14:solidFill>
                    <w14:schemeClr w14:val="tx1"/>
                  </w14:solidFill>
                </w14:textFill>
              </w:rPr>
              <w:t>寸，方便观察及操作</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3、温度控制范围，室温+3℃~55℃，温度均匀性±0.3℃，温度波动±0.1℃</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4、环温22℃，开门30S，关门后温度恢复至设定温度≤4分钟</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5、CO2浓度范围，0~20%，控制精度±0.1%</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6、*环温22℃，开门30S，关门后CO2浓度恢复至设定温度≤4分钟</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7、*进口品牌高精度红外传感器（IR）,耐高温，180℃灭菌无需拆卸</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8、*灭菌功能，原位180℃高温干热灭菌，一键灭菌方便操作</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9、门密封条及内部所有部件无需拆卸，180℃高温灭菌，彻底消除污染，避免二次污染</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10、*不锈钢304内胆，一体式冲压成型，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11、排水方便，箱体前部带有排水孔</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12、具有多种故障报警，超温报警，温高温低报警、CO2浓度超标报警、缺水报警、门开报警</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13、具备超温保护功能</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14、*具有三种以上报警方式，声音蜂鸣报警、屏幕闪烁报警、APP推送报警</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15、电脑版配置大容量存储空间，实时存储培养箱箱内设定温度、实际温度、高、低报警温度、CO2设定浓度、实际浓度、高、低报警浓度，数据可永久保存，且可通过USB数据接口端口导出全部数据，实现数据的可追溯性</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16、选配RS485、4-20mA数据接口，可实现多台组网，并能够与计算机连接，实现数据通讯</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17、*产品配置2根PT1000高精度传感器，独立监控，相互控制</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18、*具有留言/记事本功能，方便多用户共用一台培养箱时，相互之间留言，以及自己创建记事本，备忘，可实现无纸办公</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19、*具有数据上传/下载功能，可以通过USB接口和网络上传和下载箱内设置、温度、CO2浓度、报警记录以及事件记录等</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20、*具有参数自动配置功能，可通过USB接口或网络上传和下载配置文件，将一台培养箱的设置参数和数据等信息复制到其它培养箱</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21、具有事件记录功能，产品能够记录开门事件、密码修改、设置修改、账户登录等信息，且所有记录信息能够下载到电脑上，实现数据分析存档</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22、产品可叠放、可选左或右开门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23、配置3.5 cm 测试孔</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24、配置远程报警接口，报警内容包括：断电，温度波动，CO2，等内容，用户可自定义报警限度</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25、配置物联模块，可通过手机、电脑、移动终端查询产品运行状况，报警等 </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26、.*配物联模块（与现有的超低温冰箱、二氧化碳培养箱等共用一个 APP）：通过手机、电脑查询设备行状况、异常报警等远程查看，及时接受设备的报警信息；</w:t>
            </w:r>
          </w:p>
          <w:p>
            <w:pPr>
              <w:widowControl/>
              <w:spacing w:line="420" w:lineRule="atLeast"/>
              <w:ind w:firstLine="45"/>
              <w:jc w:val="left"/>
              <w:rPr>
                <w:rFonts w:hint="eastAsia" w:cs="Calibri"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w:t>
            </w:r>
            <w:r>
              <w:rPr>
                <w:rFonts w:cs="Times New Roman" w:asciiTheme="minorEastAsia" w:hAnsiTheme="minorEastAsia"/>
                <w:color w:val="000000" w:themeColor="text1"/>
                <w:kern w:val="0"/>
                <w:sz w:val="24"/>
                <w:szCs w:val="24"/>
                <w14:textFill>
                  <w14:solidFill>
                    <w14:schemeClr w14:val="tx1"/>
                  </w14:solidFill>
                </w14:textFill>
              </w:rPr>
              <w:t>7</w:t>
            </w:r>
            <w:r>
              <w:rPr>
                <w:rFonts w:hint="eastAsia" w:cs="Times New Roman" w:asciiTheme="minorEastAsia" w:hAnsiTheme="minorEastAsia"/>
                <w:color w:val="000000" w:themeColor="text1"/>
                <w:kern w:val="0"/>
                <w:sz w:val="24"/>
                <w:szCs w:val="24"/>
                <w14:textFill>
                  <w14:solidFill>
                    <w14:schemeClr w14:val="tx1"/>
                  </w14:solidFill>
                </w14:textFill>
              </w:rPr>
              <w:t>、</w:t>
            </w:r>
            <w:r>
              <w:rPr>
                <w:rFonts w:hint="eastAsia" w:cs="Calibri" w:asciiTheme="minorEastAsia" w:hAnsiTheme="minorEastAsia"/>
                <w:color w:val="000000" w:themeColor="text1"/>
                <w:kern w:val="0"/>
                <w:sz w:val="24"/>
                <w:szCs w:val="24"/>
                <w14:textFill>
                  <w14:solidFill>
                    <w14:schemeClr w14:val="tx1"/>
                  </w14:solidFill>
                </w14:textFill>
              </w:rPr>
              <w:t>提供生产厂家盖具鲜章的针对该项目叁年质保承诺</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水浴锅</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一、功能描述：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 温度控制方式：P.I.D自动演算+ Fuzzy 控制。</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1.2 温度转换：采微电脑线性补偿校正。</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1.3 显示界面：LED数码管显示，按键输入方式。</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1.4 偏差值校正：温度偏差值补偿、校正功能。</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1.5 I/O：自检 安全自检功能， 异常发生时自动断电保护及故障指示。</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1.6 自动演算：微电脑自动演算P.I.D. ，配合固态继电器功率控制，使温度控制更为精确（比例、积分、微分＋固态继电器控制方式)。</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1.7 温度上下限保护：可设定温度保护上下限。</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1.8 保护装置：控制器监视安全保护系统及预防式的故障自检控制。</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1.9 内箱材质：SUS-304 不锈钢镜面板。</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1.10 箱盖：内 SUS-304 不锈钢镜面板，外SPCC 冷轧钢板静电粉体烤漆处理。</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1.11 温湿度传感器：断路或短路(超量程)。</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1.12 超温保护：设定温度的高温保护设定。</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1.13 故障异常报警：故障异常发生时，自动断电保护，发出报警音。</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二、技术参数：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2.1 双列四孔</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2.2 温度范围：室温+5℃至100℃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2.3 降温方式：自然降温</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2.4 温度波动度：≤±0.5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2.5 温度均匀度：≤±0.5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2.6 孔径（mm）：140/110/90/70/50</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2.7 内部尺寸W*D*H (cm)：30×30×9  </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2.8 内部容积(L)：8.1"</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双开门冰箱</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 制冷方式:风冷</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箱门结构: 双门式</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能效等级: 一级</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 变频: 是</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 宽×深(厚)×高:≤905x716x1900mm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 最大容积:≥620L</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 冷藏室容积:≥290L</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 耗电量:≤0.99Kwh/24h</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 循环系统:多循环</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微孔板离心机</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一、技术参数：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 转速设置范围：2200~2800 RPM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时间设置：15秒~1分钟59秒</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相对离心力：550g</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 加速时间：&lt;10秒 (0至2800 RPM)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 刹车时间：&lt;4秒 (2800至0 RPM)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 开盖停机：支持</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 短运行：支持</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 容量：2块标准PCR微孔板</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 输入功率：45W</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 外形尺寸：≤260X240X226mm</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涡旋混匀器</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一、技术参数：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 具有连续、点触、调速三大特点;</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配备碗型及平板型两种振荡头，可自由更换;</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更具备可固定1.5/2ml 离心管4支或15ml以下1支混匀，无需手持(平板振荡头取下橡胶垫片后内部具有固定圈);</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 ABS工程塑料外壳及铸铁底座，安全平稳</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 xml:space="preserve">5. 转速：200-2800转/分 </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 功率：30W</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基础型电源</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1.体积小巧，可以叠放</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2.良好的安全性能，具有空载监测；荷载突变监测；过载/短路监测；过压保护</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3.电源电压范围：10～300V</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4.电源电流范围：4～400mA</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5.电源功率：1～75W</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6.电源可恒压、恒流输出</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7.时间设定：1～999min</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8.可同时输出4组电源</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9.通过最严格的国际安全标准—IEC1010-1认证</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10.具有断电后自动恢复功能</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11.提供生产厂家盖具鲜章针对本项目的售后服务承诺书"</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摇床</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1．电源： 220V</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2．功率： 40W</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3．频率： 40～240转/分</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4．旋幅： 回转半径15mm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5．速度： 无极调速、数字显示</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6．托盘： 320×265mm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7．定时： 0～120分/连续</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8．外观尺寸： 370×335×145mm"</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移液器</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 可整支移液器高压灭菌，灭菌条件： 121℃， 1 个大气压下， 20 分钟</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坚固不锈钢操作杆，可控制吸排液速度</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轮转式容量锁定系统，确保调节容量和移液时的安全，规避误操作</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 量程4位可读数值，视窗清晰且位置低于手柄外壳，避免磨擦造成的视窗模糊</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 弹射器按钮位置可调，左右手操作者均能方便使用</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 吸排液按压力及退枪头最轻的移液器之一，有效缓解长时间工作导致的肌肉劳损</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 弹射器连接采用环式弹夹，使日常维护更方便，同时避免了弹射器易脱落的风险</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 可选不锈钢(坚固耐用)或塑料弹射器（适用于腐蚀性液体）</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 不锈钢活塞双弹簧结构，强度高、不易变形，保证高的精度。</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 套筒下端独家设计，减少摩擦及装吸头的用力， 吸嘴适配性强。</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 手柄刻有二维码和序列号，可随时追踪生产信息</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12. 最大允许误差：</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2μL  ±0.030μL  ≤0.014</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20μL  ±0.20μL   ≤0.060</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200μL  ±1.60μL   ≤0.30</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1000μL   ±8.0μL   ≤1.5"</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圆周摇床</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 双LED屏电子调节速度和时间，运行时显示时间和速度</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 支持连续工作模式</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 工作盘尺寸：268×268mm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 圆周直径：20mm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 最大载重量：2kg</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 速度范围：40-200 RPM</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 速度显示：LED</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 定时器显示：LED</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9. 时间设置范围：1分-19小时59分</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10. 电机类型：直流电机</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11. 电机输入功率：≤20W</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12. 电机输出功率：≥16w</w:t>
            </w:r>
          </w:p>
          <w:p>
            <w:pPr>
              <w:widowControl/>
              <w:spacing w:line="420" w:lineRule="atLeast"/>
              <w:ind w:firstLine="0"/>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13. 尺寸长宽高：≤294x348x123mm</w:t>
            </w:r>
          </w:p>
        </w:tc>
      </w:tr>
      <w:tr>
        <w:tblPrEx>
          <w:tblCellMar>
            <w:top w:w="15" w:type="dxa"/>
            <w:left w:w="15" w:type="dxa"/>
            <w:bottom w:w="15" w:type="dxa"/>
            <w:right w:w="15" w:type="dxa"/>
          </w:tblCellMar>
        </w:tblPrEx>
        <w:trPr>
          <w:jc w:val="center"/>
        </w:trPr>
        <w:tc>
          <w:tcPr>
            <w:tcW w:w="15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center"/>
              <w:rPr>
                <w:rFonts w:cs="Times New Roman" w:asciiTheme="minorEastAsia" w:hAnsiTheme="minorEastAsia"/>
                <w:color w:val="000000" w:themeColor="text1"/>
                <w:kern w:val="0"/>
                <w:sz w:val="24"/>
                <w:szCs w:val="24"/>
                <w14:textFill>
                  <w14:solidFill>
                    <w14:schemeClr w14:val="tx1"/>
                  </w14:solidFill>
                </w14:textFill>
              </w:rPr>
            </w:pPr>
            <w:r>
              <w:rPr>
                <w:rFonts w:hint="eastAsia" w:asciiTheme="minorEastAsia" w:hAnsiTheme="minorEastAsia"/>
                <w:color w:val="000000"/>
                <w:sz w:val="24"/>
                <w:szCs w:val="24"/>
              </w:rPr>
              <w:t>掌上离心机</w:t>
            </w:r>
          </w:p>
        </w:tc>
        <w:tc>
          <w:tcPr>
            <w:tcW w:w="7894"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技术参数:</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1.水平转子设计,方便装板、取板</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2.适用范围广：适用96孔、384孔PCR板(带或不带裙边)；96孔酶标板；8x0.2ml PCR排管；0.2ml PCR管</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3.点动和定时两种模式，让实验更加方便快捷</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4.流线型外观及全景透明盖设计</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5.自动刹车功能，刹车时间30s左右</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6.样品处理量：2×PCR板/酶标板；24xPCR排管；192×0.2ml PCR管</w:t>
            </w:r>
          </w:p>
          <w:p>
            <w:pPr>
              <w:widowControl/>
              <w:spacing w:line="420" w:lineRule="atLeast"/>
              <w:ind w:firstLine="45"/>
              <w:jc w:val="left"/>
              <w:rPr>
                <w:rFonts w:hint="eastAsia"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7.最高转速：2,200rpm</w:t>
            </w:r>
          </w:p>
          <w:p>
            <w:pPr>
              <w:widowControl/>
              <w:spacing w:line="420" w:lineRule="atLeast"/>
              <w:ind w:firstLine="45"/>
              <w:jc w:val="left"/>
              <w:rPr>
                <w:rFonts w:cs="Times New Roman" w:asciiTheme="minorEastAsia" w:hAnsiTheme="minorEastAsia"/>
                <w:color w:val="000000" w:themeColor="text1"/>
                <w:kern w:val="0"/>
                <w:sz w:val="24"/>
                <w:szCs w:val="24"/>
                <w14:textFill>
                  <w14:solidFill>
                    <w14:schemeClr w14:val="tx1"/>
                  </w14:solidFill>
                </w14:textFill>
              </w:rPr>
            </w:pPr>
            <w:r>
              <w:rPr>
                <w:rFonts w:hint="eastAsia" w:cs="Times New Roman" w:asciiTheme="minorEastAsia" w:hAnsiTheme="minorEastAsia"/>
                <w:color w:val="000000" w:themeColor="text1"/>
                <w:kern w:val="0"/>
                <w:sz w:val="24"/>
                <w:szCs w:val="24"/>
                <w14:textFill>
                  <w14:solidFill>
                    <w14:schemeClr w14:val="tx1"/>
                  </w14:solidFill>
                </w14:textFill>
              </w:rPr>
              <w:t>8.相对离心力：480xg"</w:t>
            </w:r>
          </w:p>
        </w:tc>
      </w:tr>
    </w:tbl>
    <w:p>
      <w:pPr>
        <w:pStyle w:val="3"/>
        <w:spacing w:line="360" w:lineRule="auto"/>
        <w:ind w:firstLine="240" w:firstLineChars="100"/>
        <w:rPr>
          <w:rFonts w:ascii="Times New Roman" w:hAnsi="Times New Roman" w:cs="Times New Roman"/>
          <w:bCs/>
          <w:color w:val="000000"/>
          <w:sz w:val="24"/>
          <w:szCs w:val="24"/>
        </w:rPr>
      </w:pPr>
      <w:r>
        <w:rPr>
          <w:rFonts w:ascii="Times New Roman" w:hAnsi="Times New Roman" w:cs="Times New Roman"/>
          <w:bCs/>
          <w:color w:val="000000"/>
          <w:sz w:val="24"/>
          <w:szCs w:val="24"/>
        </w:rPr>
        <w:t>产品投标时不需要上传产品资料，但中标公示后5个工作日内需提供</w:t>
      </w:r>
      <w:r>
        <w:rPr>
          <w:rFonts w:hint="eastAsia" w:ascii="Times New Roman" w:hAnsi="Times New Roman" w:cs="Times New Roman"/>
          <w:bCs/>
          <w:color w:val="000000"/>
          <w:sz w:val="24"/>
          <w:szCs w:val="24"/>
        </w:rPr>
        <w:t>相关</w:t>
      </w:r>
      <w:r>
        <w:rPr>
          <w:rFonts w:ascii="Times New Roman" w:hAnsi="Times New Roman" w:cs="Times New Roman"/>
          <w:bCs/>
          <w:color w:val="000000"/>
          <w:sz w:val="24"/>
          <w:szCs w:val="24"/>
        </w:rPr>
        <w:t>产品的相关证明文件供采购人使用部门审核，如中标人不能在规定时间内提供相关的资料或提供的产品资料不能证明产品满足本询价文件的参数要求，将视其为虚假应标，取消其中标资格，并禁止其再次参与本项目相关内容投标。本项目设备为医疗科研使用设备，使用要求较高，投标供应商可向使用部门联系人咨询相关设备具体需求情况。</w:t>
      </w:r>
    </w:p>
    <w:p>
      <w:pPr>
        <w:rPr>
          <w:rFonts w:ascii="Times New Roman" w:hAnsi="Times New Roman" w:eastAsia="宋体" w:cs="Times New Roman"/>
          <w:snapToGrid w:val="0"/>
          <w:kern w:val="0"/>
          <w:sz w:val="28"/>
          <w:szCs w:val="28"/>
        </w:rPr>
      </w:pPr>
      <w:r>
        <w:rPr>
          <w:rFonts w:ascii="Times New Roman" w:hAnsi="Times New Roman" w:eastAsia="宋体" w:cs="Times New Roman"/>
          <w:b/>
          <w:snapToGrid w:val="0"/>
          <w:kern w:val="0"/>
          <w:sz w:val="28"/>
          <w:szCs w:val="28"/>
        </w:rPr>
        <w:t>三、资质要求</w:t>
      </w:r>
    </w:p>
    <w:p>
      <w:pPr>
        <w:pStyle w:val="3"/>
        <w:spacing w:line="360" w:lineRule="auto"/>
        <w:ind w:firstLine="240" w:firstLineChars="100"/>
        <w:rPr>
          <w:rFonts w:ascii="Times New Roman" w:hAnsi="Times New Roman" w:cs="Times New Roman"/>
          <w:bCs/>
          <w:color w:val="000000"/>
          <w:sz w:val="24"/>
          <w:szCs w:val="24"/>
        </w:rPr>
      </w:pPr>
      <w:r>
        <w:rPr>
          <w:rFonts w:ascii="Times New Roman" w:hAnsi="Times New Roman" w:cs="Times New Roman"/>
          <w:bCs/>
          <w:color w:val="000000"/>
          <w:sz w:val="24"/>
          <w:szCs w:val="24"/>
        </w:rPr>
        <w:t>（一）一般资格条件</w:t>
      </w:r>
    </w:p>
    <w:p>
      <w:pPr>
        <w:pStyle w:val="3"/>
        <w:spacing w:line="360" w:lineRule="auto"/>
        <w:ind w:firstLine="240" w:firstLineChars="100"/>
        <w:rPr>
          <w:rFonts w:ascii="Times New Roman" w:hAnsi="Times New Roman" w:cs="Times New Roman"/>
          <w:bCs/>
          <w:color w:val="000000"/>
          <w:sz w:val="24"/>
          <w:szCs w:val="24"/>
        </w:rPr>
      </w:pPr>
      <w:r>
        <w:rPr>
          <w:rFonts w:ascii="Times New Roman" w:hAnsi="Times New Roman" w:cs="Times New Roman"/>
          <w:bCs/>
          <w:color w:val="000000"/>
          <w:sz w:val="24"/>
          <w:szCs w:val="24"/>
        </w:rPr>
        <w:t>1.具有独立承担民事责任的能力；</w:t>
      </w:r>
    </w:p>
    <w:p>
      <w:pPr>
        <w:pStyle w:val="3"/>
        <w:spacing w:line="360" w:lineRule="auto"/>
        <w:ind w:firstLine="240" w:firstLineChars="100"/>
        <w:rPr>
          <w:rFonts w:ascii="Times New Roman" w:hAnsi="Times New Roman" w:cs="Times New Roman"/>
          <w:bCs/>
          <w:color w:val="000000"/>
          <w:sz w:val="24"/>
          <w:szCs w:val="24"/>
        </w:rPr>
      </w:pPr>
      <w:r>
        <w:rPr>
          <w:rFonts w:ascii="Times New Roman" w:hAnsi="Times New Roman" w:cs="Times New Roman"/>
          <w:bCs/>
          <w:color w:val="000000"/>
          <w:sz w:val="24"/>
          <w:szCs w:val="24"/>
        </w:rPr>
        <w:t>2.具有良好的商业信誉和健全的财务会计制度；</w:t>
      </w:r>
    </w:p>
    <w:p>
      <w:pPr>
        <w:pStyle w:val="3"/>
        <w:spacing w:line="360" w:lineRule="auto"/>
        <w:ind w:firstLine="240" w:firstLineChars="100"/>
        <w:rPr>
          <w:rFonts w:ascii="Times New Roman" w:hAnsi="Times New Roman" w:cs="Times New Roman"/>
          <w:bCs/>
          <w:color w:val="000000"/>
          <w:sz w:val="24"/>
          <w:szCs w:val="24"/>
        </w:rPr>
      </w:pPr>
      <w:r>
        <w:rPr>
          <w:rFonts w:ascii="Times New Roman" w:hAnsi="Times New Roman" w:cs="Times New Roman"/>
          <w:bCs/>
          <w:color w:val="000000"/>
          <w:sz w:val="24"/>
          <w:szCs w:val="24"/>
        </w:rPr>
        <w:t>3.具有履行合同所必需的设备和专业技术能力；</w:t>
      </w:r>
    </w:p>
    <w:p>
      <w:pPr>
        <w:pStyle w:val="3"/>
        <w:spacing w:line="360" w:lineRule="auto"/>
        <w:ind w:firstLine="240" w:firstLineChars="100"/>
        <w:rPr>
          <w:rFonts w:ascii="Times New Roman" w:hAnsi="Times New Roman" w:cs="Times New Roman"/>
          <w:bCs/>
          <w:sz w:val="24"/>
          <w:szCs w:val="24"/>
        </w:rPr>
      </w:pPr>
      <w:r>
        <w:rPr>
          <w:rFonts w:ascii="Times New Roman" w:hAnsi="Times New Roman" w:cs="Times New Roman"/>
          <w:bCs/>
          <w:sz w:val="24"/>
          <w:szCs w:val="24"/>
        </w:rPr>
        <w:t>4.有依法缴纳税收和社会保障资金的良好记录；</w:t>
      </w:r>
    </w:p>
    <w:p>
      <w:pPr>
        <w:pStyle w:val="3"/>
        <w:spacing w:line="360" w:lineRule="auto"/>
        <w:ind w:firstLine="240" w:firstLineChars="100"/>
        <w:rPr>
          <w:rFonts w:ascii="Times New Roman" w:hAnsi="Times New Roman" w:cs="Times New Roman"/>
          <w:bCs/>
          <w:sz w:val="24"/>
          <w:szCs w:val="24"/>
        </w:rPr>
      </w:pPr>
      <w:r>
        <w:rPr>
          <w:rFonts w:ascii="Times New Roman" w:hAnsi="Times New Roman" w:cs="Times New Roman"/>
          <w:bCs/>
          <w:sz w:val="24"/>
          <w:szCs w:val="24"/>
        </w:rPr>
        <w:t>5.参加政府采购活动前三年内，在经营活动中没有重大违法记录；</w:t>
      </w:r>
    </w:p>
    <w:p>
      <w:pPr>
        <w:pStyle w:val="3"/>
        <w:spacing w:line="360" w:lineRule="auto"/>
        <w:ind w:firstLine="240" w:firstLineChars="100"/>
        <w:rPr>
          <w:rFonts w:ascii="Times New Roman" w:hAnsi="Times New Roman" w:cs="Times New Roman"/>
          <w:bCs/>
          <w:sz w:val="24"/>
          <w:szCs w:val="24"/>
        </w:rPr>
      </w:pPr>
      <w:r>
        <w:rPr>
          <w:rFonts w:ascii="Times New Roman" w:hAnsi="Times New Roman" w:cs="Times New Roman"/>
          <w:bCs/>
          <w:sz w:val="24"/>
          <w:szCs w:val="24"/>
        </w:rPr>
        <w:t>6.法律、行政法规规定的其他条件。</w:t>
      </w:r>
    </w:p>
    <w:p>
      <w:pPr>
        <w:rPr>
          <w:rFonts w:ascii="Times New Roman" w:hAnsi="Times New Roman" w:eastAsia="宋体" w:cs="Times New Roman"/>
          <w:b/>
          <w:snapToGrid w:val="0"/>
          <w:kern w:val="0"/>
          <w:sz w:val="28"/>
          <w:szCs w:val="28"/>
        </w:rPr>
      </w:pPr>
      <w:r>
        <w:rPr>
          <w:rFonts w:ascii="Times New Roman" w:hAnsi="Times New Roman" w:eastAsia="宋体" w:cs="Times New Roman"/>
          <w:b/>
          <w:snapToGrid w:val="0"/>
          <w:kern w:val="0"/>
          <w:sz w:val="28"/>
          <w:szCs w:val="28"/>
        </w:rPr>
        <w:t>四、报价要求</w:t>
      </w:r>
    </w:p>
    <w:p>
      <w:pPr>
        <w:spacing w:line="360" w:lineRule="auto"/>
        <w:ind w:firstLine="240" w:firstLineChars="1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1.本次询价为人民币报价，只允许有一个方案、一个报价，多方案、多报价的将不被接受。</w:t>
      </w:r>
    </w:p>
    <w:p>
      <w:pPr>
        <w:spacing w:line="360" w:lineRule="auto"/>
        <w:ind w:firstLine="240" w:firstLineChars="100"/>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2.投标人的报价为一次性报价，即在询价有效期内价格固定不变，其报价均包括产品货款、技术资料费、安装调试费、运输费、保险费、包装费、装卸费及税费等交付采购人使用前可能发生的所有费用。</w:t>
      </w:r>
    </w:p>
    <w:p>
      <w:pPr>
        <w:rPr>
          <w:rFonts w:ascii="Times New Roman" w:hAnsi="Times New Roman" w:eastAsia="宋体" w:cs="Times New Roman"/>
          <w:b/>
          <w:snapToGrid w:val="0"/>
          <w:kern w:val="0"/>
          <w:sz w:val="28"/>
          <w:szCs w:val="28"/>
        </w:rPr>
      </w:pPr>
      <w:r>
        <w:rPr>
          <w:rFonts w:ascii="Times New Roman" w:hAnsi="Times New Roman" w:eastAsia="宋体" w:cs="Times New Roman"/>
          <w:b/>
          <w:snapToGrid w:val="0"/>
          <w:kern w:val="0"/>
          <w:sz w:val="28"/>
          <w:szCs w:val="28"/>
        </w:rPr>
        <w:t>五、项目实施和验收</w:t>
      </w:r>
    </w:p>
    <w:p>
      <w:pPr>
        <w:pStyle w:val="3"/>
        <w:spacing w:line="360" w:lineRule="auto"/>
        <w:ind w:firstLine="480" w:firstLineChars="200"/>
        <w:rPr>
          <w:rFonts w:ascii="Times New Roman" w:hAnsi="Times New Roman" w:cs="Times New Roman"/>
          <w:bCs/>
          <w:color w:val="000000"/>
          <w:sz w:val="24"/>
          <w:szCs w:val="24"/>
        </w:rPr>
      </w:pPr>
      <w:r>
        <w:rPr>
          <w:rFonts w:ascii="Times New Roman" w:hAnsi="Times New Roman" w:cs="Times New Roman"/>
          <w:color w:val="000000"/>
          <w:sz w:val="24"/>
          <w:szCs w:val="24"/>
        </w:rPr>
        <w:t>中标单位按询价文件及合同要求供货，并安装调试完成，采购人按技术要求组织验收，</w:t>
      </w:r>
      <w:r>
        <w:rPr>
          <w:rFonts w:ascii="Times New Roman" w:hAnsi="Times New Roman" w:cs="Times New Roman"/>
          <w:bCs/>
          <w:color w:val="000000"/>
          <w:sz w:val="24"/>
          <w:szCs w:val="24"/>
        </w:rPr>
        <w:t>如供货时实际产品技术参数达不到询价文件的技术参数要求，采购人将终止合同，没收履约保证金，不支付任何货款且上报上级监督部门进行处理。</w:t>
      </w:r>
    </w:p>
    <w:p>
      <w:pPr>
        <w:pStyle w:val="3"/>
        <w:spacing w:line="360" w:lineRule="auto"/>
        <w:rPr>
          <w:rFonts w:ascii="Times New Roman" w:hAnsi="Times New Roman" w:cs="Times New Roman"/>
          <w:color w:val="000000"/>
          <w:sz w:val="24"/>
          <w:szCs w:val="24"/>
        </w:rPr>
      </w:pPr>
      <w:r>
        <w:rPr>
          <w:rFonts w:ascii="Times New Roman" w:hAnsi="Times New Roman" w:eastAsia="宋体" w:cs="Times New Roman"/>
          <w:b/>
          <w:snapToGrid w:val="0"/>
          <w:kern w:val="0"/>
          <w:sz w:val="28"/>
          <w:szCs w:val="28"/>
        </w:rPr>
        <w:t>六、其他说明</w:t>
      </w:r>
    </w:p>
    <w:p>
      <w:pPr>
        <w:pStyle w:val="3"/>
        <w:spacing w:line="360" w:lineRule="auto"/>
        <w:ind w:firstLine="240" w:firstLineChars="100"/>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中标结果公示后5个工作日内且合同签订前，中标单位需缴纳中标金额5%的履约保证金，质保期满且质保验收合格后无息退还。若中标单位未按时缴纳履约保证金，采购人有权取消其中标资格，并禁止其再次参与本项目相关内容投标。</w:t>
      </w:r>
    </w:p>
    <w:p>
      <w:pPr>
        <w:pStyle w:val="3"/>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2.供货及安装期间，所有安全责任全部由中标人承担。</w:t>
      </w:r>
    </w:p>
    <w:p>
      <w:pPr>
        <w:spacing w:line="360" w:lineRule="auto"/>
        <w:rPr>
          <w:rFonts w:ascii="Times New Roman" w:hAnsi="Times New Roman" w:eastAsia="宋体" w:cs="Times New Roman"/>
          <w:b/>
          <w:snapToGrid w:val="0"/>
          <w:kern w:val="0"/>
          <w:sz w:val="28"/>
          <w:szCs w:val="28"/>
        </w:rPr>
      </w:pPr>
      <w:r>
        <w:rPr>
          <w:rFonts w:ascii="Times New Roman" w:hAnsi="Times New Roman" w:eastAsia="宋体" w:cs="Times New Roman"/>
          <w:b/>
          <w:snapToGrid w:val="0"/>
          <w:kern w:val="0"/>
          <w:sz w:val="28"/>
          <w:szCs w:val="28"/>
        </w:rPr>
        <w:t>七、付款方式</w:t>
      </w:r>
    </w:p>
    <w:p>
      <w:pPr>
        <w:pStyle w:val="3"/>
        <w:spacing w:line="360" w:lineRule="auto"/>
        <w:ind w:firstLine="240" w:firstLineChars="100"/>
        <w:rPr>
          <w:rFonts w:ascii="Times New Roman" w:hAnsi="Times New Roman" w:cs="Times New Roman"/>
          <w:sz w:val="24"/>
          <w:szCs w:val="24"/>
        </w:rPr>
      </w:pPr>
      <w:r>
        <w:rPr>
          <w:rFonts w:ascii="Times New Roman" w:hAnsi="Times New Roman" w:cs="Times New Roman"/>
          <w:sz w:val="24"/>
          <w:szCs w:val="24"/>
        </w:rPr>
        <w:t>1.本项目结算均使用人民币。</w:t>
      </w:r>
    </w:p>
    <w:p>
      <w:pPr>
        <w:pStyle w:val="3"/>
        <w:spacing w:line="360" w:lineRule="auto"/>
        <w:ind w:right="-255" w:firstLine="240" w:firstLineChars="100"/>
        <w:rPr>
          <w:rFonts w:ascii="Times New Roman" w:hAnsi="Times New Roman" w:cs="Times New Roman"/>
          <w:sz w:val="24"/>
          <w:szCs w:val="24"/>
        </w:rPr>
      </w:pPr>
      <w:r>
        <w:rPr>
          <w:rFonts w:ascii="Times New Roman" w:hAnsi="Times New Roman" w:cs="Times New Roman"/>
          <w:sz w:val="24"/>
          <w:szCs w:val="24"/>
        </w:rPr>
        <w:t>2.支付方式：货到付款</w:t>
      </w:r>
    </w:p>
    <w:p>
      <w:pPr>
        <w:pStyle w:val="3"/>
        <w:spacing w:line="360" w:lineRule="auto"/>
        <w:ind w:right="-255" w:firstLine="240" w:firstLineChars="100"/>
        <w:rPr>
          <w:rFonts w:ascii="Times New Roman" w:hAnsi="Times New Roman" w:cs="Times New Roman"/>
          <w:sz w:val="24"/>
          <w:szCs w:val="24"/>
        </w:rPr>
      </w:pPr>
      <w:r>
        <w:rPr>
          <w:rFonts w:ascii="Times New Roman" w:hAnsi="Times New Roman" w:cs="Times New Roman"/>
          <w:sz w:val="24"/>
          <w:szCs w:val="24"/>
        </w:rPr>
        <w:t>（1）采购合同签订</w:t>
      </w:r>
      <w:r>
        <w:rPr>
          <w:rFonts w:hint="eastAsia" w:ascii="Times New Roman" w:hAnsi="Times New Roman" w:cs="Times New Roman"/>
          <w:sz w:val="24"/>
          <w:szCs w:val="24"/>
        </w:rPr>
        <w:t>前</w:t>
      </w:r>
      <w:r>
        <w:rPr>
          <w:rFonts w:ascii="Times New Roman" w:hAnsi="Times New Roman" w:cs="Times New Roman"/>
          <w:sz w:val="24"/>
          <w:szCs w:val="24"/>
        </w:rPr>
        <w:t>，中标人向采购人交纳合同金额的5%作为履约保证金，验收合格，采购人按合同约定金额的100%付款。</w:t>
      </w:r>
    </w:p>
    <w:p>
      <w:pPr>
        <w:pStyle w:val="3"/>
        <w:spacing w:line="360" w:lineRule="auto"/>
        <w:ind w:right="-255" w:firstLine="240" w:firstLineChars="100"/>
        <w:rPr>
          <w:rFonts w:ascii="Times New Roman" w:hAnsi="Times New Roman" w:cs="Times New Roman"/>
          <w:sz w:val="24"/>
          <w:szCs w:val="24"/>
        </w:rPr>
      </w:pPr>
      <w:r>
        <w:rPr>
          <w:rFonts w:ascii="Times New Roman" w:hAnsi="Times New Roman" w:cs="Times New Roman"/>
          <w:sz w:val="24"/>
          <w:szCs w:val="24"/>
        </w:rPr>
        <w:t>（2）质保期届满后，如无质量问题，采购人将于30个日历日内把履约保证金无息退还给中标人。</w:t>
      </w:r>
    </w:p>
    <w:p>
      <w:pPr>
        <w:spacing w:line="360" w:lineRule="auto"/>
        <w:rPr>
          <w:rFonts w:ascii="Times New Roman" w:hAnsi="Times New Roman" w:eastAsia="宋体" w:cs="Times New Roman"/>
          <w:b/>
          <w:snapToGrid w:val="0"/>
          <w:kern w:val="0"/>
          <w:sz w:val="28"/>
          <w:szCs w:val="28"/>
        </w:rPr>
      </w:pPr>
      <w:r>
        <w:rPr>
          <w:rFonts w:ascii="Times New Roman" w:hAnsi="Times New Roman" w:eastAsia="宋体" w:cs="Times New Roman"/>
          <w:b/>
          <w:snapToGrid w:val="0"/>
          <w:kern w:val="0"/>
          <w:sz w:val="28"/>
          <w:szCs w:val="28"/>
        </w:rPr>
        <w:t>八、质量保证及售后服务</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（一）产品质量保证期</w:t>
      </w:r>
    </w:p>
    <w:p>
      <w:pPr>
        <w:widowControl/>
        <w:shd w:val="clear" w:color="auto" w:fill="FFFFFF"/>
        <w:spacing w:line="360" w:lineRule="auto"/>
        <w:ind w:firstLine="720" w:firstLineChars="300"/>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xml:space="preserve"> 自验收合格之日算起，</w:t>
      </w:r>
      <w:r>
        <w:rPr>
          <w:rFonts w:hint="eastAsia" w:ascii="Times New Roman" w:hAnsi="Times New Roman" w:eastAsia="宋体" w:cs="Times New Roman"/>
          <w:color w:val="000000" w:themeColor="text1"/>
          <w:kern w:val="0"/>
          <w:sz w:val="24"/>
          <w:szCs w:val="24"/>
          <w14:textFill>
            <w14:solidFill>
              <w14:schemeClr w14:val="tx1"/>
            </w14:solidFill>
          </w14:textFill>
        </w:rPr>
        <w:t>超净工作台、二氧化碳培养箱</w:t>
      </w:r>
      <w:r>
        <w:rPr>
          <w:rFonts w:ascii="Times New Roman" w:hAnsi="Times New Roman" w:eastAsia="宋体" w:cs="Times New Roman"/>
          <w:color w:val="000000" w:themeColor="text1"/>
          <w:kern w:val="0"/>
          <w:sz w:val="24"/>
          <w:szCs w:val="24"/>
          <w14:textFill>
            <w14:solidFill>
              <w14:schemeClr w14:val="tx1"/>
            </w14:solidFill>
          </w14:textFill>
        </w:rPr>
        <w:t>质保期3年，其它仪器质保期1年。</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（二）售后服务内容</w:t>
      </w:r>
    </w:p>
    <w:p>
      <w:pPr>
        <w:pStyle w:val="3"/>
        <w:spacing w:line="360" w:lineRule="auto"/>
        <w:ind w:right="-255" w:firstLine="720" w:firstLineChars="300"/>
        <w:rPr>
          <w:rFonts w:ascii="Times New Roman" w:hAnsi="Times New Roman" w:cs="Times New Roman"/>
          <w:color w:val="000000"/>
          <w:sz w:val="24"/>
          <w:szCs w:val="24"/>
        </w:rPr>
      </w:pPr>
      <w:r>
        <w:rPr>
          <w:rFonts w:ascii="Times New Roman" w:hAnsi="Times New Roman" w:cs="Times New Roman"/>
          <w:color w:val="000000"/>
          <w:sz w:val="24"/>
          <w:szCs w:val="24"/>
        </w:rPr>
        <w:t>供应商所报产品提供原厂质保，在质量保证期内应当为采购人提供以下技术支持服务：</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1、质量保证期内服务要求</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（1）电话咨询</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供应商和厂家应当为用户提供技术援助电话，解答用户在使用中遇到的问题，及时为用户提出解决问题的建议。</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（2）现场响应</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用户遇到使用及技术问题，电话咨询不能解决的，供应商和厂家应在</w:t>
      </w:r>
      <w:r>
        <w:rPr>
          <w:rFonts w:ascii="Times New Roman" w:hAnsi="Times New Roman" w:eastAsia="宋体" w:cs="Times New Roman"/>
          <w:color w:val="000000" w:themeColor="text1"/>
          <w:kern w:val="0"/>
          <w:sz w:val="24"/>
          <w:szCs w:val="24"/>
          <w14:textFill>
            <w14:solidFill>
              <w14:schemeClr w14:val="tx1"/>
            </w14:solidFill>
          </w14:textFill>
        </w:rPr>
        <w:t>8</w:t>
      </w:r>
      <w:r>
        <w:rPr>
          <w:rFonts w:ascii="Times New Roman" w:hAnsi="Times New Roman" w:cs="Times New Roman"/>
          <w:color w:val="000000"/>
          <w:sz w:val="24"/>
          <w:szCs w:val="24"/>
        </w:rPr>
        <w:t xml:space="preserve">小时内响应并采取相应措施，提供上门服务，确保产品正常工作。 </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（3）技术升级</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在质保期内，如果供应商和厂家的产品技术升级，供应商应及时通知采购人；如采购人有相应要求，供应商和厂家应对采购人进行升级服务。</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2、质量保证期外服务要求</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（1）质量保证期过后，供应商和厂家应同样提供免费电话咨询服务，并应承诺提供产品上门维护服务。</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（2）质量保证期过后，采购人需要继续由原供应商和厂家提供售后服务的，该供应商和厂家应以优惠价格提供售后服务。</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（三）故障响应时间要求</w:t>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在质保期内，属质量问题者无条件保修。要求具备相应的维护保养服务能力，包括拥有本次所出售设备的备件、专用设备，拥有属其公司的可随时上门作维修及检测服务的专业技术人员。售后响应时间：2小时内响应；24小时内到达现场；28小时内修好。</w:t>
      </w:r>
    </w:p>
    <w:p>
      <w:pPr>
        <w:pStyle w:val="3"/>
        <w:tabs>
          <w:tab w:val="left" w:pos="5321"/>
        </w:tabs>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（四）维修配件</w:t>
      </w:r>
      <w:r>
        <w:rPr>
          <w:rFonts w:ascii="Times New Roman" w:hAnsi="Times New Roman" w:cs="Times New Roman"/>
          <w:color w:val="000000"/>
          <w:sz w:val="24"/>
          <w:szCs w:val="24"/>
        </w:rPr>
        <w:tab/>
      </w:r>
    </w:p>
    <w:p>
      <w:pPr>
        <w:pStyle w:val="3"/>
        <w:spacing w:line="360" w:lineRule="auto"/>
        <w:ind w:right="-255" w:firstLine="240" w:firstLineChars="100"/>
        <w:rPr>
          <w:rFonts w:ascii="Times New Roman" w:hAnsi="Times New Roman" w:cs="Times New Roman"/>
          <w:color w:val="000000"/>
          <w:sz w:val="24"/>
          <w:szCs w:val="24"/>
        </w:rPr>
      </w:pPr>
      <w:r>
        <w:rPr>
          <w:rFonts w:ascii="Times New Roman" w:hAnsi="Times New Roman" w:cs="Times New Roman"/>
          <w:color w:val="000000"/>
          <w:sz w:val="24"/>
          <w:szCs w:val="24"/>
        </w:rPr>
        <w:t>供应商和厂家售后服务中，使用的维修零配件应为原厂配件，未经用户同意不得使用非原厂配件。质保期内非人为故障均为免费维修，质保期后的维保采用先维修后付款的方式，终身免费维修，只收取配件或耗材成本费。</w:t>
      </w:r>
    </w:p>
    <w:p>
      <w:pPr>
        <w:spacing w:line="360" w:lineRule="auto"/>
        <w:rPr>
          <w:rFonts w:ascii="Times New Roman" w:hAnsi="Times New Roman" w:eastAsia="宋体" w:cs="Times New Roman"/>
          <w:b/>
          <w:snapToGrid w:val="0"/>
          <w:kern w:val="0"/>
          <w:sz w:val="28"/>
          <w:szCs w:val="28"/>
        </w:rPr>
      </w:pPr>
      <w:r>
        <w:rPr>
          <w:rFonts w:ascii="Times New Roman" w:hAnsi="Times New Roman" w:eastAsia="宋体" w:cs="Times New Roman"/>
          <w:b/>
          <w:snapToGrid w:val="0"/>
          <w:kern w:val="0"/>
          <w:sz w:val="28"/>
          <w:szCs w:val="28"/>
        </w:rPr>
        <w:t>九、供货期要求</w:t>
      </w:r>
    </w:p>
    <w:p>
      <w:pPr>
        <w:spacing w:line="360" w:lineRule="auto"/>
        <w:rPr>
          <w:rFonts w:ascii="Times New Roman" w:hAnsi="Times New Roman" w:cs="Times New Roman"/>
          <w:bCs/>
          <w:sz w:val="24"/>
          <w:szCs w:val="24"/>
        </w:rPr>
      </w:pPr>
      <w:r>
        <w:rPr>
          <w:rFonts w:ascii="Times New Roman" w:hAnsi="Times New Roman" w:cs="Times New Roman"/>
          <w:bCs/>
          <w:sz w:val="24"/>
          <w:szCs w:val="24"/>
        </w:rPr>
        <w:t>（一）供货期：中标人应在中标结果公示发出之日起后5个工作日内交货并完成安装调试。（本项目供货期以中标结果公示之日开始计算，不等待合同签订时间）。</w:t>
      </w:r>
    </w:p>
    <w:p>
      <w:pPr>
        <w:spacing w:line="360" w:lineRule="auto"/>
        <w:ind w:left="239" w:leftChars="114" w:firstLine="480" w:firstLineChars="200"/>
        <w:rPr>
          <w:rFonts w:ascii="Times New Roman" w:hAnsi="Times New Roman" w:cs="Times New Roman"/>
          <w:bCs/>
          <w:sz w:val="24"/>
          <w:szCs w:val="24"/>
        </w:rPr>
      </w:pPr>
      <w:r>
        <w:rPr>
          <w:rFonts w:ascii="Times New Roman" w:hAnsi="Times New Roman" w:cs="Times New Roman"/>
          <w:bCs/>
          <w:sz w:val="24"/>
          <w:szCs w:val="24"/>
        </w:rPr>
        <w:t>注：中标人应按本条规定的时间供货及完成安装调试。若未在规定时间内完成供货，将视为中标人违反询价项目服务需求，采购人有权</w:t>
      </w:r>
      <w:r>
        <w:rPr>
          <w:rFonts w:hint="eastAsia" w:ascii="Times New Roman" w:hAnsi="Times New Roman" w:cs="Times New Roman"/>
          <w:bCs/>
          <w:sz w:val="24"/>
          <w:szCs w:val="24"/>
        </w:rPr>
        <w:t>终</w:t>
      </w:r>
      <w:r>
        <w:rPr>
          <w:rFonts w:ascii="Times New Roman" w:hAnsi="Times New Roman" w:cs="Times New Roman"/>
          <w:bCs/>
          <w:sz w:val="24"/>
          <w:szCs w:val="24"/>
        </w:rPr>
        <w:t>止合同，不支付任何款项，并没收履约保证金。</w:t>
      </w:r>
    </w:p>
    <w:p>
      <w:pPr>
        <w:spacing w:line="360" w:lineRule="auto"/>
        <w:rPr>
          <w:rFonts w:ascii="Times New Roman" w:hAnsi="Times New Roman" w:cs="Times New Roman"/>
        </w:rPr>
      </w:pPr>
      <w:r>
        <w:rPr>
          <w:rFonts w:ascii="Times New Roman" w:hAnsi="Times New Roman" w:cs="Times New Roman"/>
          <w:bCs/>
          <w:color w:val="000000"/>
          <w:sz w:val="24"/>
          <w:szCs w:val="24"/>
        </w:rPr>
        <w:t>（二）供货地点：重庆医科大学</w:t>
      </w:r>
      <w:r>
        <w:rPr>
          <w:rFonts w:hint="eastAsia" w:ascii="Times New Roman" w:hAnsi="Times New Roman" w:cs="Times New Roman"/>
          <w:bCs/>
          <w:color w:val="000000"/>
          <w:sz w:val="24"/>
          <w:szCs w:val="24"/>
          <w:lang w:val="en-US" w:eastAsia="zh-CN"/>
        </w:rPr>
        <w:t>中医药</w:t>
      </w:r>
      <w:r>
        <w:rPr>
          <w:rFonts w:ascii="Times New Roman" w:hAnsi="Times New Roman" w:cs="Times New Roman"/>
          <w:bCs/>
          <w:color w:val="000000"/>
          <w:sz w:val="24"/>
          <w:szCs w:val="24"/>
        </w:rPr>
        <w:t>学院采购人指定地点。</w:t>
      </w:r>
    </w:p>
    <w:p>
      <w:pPr>
        <w:spacing w:line="360" w:lineRule="auto"/>
        <w:rPr>
          <w:rFonts w:ascii="Times New Roman" w:hAnsi="Times New Roman" w:eastAsia="宋体" w:cs="Times New Roman"/>
          <w:b/>
          <w:snapToGrid w:val="0"/>
          <w:kern w:val="0"/>
          <w:sz w:val="28"/>
          <w:szCs w:val="28"/>
          <w:highlight w:val="none"/>
        </w:rPr>
      </w:pPr>
      <w:r>
        <w:rPr>
          <w:rFonts w:ascii="Times New Roman" w:hAnsi="Times New Roman" w:eastAsia="宋体" w:cs="Times New Roman"/>
          <w:b/>
          <w:snapToGrid w:val="0"/>
          <w:kern w:val="0"/>
          <w:sz w:val="28"/>
          <w:szCs w:val="28"/>
          <w:highlight w:val="none"/>
        </w:rPr>
        <w:t>十、使用部门联系人</w:t>
      </w:r>
    </w:p>
    <w:p>
      <w:pPr>
        <w:spacing w:line="360" w:lineRule="auto"/>
        <w:ind w:firstLine="480" w:firstLineChars="200"/>
        <w:rPr>
          <w:rFonts w:hint="default" w:ascii="Times New Roman" w:hAnsi="Times New Roman" w:cs="Times New Roman" w:eastAsiaTheme="minorEastAsia"/>
          <w:color w:val="000000"/>
          <w:sz w:val="24"/>
          <w:szCs w:val="24"/>
          <w:highlight w:val="none"/>
          <w:lang w:val="en-US" w:eastAsia="zh-CN"/>
        </w:rPr>
      </w:pPr>
      <w:r>
        <w:rPr>
          <w:rFonts w:ascii="Times New Roman" w:hAnsi="Times New Roman" w:cs="Times New Roman"/>
          <w:color w:val="000000"/>
          <w:sz w:val="24"/>
          <w:szCs w:val="24"/>
          <w:highlight w:val="none"/>
        </w:rPr>
        <w:t>使用部门联系人及联系电话</w:t>
      </w:r>
      <w:r>
        <w:rPr>
          <w:rFonts w:hint="eastAsia" w:ascii="Times New Roman" w:hAnsi="Times New Roman" w:cs="Times New Roman"/>
          <w:color w:val="000000"/>
          <w:sz w:val="24"/>
          <w:szCs w:val="24"/>
          <w:highlight w:val="none"/>
          <w:lang w:eastAsia="zh-CN"/>
        </w:rPr>
        <w:t>：</w:t>
      </w:r>
      <w:r>
        <w:rPr>
          <w:rFonts w:hint="eastAsia" w:ascii="Times New Roman" w:hAnsi="Times New Roman" w:cs="Times New Roman"/>
          <w:color w:val="000000"/>
          <w:sz w:val="24"/>
          <w:szCs w:val="24"/>
          <w:highlight w:val="none"/>
          <w:lang w:val="en-US" w:eastAsia="zh-CN"/>
        </w:rPr>
        <w:t>姚</w:t>
      </w:r>
      <w:r>
        <w:rPr>
          <w:rFonts w:ascii="Times New Roman" w:hAnsi="Times New Roman" w:cs="Times New Roman"/>
          <w:color w:val="000000"/>
          <w:sz w:val="24"/>
          <w:szCs w:val="24"/>
          <w:highlight w:val="none"/>
        </w:rPr>
        <w:t>老师</w:t>
      </w:r>
      <w:r>
        <w:rPr>
          <w:rFonts w:hint="eastAsia" w:ascii="Times New Roman" w:hAnsi="Times New Roman" w:cs="Times New Roman"/>
          <w:color w:val="000000"/>
          <w:sz w:val="24"/>
          <w:szCs w:val="24"/>
          <w:highlight w:val="none"/>
          <w:lang w:eastAsia="zh-CN"/>
        </w:rPr>
        <w:t>：</w:t>
      </w:r>
      <w:r>
        <w:rPr>
          <w:rFonts w:hint="eastAsia" w:ascii="Times New Roman" w:hAnsi="Times New Roman" w:cs="Times New Roman"/>
          <w:color w:val="000000"/>
          <w:sz w:val="24"/>
          <w:szCs w:val="24"/>
          <w:highlight w:val="none"/>
          <w:lang w:val="en-US" w:eastAsia="zh-CN"/>
        </w:rPr>
        <w:t>15310431196</w:t>
      </w:r>
    </w:p>
    <w:p>
      <w:pPr>
        <w:pStyle w:val="3"/>
        <w:spacing w:line="360" w:lineRule="auto"/>
        <w:ind w:right="-255" w:firstLine="240" w:firstLineChars="100"/>
        <w:rPr>
          <w:rFonts w:ascii="Times New Roman" w:hAnsi="Times New Roman" w:cs="Times New Roman"/>
          <w:sz w:val="24"/>
          <w:szCs w:val="24"/>
        </w:rPr>
      </w:pPr>
    </w:p>
    <w:p>
      <w:pPr>
        <w:spacing w:line="360" w:lineRule="auto"/>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宋体" w:hAnsi="宋体" w:eastAsia="宋体" w:cs="Calibri"/>
          <w:color w:val="000000" w:themeColor="text1"/>
          <w:kern w:val="0"/>
          <w:sz w:val="24"/>
          <w:szCs w:val="24"/>
          <w14:textFill>
            <w14:solidFill>
              <w14:schemeClr w14:val="tx1"/>
            </w14:solidFill>
          </w14:textFill>
        </w:rPr>
        <w:t>附件</w:t>
      </w:r>
      <w:r>
        <w:rPr>
          <w:rFonts w:ascii="Times New Roman" w:hAnsi="Times New Roman" w:eastAsia="宋体" w:cs="Times New Roman"/>
          <w:color w:val="000000" w:themeColor="text1"/>
          <w:kern w:val="0"/>
          <w:sz w:val="24"/>
          <w:szCs w:val="24"/>
          <w14:textFill>
            <w14:solidFill>
              <w14:schemeClr w14:val="tx1"/>
            </w14:solidFill>
          </w14:textFill>
        </w:rPr>
        <w:t>1</w:t>
      </w:r>
    </w:p>
    <w:p>
      <w:pPr>
        <w:jc w:val="center"/>
        <w:rPr>
          <w:sz w:val="44"/>
          <w:szCs w:val="44"/>
        </w:rPr>
      </w:pPr>
      <w:r>
        <w:rPr>
          <w:rFonts w:hint="eastAsia"/>
          <w:sz w:val="44"/>
          <w:szCs w:val="44"/>
        </w:rPr>
        <w:t>重庆医科大学</w:t>
      </w:r>
    </w:p>
    <w:p>
      <w:pPr>
        <w:jc w:val="center"/>
        <w:rPr>
          <w:sz w:val="44"/>
          <w:szCs w:val="44"/>
        </w:rPr>
      </w:pPr>
      <w:r>
        <w:rPr>
          <w:rFonts w:hint="eastAsia"/>
          <w:sz w:val="44"/>
          <w:szCs w:val="44"/>
          <w:lang w:val="en-US" w:eastAsia="zh-CN"/>
        </w:rPr>
        <w:t>中医药</w:t>
      </w:r>
      <w:r>
        <w:rPr>
          <w:rFonts w:hint="eastAsia"/>
          <w:sz w:val="44"/>
          <w:szCs w:val="44"/>
        </w:rPr>
        <w:t>学院采购报价单</w:t>
      </w:r>
    </w:p>
    <w:p>
      <w:pPr>
        <w:jc w:val="center"/>
        <w:rPr>
          <w:sz w:val="44"/>
          <w:szCs w:val="44"/>
        </w:rPr>
      </w:pPr>
    </w:p>
    <w:tbl>
      <w:tblPr>
        <w:tblStyle w:val="8"/>
        <w:tblW w:w="9750" w:type="dxa"/>
        <w:tblInd w:w="-8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77"/>
        <w:gridCol w:w="1173"/>
        <w:gridCol w:w="3330"/>
        <w:gridCol w:w="1170"/>
        <w:gridCol w:w="795"/>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700" w:type="dxa"/>
            <w:vAlign w:val="center"/>
          </w:tcPr>
          <w:p>
            <w:pPr>
              <w:jc w:val="center"/>
              <w:rPr>
                <w:b/>
                <w:sz w:val="24"/>
                <w:szCs w:val="24"/>
              </w:rPr>
            </w:pPr>
            <w:r>
              <w:rPr>
                <w:b/>
                <w:sz w:val="24"/>
                <w:szCs w:val="24"/>
              </w:rPr>
              <w:t>序号</w:t>
            </w:r>
          </w:p>
        </w:tc>
        <w:tc>
          <w:tcPr>
            <w:tcW w:w="1277" w:type="dxa"/>
            <w:vAlign w:val="center"/>
          </w:tcPr>
          <w:p>
            <w:pPr>
              <w:jc w:val="center"/>
              <w:rPr>
                <w:b/>
                <w:sz w:val="24"/>
                <w:szCs w:val="24"/>
              </w:rPr>
            </w:pPr>
            <w:r>
              <w:rPr>
                <w:rFonts w:hint="eastAsia"/>
                <w:b/>
                <w:sz w:val="24"/>
                <w:szCs w:val="24"/>
              </w:rPr>
              <w:t>产品名称</w:t>
            </w:r>
          </w:p>
        </w:tc>
        <w:tc>
          <w:tcPr>
            <w:tcW w:w="1173" w:type="dxa"/>
            <w:vAlign w:val="center"/>
          </w:tcPr>
          <w:p>
            <w:pPr>
              <w:jc w:val="center"/>
              <w:rPr>
                <w:b/>
                <w:szCs w:val="21"/>
              </w:rPr>
            </w:pPr>
            <w:r>
              <w:rPr>
                <w:rFonts w:hint="eastAsia"/>
                <w:b/>
                <w:szCs w:val="21"/>
              </w:rPr>
              <w:t>规格型号</w:t>
            </w:r>
          </w:p>
        </w:tc>
        <w:tc>
          <w:tcPr>
            <w:tcW w:w="3330" w:type="dxa"/>
            <w:vAlign w:val="center"/>
          </w:tcPr>
          <w:p>
            <w:pPr>
              <w:jc w:val="center"/>
              <w:rPr>
                <w:b/>
                <w:szCs w:val="21"/>
              </w:rPr>
            </w:pPr>
            <w:r>
              <w:rPr>
                <w:b/>
                <w:szCs w:val="21"/>
              </w:rPr>
              <w:t>参数</w:t>
            </w:r>
          </w:p>
        </w:tc>
        <w:tc>
          <w:tcPr>
            <w:tcW w:w="1170" w:type="dxa"/>
            <w:vAlign w:val="center"/>
          </w:tcPr>
          <w:p>
            <w:pPr>
              <w:jc w:val="center"/>
              <w:rPr>
                <w:b/>
                <w:szCs w:val="21"/>
              </w:rPr>
            </w:pPr>
            <w:r>
              <w:rPr>
                <w:rFonts w:hint="eastAsia"/>
                <w:b/>
                <w:szCs w:val="21"/>
              </w:rPr>
              <w:t>单价（元）</w:t>
            </w:r>
          </w:p>
        </w:tc>
        <w:tc>
          <w:tcPr>
            <w:tcW w:w="795" w:type="dxa"/>
            <w:vAlign w:val="center"/>
          </w:tcPr>
          <w:p>
            <w:pPr>
              <w:jc w:val="center"/>
              <w:rPr>
                <w:b/>
                <w:szCs w:val="21"/>
              </w:rPr>
            </w:pPr>
            <w:r>
              <w:rPr>
                <w:rFonts w:hint="eastAsia"/>
                <w:b/>
                <w:szCs w:val="21"/>
              </w:rPr>
              <w:t>数量</w:t>
            </w:r>
          </w:p>
        </w:tc>
        <w:tc>
          <w:tcPr>
            <w:tcW w:w="1305" w:type="dxa"/>
            <w:vAlign w:val="center"/>
          </w:tcPr>
          <w:p>
            <w:pPr>
              <w:jc w:val="center"/>
              <w:rPr>
                <w:b/>
                <w:szCs w:val="21"/>
              </w:rPr>
            </w:pPr>
            <w:r>
              <w:rPr>
                <w:rFonts w:hint="eastAsia"/>
                <w:b/>
                <w:szCs w:val="21"/>
              </w:rPr>
              <w:t>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700" w:type="dxa"/>
            <w:vAlign w:val="center"/>
          </w:tcPr>
          <w:p>
            <w:pPr>
              <w:jc w:val="center"/>
              <w:rPr>
                <w:sz w:val="24"/>
                <w:szCs w:val="24"/>
              </w:rPr>
            </w:pPr>
            <w:r>
              <w:rPr>
                <w:rFonts w:hint="eastAsia"/>
                <w:sz w:val="24"/>
                <w:szCs w:val="24"/>
              </w:rPr>
              <w:t>1</w:t>
            </w:r>
          </w:p>
        </w:tc>
        <w:tc>
          <w:tcPr>
            <w:tcW w:w="1277" w:type="dxa"/>
            <w:vAlign w:val="center"/>
          </w:tcPr>
          <w:p>
            <w:pPr>
              <w:jc w:val="center"/>
              <w:rPr>
                <w:sz w:val="24"/>
                <w:szCs w:val="24"/>
              </w:rPr>
            </w:pPr>
          </w:p>
        </w:tc>
        <w:tc>
          <w:tcPr>
            <w:tcW w:w="1173" w:type="dxa"/>
            <w:vAlign w:val="center"/>
          </w:tcPr>
          <w:p>
            <w:pPr>
              <w:jc w:val="center"/>
              <w:rPr>
                <w:sz w:val="24"/>
                <w:szCs w:val="24"/>
              </w:rPr>
            </w:pPr>
          </w:p>
        </w:tc>
        <w:tc>
          <w:tcPr>
            <w:tcW w:w="3330" w:type="dxa"/>
            <w:vAlign w:val="center"/>
          </w:tcPr>
          <w:p>
            <w:pPr>
              <w:jc w:val="center"/>
              <w:rPr>
                <w:sz w:val="24"/>
                <w:szCs w:val="24"/>
              </w:rPr>
            </w:pPr>
          </w:p>
        </w:tc>
        <w:tc>
          <w:tcPr>
            <w:tcW w:w="1170" w:type="dxa"/>
            <w:vAlign w:val="center"/>
          </w:tcPr>
          <w:p>
            <w:pPr>
              <w:jc w:val="center"/>
              <w:rPr>
                <w:sz w:val="24"/>
                <w:szCs w:val="24"/>
              </w:rPr>
            </w:pPr>
          </w:p>
        </w:tc>
        <w:tc>
          <w:tcPr>
            <w:tcW w:w="795" w:type="dxa"/>
            <w:vAlign w:val="center"/>
          </w:tcPr>
          <w:p>
            <w:pPr>
              <w:jc w:val="center"/>
              <w:rPr>
                <w:sz w:val="24"/>
                <w:szCs w:val="24"/>
              </w:rPr>
            </w:pPr>
          </w:p>
        </w:tc>
        <w:tc>
          <w:tcPr>
            <w:tcW w:w="1305" w:type="dxa"/>
            <w:vAlign w:val="center"/>
          </w:tcPr>
          <w:p>
            <w:pPr>
              <w:jc w:val="center"/>
              <w:rPr>
                <w:sz w:val="24"/>
                <w:szCs w:val="24"/>
              </w:rPr>
            </w:pPr>
          </w:p>
        </w:tc>
      </w:tr>
    </w:tbl>
    <w:p>
      <w:pPr>
        <w:jc w:val="center"/>
        <w:rPr>
          <w:sz w:val="44"/>
          <w:szCs w:val="44"/>
        </w:rPr>
      </w:pPr>
    </w:p>
    <w:p>
      <w:pPr>
        <w:jc w:val="center"/>
        <w:rPr>
          <w:sz w:val="44"/>
          <w:szCs w:val="44"/>
        </w:rPr>
      </w:pPr>
    </w:p>
    <w:p>
      <w:pPr>
        <w:ind w:right="1120"/>
        <w:jc w:val="right"/>
        <w:rPr>
          <w:sz w:val="28"/>
          <w:szCs w:val="28"/>
        </w:rPr>
      </w:pPr>
      <w:r>
        <w:rPr>
          <w:rFonts w:hint="eastAsia"/>
          <w:sz w:val="28"/>
          <w:szCs w:val="28"/>
        </w:rPr>
        <w:t>公司名称（盖鲜章）：</w:t>
      </w:r>
      <w:r>
        <w:rPr>
          <w:sz w:val="28"/>
          <w:szCs w:val="28"/>
        </w:rPr>
        <w:t xml:space="preserve"> </w:t>
      </w:r>
    </w:p>
    <w:p>
      <w:pPr>
        <w:ind w:right="1120"/>
        <w:jc w:val="right"/>
        <w:rPr>
          <w:sz w:val="28"/>
          <w:szCs w:val="28"/>
        </w:rPr>
      </w:pPr>
      <w:r>
        <w:rPr>
          <w:rFonts w:hint="eastAsia"/>
          <w:sz w:val="28"/>
          <w:szCs w:val="28"/>
        </w:rPr>
        <w:t>日期：</w:t>
      </w:r>
    </w:p>
    <w:p>
      <w:pPr>
        <w:rPr>
          <w:rFonts w:ascii="宋体" w:hAnsi="宋体" w:eastAsia="宋体" w:cs="Calibri"/>
          <w:color w:val="000000" w:themeColor="text1"/>
          <w:kern w:val="0"/>
          <w:sz w:val="24"/>
          <w:szCs w:val="24"/>
          <w14:textFill>
            <w14:solidFill>
              <w14:schemeClr w14:val="tx1"/>
            </w14:solidFill>
          </w14:textFill>
        </w:rPr>
      </w:pPr>
    </w:p>
    <w:p>
      <w:pPr>
        <w:spacing w:line="360" w:lineRule="auto"/>
        <w:rPr>
          <w:rFonts w:ascii="Times New Roman" w:hAnsi="Times New Roman" w:eastAsia="宋体" w:cs="Times New Roman"/>
          <w:color w:val="000000" w:themeColor="text1"/>
          <w:kern w:val="0"/>
          <w:sz w:val="24"/>
          <w:szCs w:val="24"/>
          <w14:textFill>
            <w14:solidFill>
              <w14:schemeClr w14:val="tx1"/>
            </w14:solidFill>
          </w14:textFill>
        </w:rPr>
      </w:pPr>
      <w:r>
        <w:rPr>
          <w:rFonts w:hint="eastAsia" w:ascii="宋体" w:hAnsi="宋体" w:eastAsia="宋体" w:cs="Calibri"/>
          <w:color w:val="000000" w:themeColor="text1"/>
          <w:kern w:val="0"/>
          <w:sz w:val="24"/>
          <w:szCs w:val="24"/>
          <w14:textFill>
            <w14:solidFill>
              <w14:schemeClr w14:val="tx1"/>
            </w14:solidFill>
          </w14:textFill>
        </w:rPr>
        <w:t>附件</w:t>
      </w:r>
      <w:r>
        <w:rPr>
          <w:rFonts w:hint="eastAsia" w:ascii="Times New Roman" w:hAnsi="Times New Roman" w:eastAsia="宋体" w:cs="Times New Roman"/>
          <w:color w:val="000000" w:themeColor="text1"/>
          <w:kern w:val="0"/>
          <w:sz w:val="24"/>
          <w:szCs w:val="24"/>
          <w14:textFill>
            <w14:solidFill>
              <w14:schemeClr w14:val="tx1"/>
            </w14:solidFill>
          </w14:textFill>
        </w:rPr>
        <w:t>2</w:t>
      </w:r>
    </w:p>
    <w:p>
      <w:pPr>
        <w:tabs>
          <w:tab w:val="left" w:pos="6300"/>
        </w:tabs>
        <w:snapToGrid w:val="0"/>
        <w:spacing w:line="560" w:lineRule="exact"/>
        <w:ind w:firstLine="570"/>
        <w:jc w:val="center"/>
        <w:rPr>
          <w:rFonts w:ascii="宋体" w:hAnsi="宋体" w:eastAsia="宋体" w:cs="宋体"/>
          <w:sz w:val="28"/>
          <w:szCs w:val="28"/>
        </w:rPr>
      </w:pPr>
      <w:r>
        <w:rPr>
          <w:rFonts w:hint="eastAsia" w:ascii="宋体" w:hAnsi="宋体" w:eastAsia="宋体" w:cs="宋体"/>
          <w:sz w:val="28"/>
          <w:szCs w:val="28"/>
        </w:rPr>
        <w:t>法定代表人授权委托书</w:t>
      </w:r>
    </w:p>
    <w:p>
      <w:pPr>
        <w:tabs>
          <w:tab w:val="left" w:pos="6300"/>
        </w:tabs>
        <w:snapToGrid w:val="0"/>
        <w:spacing w:line="5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询价项目名称：</w:t>
      </w:r>
      <w:r>
        <w:rPr>
          <w:rFonts w:hint="eastAsia" w:ascii="宋体" w:hAnsi="宋体" w:eastAsia="宋体" w:cs="宋体"/>
          <w:sz w:val="28"/>
          <w:szCs w:val="28"/>
          <w:u w:val="single"/>
        </w:rPr>
        <w:t xml:space="preserve">                                                </w:t>
      </w:r>
    </w:p>
    <w:p>
      <w:pPr>
        <w:tabs>
          <w:tab w:val="left" w:pos="6300"/>
        </w:tabs>
        <w:snapToGrid w:val="0"/>
        <w:spacing w:line="560" w:lineRule="exact"/>
        <w:ind w:firstLine="570"/>
        <w:jc w:val="left"/>
        <w:rPr>
          <w:rFonts w:ascii="宋体" w:hAnsi="宋体" w:eastAsia="宋体" w:cs="宋体"/>
          <w:sz w:val="28"/>
          <w:szCs w:val="28"/>
        </w:rPr>
      </w:pPr>
    </w:p>
    <w:p>
      <w:pPr>
        <w:tabs>
          <w:tab w:val="left" w:pos="6300"/>
        </w:tabs>
        <w:snapToGrid w:val="0"/>
        <w:spacing w:line="560" w:lineRule="exact"/>
        <w:ind w:firstLine="560" w:firstLineChars="200"/>
        <w:jc w:val="left"/>
        <w:rPr>
          <w:rFonts w:ascii="宋体" w:hAnsi="宋体" w:eastAsia="宋体" w:cs="宋体"/>
          <w:color w:val="FF0000"/>
          <w:sz w:val="28"/>
          <w:szCs w:val="28"/>
        </w:rPr>
      </w:pPr>
      <w:r>
        <w:rPr>
          <w:rFonts w:hint="eastAsia" w:ascii="宋体" w:hAnsi="宋体" w:eastAsia="宋体" w:cs="宋体"/>
          <w:sz w:val="28"/>
          <w:szCs w:val="28"/>
        </w:rPr>
        <w:t>致：</w:t>
      </w:r>
      <w:r>
        <w:rPr>
          <w:rFonts w:hint="eastAsia" w:ascii="宋体" w:hAnsi="宋体" w:eastAsia="宋体" w:cs="宋体"/>
          <w:sz w:val="28"/>
          <w:szCs w:val="28"/>
          <w:u w:val="single"/>
        </w:rPr>
        <w:t xml:space="preserve"> 重庆医科大学</w:t>
      </w:r>
      <w:r>
        <w:rPr>
          <w:rFonts w:hint="eastAsia" w:ascii="宋体" w:hAnsi="宋体" w:eastAsia="宋体" w:cs="宋体"/>
          <w:sz w:val="28"/>
          <w:szCs w:val="28"/>
          <w:u w:val="single"/>
          <w:lang w:val="en-US" w:eastAsia="zh-CN"/>
        </w:rPr>
        <w:t>中医药</w:t>
      </w:r>
      <w:r>
        <w:rPr>
          <w:rFonts w:hint="eastAsia" w:ascii="宋体" w:hAnsi="宋体" w:eastAsia="宋体" w:cs="宋体"/>
          <w:sz w:val="28"/>
          <w:szCs w:val="28"/>
          <w:u w:val="single"/>
        </w:rPr>
        <w:t xml:space="preserve">学院   </w:t>
      </w:r>
      <w:r>
        <w:rPr>
          <w:rFonts w:hint="eastAsia" w:ascii="宋体" w:hAnsi="宋体" w:eastAsia="宋体" w:cs="宋体"/>
          <w:sz w:val="28"/>
          <w:szCs w:val="28"/>
        </w:rPr>
        <w:t>：</w:t>
      </w:r>
    </w:p>
    <w:p>
      <w:pPr>
        <w:tabs>
          <w:tab w:val="left" w:pos="6300"/>
        </w:tabs>
        <w:snapToGrid w:val="0"/>
        <w:spacing w:line="560" w:lineRule="exact"/>
        <w:ind w:left="420" w:leftChars="200"/>
        <w:jc w:val="left"/>
        <w:rPr>
          <w:rFonts w:ascii="宋体" w:hAnsi="宋体" w:eastAsia="宋体" w:cs="宋体"/>
          <w:sz w:val="28"/>
          <w:szCs w:val="28"/>
        </w:rPr>
      </w:pPr>
      <w:r>
        <w:rPr>
          <w:rFonts w:hint="eastAsia" w:ascii="宋体" w:hAnsi="宋体" w:eastAsia="宋体" w:cs="宋体"/>
          <w:sz w:val="28"/>
          <w:szCs w:val="28"/>
          <w:u w:val="single"/>
        </w:rPr>
        <w:t xml:space="preserve">           （供应商法定代表人名称）  </w:t>
      </w:r>
      <w:r>
        <w:rPr>
          <w:rFonts w:hint="eastAsia" w:ascii="宋体" w:hAnsi="宋体" w:eastAsia="宋体" w:cs="宋体"/>
          <w:sz w:val="28"/>
          <w:szCs w:val="28"/>
        </w:rPr>
        <w:t>是</w:t>
      </w:r>
      <w:r>
        <w:rPr>
          <w:rFonts w:hint="eastAsia" w:ascii="宋体" w:hAnsi="宋体" w:eastAsia="宋体" w:cs="宋体"/>
          <w:sz w:val="28"/>
          <w:szCs w:val="28"/>
          <w:u w:val="single"/>
        </w:rPr>
        <w:t xml:space="preserve">                                                                          </w:t>
      </w:r>
      <w:r>
        <w:rPr>
          <w:rFonts w:hint="eastAsia" w:ascii="宋体" w:hAnsi="宋体" w:eastAsia="宋体" w:cs="宋体"/>
          <w:color w:val="FF0000"/>
          <w:sz w:val="28"/>
          <w:szCs w:val="28"/>
          <w:u w:val="single"/>
        </w:rPr>
        <w:t xml:space="preserve">                  </w:t>
      </w:r>
      <w:r>
        <w:rPr>
          <w:rFonts w:hint="eastAsia" w:ascii="宋体" w:hAnsi="宋体" w:eastAsia="宋体" w:cs="宋体"/>
          <w:sz w:val="28"/>
          <w:szCs w:val="28"/>
          <w:u w:val="single"/>
        </w:rPr>
        <w:t xml:space="preserve">                             （供应商名称）</w:t>
      </w:r>
      <w:r>
        <w:rPr>
          <w:rFonts w:hint="eastAsia" w:ascii="宋体" w:hAnsi="宋体" w:eastAsia="宋体" w:cs="宋体"/>
          <w:sz w:val="28"/>
          <w:szCs w:val="28"/>
        </w:rPr>
        <w:t>的法定代表人，特授权</w:t>
      </w:r>
      <w:r>
        <w:rPr>
          <w:rFonts w:hint="eastAsia" w:ascii="宋体" w:hAnsi="宋体" w:eastAsia="宋体" w:cs="宋体"/>
          <w:sz w:val="28"/>
          <w:szCs w:val="28"/>
          <w:u w:val="single"/>
        </w:rPr>
        <w:t xml:space="preserve">    （被授权人姓名及身份证代码）       </w:t>
      </w:r>
      <w:r>
        <w:rPr>
          <w:rFonts w:hint="eastAsia" w:ascii="宋体" w:hAnsi="宋体" w:eastAsia="宋体" w:cs="宋体"/>
          <w:sz w:val="28"/>
          <w:szCs w:val="28"/>
        </w:rPr>
        <w:t>代表我单位全权办理上述项目的磋商、签约等具体工作，并签署全部有关文件、协议及合同。</w:t>
      </w:r>
    </w:p>
    <w:p>
      <w:pPr>
        <w:tabs>
          <w:tab w:val="left" w:pos="6300"/>
        </w:tabs>
        <w:snapToGrid w:val="0"/>
        <w:spacing w:line="5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我单位对被授权人的签字负全部责任。</w:t>
      </w:r>
    </w:p>
    <w:p>
      <w:pPr>
        <w:tabs>
          <w:tab w:val="left" w:pos="6300"/>
        </w:tabs>
        <w:snapToGrid w:val="0"/>
        <w:spacing w:line="560" w:lineRule="exact"/>
        <w:ind w:firstLine="560" w:firstLineChars="200"/>
        <w:jc w:val="left"/>
        <w:rPr>
          <w:rFonts w:ascii="宋体" w:hAnsi="宋体" w:eastAsia="宋体" w:cs="宋体"/>
          <w:sz w:val="28"/>
          <w:szCs w:val="28"/>
        </w:rPr>
      </w:pPr>
      <w:r>
        <w:rPr>
          <w:rFonts w:hint="eastAsia" w:ascii="宋体" w:hAnsi="宋体" w:eastAsia="宋体" w:cs="宋体"/>
          <w:sz w:val="28"/>
          <w:szCs w:val="28"/>
        </w:rPr>
        <w:t>在撤消授权的书面通知以前，本授权书一直有效。被授权人在授权书有效期内签署的所有文件不因授权的撤消而失效。</w:t>
      </w:r>
    </w:p>
    <w:p>
      <w:pPr>
        <w:tabs>
          <w:tab w:val="left" w:pos="6300"/>
        </w:tabs>
        <w:snapToGrid w:val="0"/>
        <w:spacing w:line="560" w:lineRule="exact"/>
        <w:ind w:firstLine="570"/>
        <w:jc w:val="left"/>
        <w:rPr>
          <w:rFonts w:ascii="宋体" w:hAnsi="宋体" w:eastAsia="宋体" w:cs="宋体"/>
          <w:sz w:val="28"/>
          <w:szCs w:val="28"/>
        </w:rPr>
      </w:pPr>
    </w:p>
    <w:p>
      <w:pPr>
        <w:tabs>
          <w:tab w:val="left" w:pos="6300"/>
        </w:tabs>
        <w:snapToGrid w:val="0"/>
        <w:spacing w:line="560" w:lineRule="exact"/>
        <w:ind w:firstLine="570"/>
        <w:jc w:val="left"/>
        <w:rPr>
          <w:rFonts w:ascii="宋体" w:hAnsi="宋体" w:eastAsia="宋体" w:cs="宋体"/>
          <w:sz w:val="28"/>
          <w:szCs w:val="28"/>
        </w:rPr>
      </w:pPr>
    </w:p>
    <w:p>
      <w:pPr>
        <w:tabs>
          <w:tab w:val="left" w:pos="6300"/>
        </w:tabs>
        <w:snapToGrid w:val="0"/>
        <w:spacing w:line="560" w:lineRule="exact"/>
        <w:ind w:firstLine="570"/>
        <w:jc w:val="left"/>
        <w:rPr>
          <w:rFonts w:ascii="宋体" w:hAnsi="宋体" w:eastAsia="宋体" w:cs="宋体"/>
          <w:sz w:val="28"/>
          <w:szCs w:val="28"/>
        </w:rPr>
      </w:pPr>
      <w:r>
        <w:rPr>
          <w:rFonts w:hint="eastAsia" w:ascii="宋体" w:hAnsi="宋体" w:eastAsia="宋体" w:cs="宋体"/>
          <w:sz w:val="28"/>
          <w:szCs w:val="28"/>
        </w:rPr>
        <w:t>被授权人：                              供应商法定代表人：</w:t>
      </w:r>
    </w:p>
    <w:p>
      <w:pPr>
        <w:tabs>
          <w:tab w:val="left" w:pos="6300"/>
        </w:tabs>
        <w:snapToGrid w:val="0"/>
        <w:spacing w:line="560" w:lineRule="exact"/>
        <w:ind w:firstLine="570"/>
        <w:jc w:val="left"/>
        <w:rPr>
          <w:rFonts w:ascii="宋体" w:hAnsi="宋体" w:eastAsia="宋体" w:cs="宋体"/>
          <w:sz w:val="28"/>
          <w:szCs w:val="28"/>
        </w:rPr>
      </w:pPr>
      <w:r>
        <w:rPr>
          <w:rFonts w:hint="eastAsia" w:ascii="宋体" w:hAnsi="宋体" w:eastAsia="宋体" w:cs="宋体"/>
          <w:sz w:val="28"/>
          <w:szCs w:val="28"/>
        </w:rPr>
        <w:t>（签字或盖章）                              （签字或盖章）</w:t>
      </w:r>
    </w:p>
    <w:p>
      <w:pPr>
        <w:tabs>
          <w:tab w:val="left" w:pos="6300"/>
        </w:tabs>
        <w:snapToGrid w:val="0"/>
        <w:spacing w:line="560" w:lineRule="exact"/>
        <w:ind w:firstLine="570"/>
        <w:jc w:val="left"/>
        <w:rPr>
          <w:rFonts w:ascii="宋体" w:hAnsi="宋体" w:eastAsia="宋体" w:cs="宋体"/>
          <w:sz w:val="28"/>
          <w:szCs w:val="28"/>
        </w:rPr>
      </w:pPr>
    </w:p>
    <w:p>
      <w:pPr>
        <w:tabs>
          <w:tab w:val="left" w:pos="6300"/>
        </w:tabs>
        <w:snapToGrid w:val="0"/>
        <w:spacing w:line="560" w:lineRule="exact"/>
        <w:ind w:firstLine="570"/>
        <w:rPr>
          <w:rFonts w:ascii="宋体" w:hAnsi="宋体" w:eastAsia="宋体" w:cs="宋体"/>
          <w:sz w:val="28"/>
          <w:szCs w:val="28"/>
        </w:rPr>
      </w:pPr>
    </w:p>
    <w:p>
      <w:pPr>
        <w:tabs>
          <w:tab w:val="left" w:pos="6300"/>
        </w:tabs>
        <w:snapToGrid w:val="0"/>
        <w:spacing w:line="560" w:lineRule="exact"/>
        <w:ind w:firstLine="570"/>
        <w:rPr>
          <w:rFonts w:ascii="宋体" w:hAnsi="宋体" w:eastAsia="宋体" w:cs="宋体"/>
          <w:sz w:val="28"/>
          <w:szCs w:val="28"/>
        </w:rPr>
      </w:pPr>
      <w:r>
        <w:rPr>
          <w:rFonts w:hint="eastAsia" w:ascii="宋体" w:hAnsi="宋体" w:eastAsia="宋体" w:cs="宋体"/>
          <w:sz w:val="28"/>
          <w:szCs w:val="28"/>
        </w:rPr>
        <w:t>（附：被授权人身份证正反面复印件）</w:t>
      </w:r>
    </w:p>
    <w:p>
      <w:pPr>
        <w:tabs>
          <w:tab w:val="left" w:pos="6300"/>
        </w:tabs>
        <w:snapToGrid w:val="0"/>
        <w:spacing w:line="560" w:lineRule="exact"/>
        <w:ind w:firstLine="570"/>
        <w:rPr>
          <w:rFonts w:ascii="宋体" w:hAnsi="宋体" w:eastAsia="宋体" w:cs="宋体"/>
          <w:sz w:val="28"/>
          <w:szCs w:val="28"/>
        </w:rPr>
      </w:pPr>
      <w:r>
        <w:rPr>
          <w:rFonts w:hint="eastAsia" w:ascii="宋体" w:hAnsi="宋体" w:eastAsia="宋体" w:cs="宋体"/>
          <w:sz w:val="28"/>
          <w:szCs w:val="28"/>
        </w:rPr>
        <w:t xml:space="preserve">                                        </w:t>
      </w:r>
    </w:p>
    <w:p>
      <w:pPr>
        <w:tabs>
          <w:tab w:val="left" w:pos="6300"/>
        </w:tabs>
        <w:snapToGrid w:val="0"/>
        <w:spacing w:line="560" w:lineRule="exact"/>
        <w:ind w:firstLine="570"/>
        <w:rPr>
          <w:rFonts w:ascii="宋体" w:hAnsi="宋体" w:eastAsia="宋体" w:cs="宋体"/>
          <w:sz w:val="28"/>
          <w:szCs w:val="28"/>
        </w:rPr>
      </w:pPr>
      <w:r>
        <w:rPr>
          <w:rFonts w:hint="eastAsia" w:ascii="宋体" w:hAnsi="宋体" w:eastAsia="宋体" w:cs="宋体"/>
          <w:sz w:val="28"/>
          <w:szCs w:val="28"/>
        </w:rPr>
        <w:t xml:space="preserve">  </w:t>
      </w:r>
    </w:p>
    <w:p>
      <w:pPr>
        <w:tabs>
          <w:tab w:val="left" w:pos="6300"/>
        </w:tabs>
        <w:snapToGrid w:val="0"/>
        <w:spacing w:line="560" w:lineRule="exact"/>
        <w:ind w:firstLine="570"/>
        <w:jc w:val="right"/>
        <w:rPr>
          <w:rFonts w:ascii="宋体" w:hAnsi="宋体" w:eastAsia="宋体" w:cs="宋体"/>
          <w:sz w:val="28"/>
          <w:szCs w:val="28"/>
        </w:rPr>
      </w:pPr>
      <w:r>
        <w:rPr>
          <w:rFonts w:hint="eastAsia" w:ascii="宋体" w:hAnsi="宋体" w:eastAsia="宋体" w:cs="宋体"/>
          <w:sz w:val="28"/>
          <w:szCs w:val="28"/>
        </w:rPr>
        <w:t>（供应商公章）</w:t>
      </w:r>
    </w:p>
    <w:p>
      <w:pPr>
        <w:jc w:val="right"/>
        <w:rPr>
          <w:rFonts w:ascii="宋体" w:hAnsi="宋体" w:eastAsia="宋体" w:cs="宋体"/>
          <w:sz w:val="28"/>
          <w:szCs w:val="28"/>
        </w:rPr>
      </w:pPr>
      <w:r>
        <w:rPr>
          <w:rFonts w:hint="eastAsia" w:ascii="宋体" w:hAnsi="宋体" w:eastAsia="宋体" w:cs="宋体"/>
          <w:sz w:val="28"/>
          <w:szCs w:val="28"/>
        </w:rPr>
        <w:t>年   月   日</w:t>
      </w:r>
    </w:p>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975F51B0-2AE5-40E2-96F6-B3F97D322F1F}"/>
  </w:font>
  <w:font w:name="方正小标宋_GBK">
    <w:panose1 w:val="02000000000000000000"/>
    <w:charset w:val="86"/>
    <w:family w:val="script"/>
    <w:pitch w:val="default"/>
    <w:sig w:usb0="00000001" w:usb1="080E0000" w:usb2="00000000" w:usb3="00000000" w:csb0="00040000" w:csb1="00000000"/>
    <w:embedRegular r:id="rId2" w:fontKey="{07FF459F-BE6C-4022-B468-1E448390E95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DEEDA"/>
    <w:multiLevelType w:val="singleLevel"/>
    <w:tmpl w:val="FC4DEED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jYWI1YTc5ZTU5MTM2MmM3NzYxOGZlZmM0OWExYzQifQ=="/>
  </w:docVars>
  <w:rsids>
    <w:rsidRoot w:val="018650E6"/>
    <w:rsid w:val="00025EC7"/>
    <w:rsid w:val="001E2225"/>
    <w:rsid w:val="002009C5"/>
    <w:rsid w:val="00236AC9"/>
    <w:rsid w:val="0028441B"/>
    <w:rsid w:val="00302CA3"/>
    <w:rsid w:val="00465AA6"/>
    <w:rsid w:val="00521B9B"/>
    <w:rsid w:val="005943CC"/>
    <w:rsid w:val="006658E6"/>
    <w:rsid w:val="00714D9C"/>
    <w:rsid w:val="00725E30"/>
    <w:rsid w:val="007C57BF"/>
    <w:rsid w:val="008162EE"/>
    <w:rsid w:val="009664C3"/>
    <w:rsid w:val="00A33F99"/>
    <w:rsid w:val="00A42775"/>
    <w:rsid w:val="00B40699"/>
    <w:rsid w:val="00B76B20"/>
    <w:rsid w:val="00BE20C5"/>
    <w:rsid w:val="00C56504"/>
    <w:rsid w:val="00C9725E"/>
    <w:rsid w:val="00D31C1D"/>
    <w:rsid w:val="00DF287D"/>
    <w:rsid w:val="00FE1005"/>
    <w:rsid w:val="018650E6"/>
    <w:rsid w:val="0C007E65"/>
    <w:rsid w:val="1C962C76"/>
    <w:rsid w:val="23E65403"/>
    <w:rsid w:val="32973A05"/>
    <w:rsid w:val="3ADD6784"/>
    <w:rsid w:val="451F6F83"/>
    <w:rsid w:val="46793F0A"/>
    <w:rsid w:val="506F2EAC"/>
    <w:rsid w:val="52055239"/>
    <w:rsid w:val="58967865"/>
    <w:rsid w:val="770B7588"/>
    <w:rsid w:val="78E00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rPr>
  </w:style>
  <w:style w:type="paragraph" w:styleId="4">
    <w:name w:val="Body Text Indent 2"/>
    <w:basedOn w:val="1"/>
    <w:qFormat/>
    <w:uiPriority w:val="0"/>
    <w:pPr>
      <w:snapToGrid w:val="0"/>
      <w:spacing w:line="560" w:lineRule="atLeast"/>
      <w:ind w:firstLine="540"/>
    </w:pPr>
    <w:rPr>
      <w:sz w:val="28"/>
    </w:rPr>
  </w:style>
  <w:style w:type="paragraph" w:styleId="5">
    <w:name w:val="Balloon Text"/>
    <w:basedOn w:val="1"/>
    <w:link w:val="11"/>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tabs>
        <w:tab w:val="center" w:pos="4153"/>
        <w:tab w:val="right" w:pos="8306"/>
      </w:tabs>
      <w:snapToGrid w:val="0"/>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批注框文本 字符"/>
    <w:basedOn w:val="9"/>
    <w:link w:val="5"/>
    <w:qFormat/>
    <w:uiPriority w:val="0"/>
    <w:rPr>
      <w:rFonts w:asciiTheme="minorHAnsi" w:hAnsiTheme="minorHAnsi" w:eastAsiaTheme="minorEastAsia" w:cstheme="minorBidi"/>
      <w:kern w:val="2"/>
      <w:sz w:val="18"/>
      <w:szCs w:val="18"/>
    </w:rPr>
  </w:style>
  <w:style w:type="paragraph" w:customStyle="1" w:styleId="12">
    <w:name w:val="Revision"/>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13">
    <w:name w:val="页眉 字符"/>
    <w:basedOn w:val="9"/>
    <w:link w:val="7"/>
    <w:qFormat/>
    <w:uiPriority w:val="0"/>
    <w:rPr>
      <w:rFonts w:asciiTheme="minorHAnsi" w:hAnsiTheme="minorHAnsi" w:eastAsiaTheme="minorEastAsia" w:cstheme="minorBidi"/>
      <w:kern w:val="2"/>
      <w:sz w:val="18"/>
      <w:szCs w:val="18"/>
    </w:rPr>
  </w:style>
  <w:style w:type="character" w:customStyle="1" w:styleId="14">
    <w:name w:val="页脚 字符"/>
    <w:basedOn w:val="9"/>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6739</Words>
  <Characters>4500</Characters>
  <Lines>37</Lines>
  <Paragraphs>22</Paragraphs>
  <TotalTime>1</TotalTime>
  <ScaleCrop>false</ScaleCrop>
  <LinksUpToDate>false</LinksUpToDate>
  <CharactersWithSpaces>11217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2023-10-29T02:30:00Z</dcterms:created>
  <dc:creator>海棠依旧</dc:creator>
  <cp:lastModifiedBy>姚姚</cp:lastModifiedBy>
  <dcterms:modified xsi:type="dcterms:W3CDTF">2023-10-30T09:58:12Z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23D9734505994B64B0649BE59E2A16A3_13</vt:lpwstr>
  </property>
</Properties>
</file>