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重庆医科大学</w:t>
      </w:r>
    </w:p>
    <w:p>
      <w:pPr>
        <w:spacing w:line="760" w:lineRule="exact"/>
        <w:jc w:val="center"/>
        <w:rPr>
          <w:rFonts w:hint="eastAsia" w:ascii="宋体" w:hAnsi="宋体" w:eastAsia="宋体" w:cs="宋体"/>
          <w:color w:val="auto"/>
          <w:sz w:val="72"/>
          <w:szCs w:val="72"/>
          <w:highlight w:val="none"/>
        </w:rPr>
      </w:pPr>
    </w:p>
    <w:p>
      <w:pPr>
        <w:spacing w:line="760" w:lineRule="exact"/>
        <w:jc w:val="center"/>
        <w:outlineLvl w:val="0"/>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竞争性谈判文件</w:t>
      </w:r>
    </w:p>
    <w:p>
      <w:pPr>
        <w:spacing w:line="760" w:lineRule="exact"/>
        <w:rPr>
          <w:rFonts w:hint="eastAsia" w:ascii="宋体" w:hAnsi="宋体" w:eastAsia="宋体" w:cs="宋体"/>
          <w:color w:val="auto"/>
          <w:spacing w:val="80"/>
          <w:sz w:val="44"/>
          <w:szCs w:val="44"/>
          <w:highlight w:val="none"/>
        </w:rPr>
      </w:pPr>
    </w:p>
    <w:p>
      <w:pPr>
        <w:spacing w:line="760" w:lineRule="exact"/>
        <w:jc w:val="center"/>
        <w:rPr>
          <w:rFonts w:hint="eastAsia" w:ascii="宋体" w:hAnsi="宋体" w:eastAsia="宋体" w:cs="宋体"/>
          <w:color w:val="auto"/>
          <w:spacing w:val="80"/>
          <w:sz w:val="44"/>
          <w:szCs w:val="44"/>
          <w:highlight w:val="none"/>
        </w:rPr>
      </w:pPr>
    </w:p>
    <w:p>
      <w:pPr>
        <w:spacing w:line="760" w:lineRule="exact"/>
        <w:jc w:val="left"/>
        <w:rPr>
          <w:rFonts w:hint="eastAsia" w:ascii="宋体" w:hAnsi="宋体" w:eastAsia="宋体" w:cs="宋体"/>
          <w:color w:val="auto"/>
          <w:sz w:val="44"/>
          <w:szCs w:val="44"/>
          <w:highlight w:val="none"/>
          <w:lang w:eastAsia="zh-CN"/>
        </w:rPr>
      </w:pPr>
      <w:r>
        <w:rPr>
          <w:rFonts w:hint="eastAsia" w:ascii="宋体" w:hAnsi="宋体" w:eastAsia="宋体" w:cs="宋体"/>
          <w:color w:val="auto"/>
          <w:sz w:val="44"/>
          <w:szCs w:val="44"/>
          <w:highlight w:val="none"/>
        </w:rPr>
        <w:t>采购计划编号：</w:t>
      </w:r>
      <w:r>
        <w:rPr>
          <w:rFonts w:hint="eastAsia" w:ascii="宋体" w:hAnsi="宋体" w:cs="宋体"/>
          <w:color w:val="auto"/>
          <w:sz w:val="44"/>
          <w:szCs w:val="44"/>
          <w:highlight w:val="none"/>
          <w:lang w:eastAsia="zh-CN"/>
        </w:rPr>
        <w:t>JC202309250028</w:t>
      </w:r>
    </w:p>
    <w:p>
      <w:pPr>
        <w:spacing w:line="760" w:lineRule="exact"/>
        <w:ind w:left="3080" w:hanging="3080" w:hangingChars="700"/>
        <w:jc w:val="left"/>
        <w:rPr>
          <w:rFonts w:hint="eastAsia" w:ascii="宋体" w:hAnsi="宋体" w:eastAsia="宋体" w:cs="宋体"/>
          <w:color w:val="auto"/>
          <w:sz w:val="44"/>
          <w:szCs w:val="44"/>
          <w:highlight w:val="none"/>
          <w:lang w:eastAsia="zh-CN"/>
        </w:rPr>
      </w:pPr>
      <w:r>
        <w:rPr>
          <w:rFonts w:hint="eastAsia" w:ascii="宋体" w:hAnsi="宋体" w:eastAsia="宋体" w:cs="宋体"/>
          <w:color w:val="auto"/>
          <w:sz w:val="44"/>
          <w:szCs w:val="44"/>
          <w:highlight w:val="none"/>
        </w:rPr>
        <w:t>采购项目名称：</w:t>
      </w:r>
      <w:r>
        <w:rPr>
          <w:rFonts w:hint="eastAsia" w:ascii="宋体" w:hAnsi="宋体" w:cs="宋体"/>
          <w:color w:val="auto"/>
          <w:sz w:val="44"/>
          <w:szCs w:val="44"/>
          <w:highlight w:val="none"/>
          <w:lang w:eastAsia="zh-CN"/>
        </w:rPr>
        <w:t>重庆医科大学基础医学院新增实验室边台等家具</w:t>
      </w:r>
    </w:p>
    <w:p>
      <w:pPr>
        <w:spacing w:line="760" w:lineRule="exact"/>
        <w:rPr>
          <w:rFonts w:hint="eastAsia" w:ascii="宋体" w:hAnsi="宋体" w:eastAsia="宋体" w:cs="宋体"/>
          <w:color w:val="auto"/>
          <w:sz w:val="44"/>
          <w:szCs w:val="44"/>
          <w:highlight w:val="none"/>
        </w:rPr>
      </w:pPr>
    </w:p>
    <w:p>
      <w:pPr>
        <w:spacing w:line="760" w:lineRule="exact"/>
        <w:jc w:val="center"/>
        <w:rPr>
          <w:rFonts w:hint="eastAsia" w:ascii="宋体" w:hAnsi="宋体" w:eastAsia="宋体" w:cs="宋体"/>
          <w:color w:val="auto"/>
          <w:sz w:val="36"/>
          <w:szCs w:val="36"/>
          <w:highlight w:val="none"/>
        </w:rPr>
      </w:pPr>
    </w:p>
    <w:p>
      <w:pPr>
        <w:spacing w:line="760" w:lineRule="exact"/>
        <w:jc w:val="center"/>
        <w:rPr>
          <w:rFonts w:hint="eastAsia" w:ascii="宋体" w:hAnsi="宋体" w:eastAsia="宋体" w:cs="宋体"/>
          <w:color w:val="auto"/>
          <w:sz w:val="36"/>
          <w:szCs w:val="36"/>
          <w:highlight w:val="none"/>
        </w:rPr>
      </w:pPr>
    </w:p>
    <w:p>
      <w:pPr>
        <w:spacing w:line="76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采购人：重庆医科大学</w:t>
      </w:r>
    </w:p>
    <w:p>
      <w:pPr>
        <w:spacing w:line="760" w:lineRule="exact"/>
        <w:jc w:val="center"/>
        <w:rPr>
          <w:rFonts w:hint="eastAsia" w:ascii="宋体" w:hAnsi="宋体" w:eastAsia="宋体" w:cs="宋体"/>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eastAsia="宋体" w:cs="宋体"/>
          <w:color w:val="auto"/>
          <w:sz w:val="36"/>
          <w:szCs w:val="36"/>
          <w:highlight w:val="none"/>
        </w:rPr>
        <w:t>二〇二三年</w:t>
      </w:r>
      <w:r>
        <w:rPr>
          <w:rFonts w:hint="eastAsia" w:ascii="宋体" w:hAnsi="宋体" w:cs="宋体"/>
          <w:color w:val="auto"/>
          <w:sz w:val="36"/>
          <w:szCs w:val="36"/>
          <w:highlight w:val="none"/>
          <w:lang w:val="en-US" w:eastAsia="zh-CN"/>
        </w:rPr>
        <w:t>十</w:t>
      </w:r>
      <w:r>
        <w:rPr>
          <w:rFonts w:hint="eastAsia" w:ascii="宋体" w:hAnsi="宋体" w:eastAsia="宋体" w:cs="宋体"/>
          <w:color w:val="auto"/>
          <w:sz w:val="36"/>
          <w:szCs w:val="36"/>
          <w:highlight w:val="none"/>
        </w:rPr>
        <w:t>月</w:t>
      </w:r>
    </w:p>
    <w:p>
      <w:pPr>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目录</w:t>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TOC \o "1-3" \h \z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_Toc27022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第一篇竞争性谈判邀请书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_Toc27022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_Toc31074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一、竞争性谈判内容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_Toc31074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_Toc27838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二、资金来源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_Toc27838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_Toc9297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三、谈判资格</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_Toc9297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_Toc6679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四、谈判有关说明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_Toc6679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- 3 -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_Toc12022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五、保证金</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_Toc12022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_Toc27314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六、采购项目需落实的政府采购政策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_Toc27314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_Toc29092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七、其它有关规定</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_Toc29092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_Toc29388 </w:instrText>
      </w:r>
      <w:r>
        <w:rPr>
          <w:rFonts w:hint="eastAsia" w:ascii="宋体" w:hAnsi="宋体" w:eastAsia="宋体" w:cs="宋体"/>
          <w:color w:val="auto"/>
          <w:szCs w:val="28"/>
          <w:highlight w:val="none"/>
        </w:rPr>
        <w:fldChar w:fldCharType="separate"/>
      </w:r>
      <w:r>
        <w:rPr>
          <w:rFonts w:hint="eastAsia" w:ascii="宋体" w:hAnsi="宋体" w:eastAsia="宋体" w:cs="宋体"/>
          <w:bCs/>
          <w:color w:val="auto"/>
          <w:szCs w:val="28"/>
          <w:highlight w:val="none"/>
        </w:rPr>
        <w:t>八、联系方式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_Toc29388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_Toc8205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第二篇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供应商须知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_Toc8205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_Toc28174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一、谈判费用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_Toc28174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_Toc2799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二、竞争性谈判文件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_Toc2799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_Toc18195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三、谈判要求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_Toc18195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_Toc9218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四、谈判程序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_Toc9218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_Toc15377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五、评审依据</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_Toc15377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_Toc32384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六、成交原则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_Toc32384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_Toc4559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七、成交通知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_Toc4559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_Toc6334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八、关于质疑和投诉</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_Toc6334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- 19 -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_Toc3921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九、签订合同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_Toc3921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- 21 -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_Toc24488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第三篇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谈判项目技术需求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_Toc24488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_Toc4065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 项目一览表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_Toc4065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_Toc9003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二、技术规格及质量要求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_Toc9003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_Toc9820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第四篇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谈判项目服务需求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_Toc9820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_Toc10953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一、交货时间、地点及验收方式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_Toc10953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_Toc25583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二、质量保证及售后服务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_Toc25583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_Toc21483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三、报价要求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_Toc21483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_Toc9632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五、知识产权</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_Toc9632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_Toc12209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六、培训</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_Toc12209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_Toc10083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七、其他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_Toc10083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- 28 -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_Toc1099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第五篇</w:t>
      </w:r>
      <w:r>
        <w:rPr>
          <w:rFonts w:hint="eastAsia" w:ascii="宋体" w:hAnsi="宋体" w:eastAsia="宋体" w:cs="宋体"/>
          <w:color w:val="auto"/>
          <w:szCs w:val="44"/>
          <w:highlight w:val="none"/>
          <w:lang w:val="en-US" w:eastAsia="zh-CN"/>
        </w:rPr>
        <w:t xml:space="preserve"> </w:t>
      </w:r>
      <w:r>
        <w:rPr>
          <w:rFonts w:hint="eastAsia" w:ascii="宋体" w:hAnsi="宋体" w:eastAsia="宋体" w:cs="宋体"/>
          <w:color w:val="auto"/>
          <w:szCs w:val="44"/>
          <w:highlight w:val="none"/>
        </w:rPr>
        <w:t>合同草案条款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_Toc1099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- 29 -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_Toc20616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44"/>
          <w:highlight w:val="none"/>
        </w:rPr>
        <w:t>第六篇响应文件格式要求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_Toc20616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- 40 -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_Toc30246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一、经济部分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_Toc30246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_Toc3255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二、技术部分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_Toc3255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- 45 -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_Toc32626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三、服务部分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_Toc32626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- 46 -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_Toc24040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四、资格条件及其他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_Toc24040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- 47 -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29"/>
        <w:tabs>
          <w:tab w:val="right" w:leader="dot" w:pos="9412"/>
        </w:tabs>
        <w:rPr>
          <w:rFonts w:hint="eastAsia" w:ascii="宋体" w:hAnsi="宋体" w:eastAsia="宋体" w:cs="宋体"/>
          <w:color w:val="auto"/>
          <w:highlight w:val="none"/>
        </w:rPr>
      </w:pPr>
      <w:r>
        <w:rPr>
          <w:rFonts w:hint="eastAsia" w:ascii="宋体" w:hAnsi="宋体" w:eastAsia="宋体" w:cs="宋体"/>
          <w:color w:val="auto"/>
          <w:szCs w:val="28"/>
          <w:highlight w:val="none"/>
        </w:rPr>
        <w:fldChar w:fldCharType="begin"/>
      </w:r>
      <w:r>
        <w:rPr>
          <w:rFonts w:hint="eastAsia" w:ascii="宋体" w:hAnsi="宋体" w:eastAsia="宋体" w:cs="宋体"/>
          <w:color w:val="auto"/>
          <w:szCs w:val="28"/>
          <w:highlight w:val="none"/>
        </w:rPr>
        <w:instrText xml:space="preserve"> HYPERLINK \l _Toc20674 </w:instrText>
      </w:r>
      <w:r>
        <w:rPr>
          <w:rFonts w:hint="eastAsia" w:ascii="宋体" w:hAnsi="宋体" w:eastAsia="宋体" w:cs="宋体"/>
          <w:color w:val="auto"/>
          <w:szCs w:val="28"/>
          <w:highlight w:val="none"/>
        </w:rPr>
        <w:fldChar w:fldCharType="separate"/>
      </w:r>
      <w:r>
        <w:rPr>
          <w:rFonts w:hint="eastAsia" w:ascii="宋体" w:hAnsi="宋体" w:eastAsia="宋体" w:cs="宋体"/>
          <w:color w:val="auto"/>
          <w:szCs w:val="28"/>
          <w:highlight w:val="none"/>
        </w:rPr>
        <w:t>五、其他应提供的资料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_Toc20674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- 52 -</w:t>
      </w:r>
      <w:r>
        <w:rPr>
          <w:rFonts w:hint="eastAsia" w:ascii="宋体" w:hAnsi="宋体" w:eastAsia="宋体" w:cs="宋体"/>
          <w:color w:val="auto"/>
          <w:highlight w:val="none"/>
        </w:rPr>
        <w:fldChar w:fldCharType="end"/>
      </w:r>
      <w:r>
        <w:rPr>
          <w:rFonts w:hint="eastAsia" w:ascii="宋体" w:hAnsi="宋体" w:eastAsia="宋体" w:cs="宋体"/>
          <w:color w:val="auto"/>
          <w:szCs w:val="28"/>
          <w:highlight w:val="none"/>
        </w:rPr>
        <w:fldChar w:fldCharType="end"/>
      </w:r>
    </w:p>
    <w:p>
      <w:pPr>
        <w:pStyle w:val="45"/>
        <w:tabs>
          <w:tab w:val="right" w:leader="dot" w:pos="9402"/>
        </w:tabs>
        <w:spacing w:line="360" w:lineRule="exact"/>
        <w:ind w:left="0" w:leftChars="0"/>
        <w:rPr>
          <w:rFonts w:hint="eastAsia" w:ascii="宋体" w:hAnsi="宋体" w:eastAsia="宋体" w:cs="宋体"/>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color w:val="auto"/>
          <w:szCs w:val="28"/>
          <w:highlight w:val="none"/>
        </w:rPr>
        <w:fldChar w:fldCharType="end"/>
      </w:r>
    </w:p>
    <w:p>
      <w:pPr>
        <w:pStyle w:val="3"/>
        <w:spacing w:before="0" w:after="0" w:line="560" w:lineRule="exact"/>
        <w:jc w:val="center"/>
        <w:rPr>
          <w:rFonts w:hint="eastAsia" w:ascii="宋体" w:hAnsi="宋体" w:eastAsia="宋体" w:cs="宋体"/>
          <w:b w:val="0"/>
          <w:color w:val="auto"/>
          <w:sz w:val="44"/>
          <w:szCs w:val="44"/>
          <w:highlight w:val="none"/>
        </w:rPr>
      </w:pPr>
      <w:bookmarkStart w:id="0" w:name="_Toc27022"/>
      <w:bookmarkStart w:id="1" w:name="_Toc11641050"/>
      <w:bookmarkStart w:id="2" w:name="_Toc12789052"/>
      <w:r>
        <w:rPr>
          <w:rFonts w:hint="eastAsia" w:ascii="宋体" w:hAnsi="宋体" w:eastAsia="宋体" w:cs="宋体"/>
          <w:b w:val="0"/>
          <w:color w:val="auto"/>
          <w:sz w:val="44"/>
          <w:szCs w:val="44"/>
          <w:highlight w:val="none"/>
        </w:rPr>
        <w:t>第一篇竞争性谈判邀请书</w:t>
      </w:r>
      <w:bookmarkEnd w:id="0"/>
      <w:bookmarkEnd w:id="1"/>
      <w:bookmarkEnd w:id="2"/>
    </w:p>
    <w:p>
      <w:pPr>
        <w:snapToGrid w:val="0"/>
        <w:spacing w:line="560" w:lineRule="exact"/>
        <w:ind w:firstLine="560" w:firstLineChars="200"/>
        <w:rPr>
          <w:rFonts w:hint="eastAsia" w:ascii="宋体" w:hAnsi="宋体" w:eastAsia="宋体" w:cs="宋体"/>
          <w:color w:val="auto"/>
          <w:szCs w:val="28"/>
          <w:highlight w:val="none"/>
        </w:rPr>
      </w:pPr>
      <w:bookmarkStart w:id="3" w:name="_Toc373860293"/>
      <w:bookmarkStart w:id="4" w:name="_Toc317775178"/>
      <w:r>
        <w:rPr>
          <w:rFonts w:hint="eastAsia" w:ascii="宋体" w:hAnsi="宋体" w:eastAsia="宋体" w:cs="宋体"/>
          <w:color w:val="auto"/>
          <w:szCs w:val="28"/>
          <w:highlight w:val="none"/>
        </w:rPr>
        <w:t>重庆医科大学对</w:t>
      </w:r>
      <w:r>
        <w:rPr>
          <w:rFonts w:hint="eastAsia" w:ascii="宋体" w:hAnsi="宋体" w:eastAsia="宋体" w:cs="宋体"/>
          <w:color w:val="auto"/>
          <w:szCs w:val="28"/>
          <w:highlight w:val="none"/>
        </w:rPr>
        <w:t>“</w:t>
      </w:r>
      <w:r>
        <w:rPr>
          <w:rFonts w:hint="eastAsia" w:ascii="宋体" w:hAnsi="宋体" w:cs="宋体"/>
          <w:color w:val="auto"/>
          <w:kern w:val="0"/>
          <w:szCs w:val="28"/>
          <w:highlight w:val="none"/>
          <w:lang w:eastAsia="zh-CN"/>
        </w:rPr>
        <w:t>重庆医科大学基础医学院新增实验室边台等家具</w:t>
      </w:r>
      <w:r>
        <w:rPr>
          <w:rFonts w:hint="eastAsia" w:ascii="宋体" w:hAnsi="宋体" w:eastAsia="宋体" w:cs="宋体"/>
          <w:color w:val="auto"/>
          <w:szCs w:val="28"/>
          <w:highlight w:val="none"/>
        </w:rPr>
        <w:t>”</w:t>
      </w:r>
      <w:r>
        <w:rPr>
          <w:rFonts w:hint="eastAsia" w:ascii="宋体" w:hAnsi="宋体" w:eastAsia="宋体" w:cs="宋体"/>
          <w:color w:val="auto"/>
          <w:szCs w:val="28"/>
          <w:highlight w:val="none"/>
        </w:rPr>
        <w:t>项目进行竞争性谈判采购。欢迎有资格的供应商前来参加谈判。</w:t>
      </w:r>
    </w:p>
    <w:p>
      <w:pPr>
        <w:pStyle w:val="4"/>
        <w:spacing w:before="0" w:after="0" w:line="560" w:lineRule="exact"/>
        <w:ind w:firstLine="420" w:firstLineChars="150"/>
        <w:rPr>
          <w:rFonts w:hint="eastAsia" w:ascii="宋体" w:hAnsi="宋体" w:eastAsia="宋体" w:cs="宋体"/>
          <w:b w:val="0"/>
          <w:color w:val="auto"/>
          <w:sz w:val="28"/>
          <w:szCs w:val="28"/>
          <w:highlight w:val="none"/>
        </w:rPr>
      </w:pPr>
      <w:bookmarkStart w:id="5" w:name="_Toc313893526"/>
      <w:bookmarkStart w:id="6" w:name="_Toc317775175"/>
      <w:bookmarkStart w:id="7" w:name="_Toc535312130"/>
      <w:bookmarkStart w:id="8" w:name="_Toc31074"/>
      <w:r>
        <w:rPr>
          <w:rFonts w:hint="eastAsia" w:ascii="宋体" w:hAnsi="宋体" w:eastAsia="宋体" w:cs="宋体"/>
          <w:b w:val="0"/>
          <w:color w:val="auto"/>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保证金</w:t>
            </w:r>
          </w:p>
          <w:p>
            <w:pPr>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Cs/>
                <w:color w:val="auto"/>
                <w:kern w:val="0"/>
                <w:szCs w:val="28"/>
                <w:highlight w:val="none"/>
              </w:rPr>
            </w:pPr>
            <w:r>
              <w:rPr>
                <w:rFonts w:hint="eastAsia" w:ascii="宋体" w:hAnsi="宋体" w:eastAsia="宋体" w:cs="宋体"/>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auto"/>
                <w:kern w:val="0"/>
                <w:szCs w:val="28"/>
                <w:highlight w:val="none"/>
                <w:lang w:eastAsia="zh-CN"/>
              </w:rPr>
            </w:pPr>
            <w:bookmarkStart w:id="9" w:name="_Hlk344477914"/>
            <w:r>
              <w:rPr>
                <w:rFonts w:hint="eastAsia" w:ascii="宋体" w:hAnsi="宋体" w:cs="宋体"/>
                <w:color w:val="auto"/>
                <w:kern w:val="0"/>
                <w:szCs w:val="28"/>
                <w:highlight w:val="none"/>
                <w:lang w:eastAsia="zh-CN"/>
              </w:rPr>
              <w:t>重庆医科大学基础医学院新增实验室边台等家具</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cs="宋体"/>
                <w:color w:val="auto"/>
                <w:szCs w:val="28"/>
                <w:highlight w:val="none"/>
                <w:lang w:val="en-US" w:eastAsia="zh-CN"/>
              </w:rPr>
            </w:pPr>
            <w:r>
              <w:rPr>
                <w:rFonts w:hint="eastAsia" w:ascii="宋体" w:hAnsi="宋体" w:cs="宋体"/>
                <w:color w:val="auto"/>
                <w:szCs w:val="28"/>
                <w:highlight w:val="none"/>
                <w:lang w:val="en-US" w:eastAsia="zh-CN"/>
              </w:rPr>
              <w:t>18</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cs="宋体"/>
                <w:color w:val="auto"/>
                <w:szCs w:val="28"/>
                <w:highlight w:val="none"/>
                <w:lang w:val="en-US" w:eastAsia="zh-CN"/>
              </w:rPr>
            </w:pPr>
            <w:r>
              <w:rPr>
                <w:rFonts w:hint="eastAsia" w:ascii="宋体" w:hAnsi="宋体" w:cs="宋体"/>
                <w:color w:val="auto"/>
                <w:szCs w:val="28"/>
                <w:highlight w:val="none"/>
                <w:lang w:val="en-US" w:eastAsia="zh-CN"/>
              </w:rPr>
              <w:t>0.36</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auto"/>
                <w:kern w:val="0"/>
                <w:szCs w:val="28"/>
                <w:highlight w:val="none"/>
              </w:rPr>
            </w:pPr>
          </w:p>
        </w:tc>
      </w:tr>
      <w:bookmarkEnd w:id="9"/>
    </w:tbl>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0" w:name="_Toc27838"/>
      <w:r>
        <w:rPr>
          <w:rFonts w:hint="eastAsia" w:ascii="宋体" w:hAnsi="宋体" w:eastAsia="宋体" w:cs="宋体"/>
          <w:b w:val="0"/>
          <w:color w:val="auto"/>
          <w:sz w:val="28"/>
          <w:szCs w:val="28"/>
          <w:highlight w:val="none"/>
        </w:rPr>
        <w:t>二、资金来源</w:t>
      </w:r>
      <w:bookmarkEnd w:id="10"/>
    </w:p>
    <w:p>
      <w:pPr>
        <w:spacing w:line="560" w:lineRule="exact"/>
        <w:ind w:firstLine="560" w:firstLineChars="20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学校自筹，资金已到位。</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1" w:name="_Toc9297"/>
      <w:r>
        <w:rPr>
          <w:rFonts w:hint="eastAsia" w:ascii="宋体" w:hAnsi="宋体" w:eastAsia="宋体" w:cs="宋体"/>
          <w:b w:val="0"/>
          <w:color w:val="auto"/>
          <w:sz w:val="28"/>
          <w:szCs w:val="28"/>
          <w:highlight w:val="none"/>
        </w:rPr>
        <w:t>三、谈判资格</w:t>
      </w:r>
      <w:bookmarkEnd w:id="11"/>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（一）一般资格条件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1.具有独立承担民事责任的能力；</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2.具有良好的商业信誉和健全的财务会计制度；</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3.具有履行合同所必需的设备和专业技术能力；</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4.有依法缴纳税收和社会保障资金的良好记录；</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5.参加政府采购活动前三年内，在经营活动中没有重大违法记录；</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6.法律、行政法规规定的其他条件。</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2" w:name="_Toc6679"/>
      <w:r>
        <w:rPr>
          <w:rFonts w:hint="eastAsia" w:ascii="宋体" w:hAnsi="宋体" w:eastAsia="宋体" w:cs="宋体"/>
          <w:b w:val="0"/>
          <w:color w:val="auto"/>
          <w:sz w:val="28"/>
          <w:szCs w:val="28"/>
          <w:highlight w:val="none"/>
        </w:rPr>
        <w:t>四、谈判有关说明</w:t>
      </w:r>
      <w:bookmarkEnd w:id="3"/>
      <w:bookmarkEnd w:id="12"/>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（二）凡有意参加谈判的供应商，请于公告发布之日（2023年</w:t>
      </w:r>
      <w:r>
        <w:rPr>
          <w:rFonts w:hint="eastAsia" w:ascii="宋体" w:hAnsi="宋体" w:cs="宋体"/>
          <w:color w:val="auto"/>
          <w:szCs w:val="28"/>
          <w:highlight w:val="none"/>
          <w:lang w:val="en-US" w:eastAsia="zh-CN"/>
        </w:rPr>
        <w:t>10</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30</w:t>
      </w:r>
      <w:r>
        <w:rPr>
          <w:rFonts w:hint="eastAsia" w:ascii="宋体" w:hAnsi="宋体" w:eastAsia="宋体" w:cs="宋体"/>
          <w:color w:val="auto"/>
          <w:szCs w:val="28"/>
          <w:highlight w:val="none"/>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（三）报名方式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1.报名期限：</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10</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30</w:t>
      </w:r>
      <w:r>
        <w:rPr>
          <w:rFonts w:hint="eastAsia" w:ascii="宋体" w:hAnsi="宋体" w:eastAsia="宋体" w:cs="宋体"/>
          <w:color w:val="auto"/>
          <w:szCs w:val="28"/>
          <w:highlight w:val="none"/>
        </w:rPr>
        <w:t>日9：00至2023年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eastAsia="宋体" w:cs="宋体"/>
          <w:color w:val="auto"/>
          <w:szCs w:val="28"/>
          <w:highlight w:val="none"/>
          <w:lang w:val="en-US" w:eastAsia="zh-CN"/>
        </w:rPr>
        <w:t>1</w:t>
      </w:r>
      <w:r>
        <w:rPr>
          <w:rFonts w:hint="eastAsia" w:ascii="宋体" w:hAnsi="宋体" w:eastAsia="宋体" w:cs="宋体"/>
          <w:color w:val="auto"/>
          <w:szCs w:val="28"/>
          <w:highlight w:val="none"/>
        </w:rPr>
        <w:t>日17:00</w:t>
      </w:r>
      <w:r>
        <w:rPr>
          <w:rFonts w:hint="eastAsia" w:ascii="宋体" w:hAnsi="宋体" w:eastAsia="宋体" w:cs="宋体"/>
          <w:color w:val="auto"/>
          <w:szCs w:val="28"/>
          <w:highlight w:val="none"/>
        </w:rPr>
        <w:t>（法定公休日、法定节假日除外）</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2.在报名期限内，投标人将保证金汇款凭证（注明采购计划编号、采购项目名称）、供应商名称及地址、联系人姓名及联系方式、电子邮箱地址等相关信息，</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"mailto:在报名截止时间前发送至359781294@qq.com" </w:instrText>
      </w:r>
      <w:r>
        <w:rPr>
          <w:rFonts w:hint="eastAsia" w:ascii="宋体" w:hAnsi="宋体" w:eastAsia="宋体" w:cs="宋体"/>
          <w:color w:val="auto"/>
          <w:highlight w:val="none"/>
        </w:rPr>
        <w:fldChar w:fldCharType="separate"/>
      </w:r>
      <w:r>
        <w:rPr>
          <w:rStyle w:val="63"/>
          <w:rFonts w:hint="eastAsia" w:ascii="宋体" w:hAnsi="宋体" w:eastAsia="宋体" w:cs="宋体"/>
          <w:color w:val="auto"/>
          <w:szCs w:val="28"/>
          <w:highlight w:val="none"/>
        </w:rPr>
        <w:t>在报名截止时间前发送至359781294@qq.com</w:t>
      </w:r>
      <w:r>
        <w:rPr>
          <w:rStyle w:val="63"/>
          <w:rFonts w:hint="eastAsia" w:ascii="宋体" w:hAnsi="宋体" w:eastAsia="宋体" w:cs="宋体"/>
          <w:color w:val="auto"/>
          <w:szCs w:val="28"/>
          <w:highlight w:val="none"/>
        </w:rPr>
        <w:fldChar w:fldCharType="end"/>
      </w:r>
      <w:r>
        <w:rPr>
          <w:rFonts w:hint="eastAsia" w:ascii="宋体" w:hAnsi="宋体" w:eastAsia="宋体" w:cs="宋体"/>
          <w:color w:val="auto"/>
          <w:szCs w:val="28"/>
          <w:highlight w:val="none"/>
        </w:rPr>
        <w:t>邮箱。只有在规定时间内发送了报名信息的供应商的响应文件才被接收。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3.收到报名信息后，我校将为其办理进校备案，只有办理了备案的人员才能进入学校。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（四）供应商须满足以下三种要件，其响应文件才被接受：</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1、按时递交了响应文件；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2、按时报名签到；</w:t>
      </w:r>
      <w:bookmarkStart w:id="100" w:name="_GoBack"/>
      <w:bookmarkEnd w:id="100"/>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3、缴纳了</w:t>
      </w:r>
      <w:r>
        <w:rPr>
          <w:rFonts w:hint="eastAsia" w:ascii="宋体" w:hAnsi="宋体" w:eastAsia="宋体" w:cs="宋体"/>
          <w:color w:val="auto"/>
          <w:kern w:val="0"/>
          <w:szCs w:val="28"/>
          <w:highlight w:val="none"/>
        </w:rPr>
        <w:t>“</w:t>
      </w:r>
      <w:r>
        <w:rPr>
          <w:rFonts w:hint="eastAsia" w:ascii="宋体" w:hAnsi="宋体" w:cs="宋体"/>
          <w:color w:val="auto"/>
          <w:kern w:val="0"/>
          <w:szCs w:val="28"/>
          <w:highlight w:val="none"/>
          <w:lang w:eastAsia="zh-CN"/>
        </w:rPr>
        <w:t>重庆医科大学基础医学院新增实验室边台等家具</w:t>
      </w:r>
      <w:r>
        <w:rPr>
          <w:rFonts w:hint="eastAsia" w:ascii="宋体" w:hAnsi="宋体" w:eastAsia="宋体" w:cs="宋体"/>
          <w:color w:val="auto"/>
          <w:kern w:val="0"/>
          <w:szCs w:val="28"/>
          <w:highlight w:val="none"/>
        </w:rPr>
        <w:t>”</w:t>
      </w:r>
      <w:r>
        <w:rPr>
          <w:rFonts w:hint="eastAsia" w:ascii="宋体" w:hAnsi="宋体" w:eastAsia="宋体" w:cs="宋体"/>
          <w:color w:val="auto"/>
          <w:szCs w:val="28"/>
          <w:highlight w:val="none"/>
        </w:rPr>
        <w:t>项目保证金；</w:t>
      </w:r>
    </w:p>
    <w:p>
      <w:pPr>
        <w:spacing w:line="560" w:lineRule="exact"/>
        <w:ind w:firstLine="560" w:firstLineChars="20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color w:val="auto"/>
          <w:szCs w:val="28"/>
          <w:highlight w:val="none"/>
        </w:rPr>
        <w:t>（五）谈判地点：</w:t>
      </w:r>
      <w:r>
        <w:rPr>
          <w:rFonts w:hint="eastAsia" w:ascii="宋体" w:hAnsi="宋体" w:eastAsia="宋体" w:cs="宋体"/>
          <w:color w:val="auto"/>
          <w:szCs w:val="28"/>
          <w:highlight w:val="none"/>
        </w:rPr>
        <w:t>重庆医科大学</w:t>
      </w:r>
      <w:r>
        <w:rPr>
          <w:rFonts w:hint="eastAsia" w:ascii="宋体" w:hAnsi="宋体" w:eastAsia="宋体" w:cs="宋体"/>
          <w:color w:val="auto"/>
          <w:szCs w:val="28"/>
          <w:highlight w:val="none"/>
          <w:lang w:val="en-US" w:eastAsia="zh-CN"/>
        </w:rPr>
        <w:t>图书馆七楼</w:t>
      </w:r>
      <w:r>
        <w:rPr>
          <w:rFonts w:hint="eastAsia" w:ascii="宋体" w:hAnsi="宋体" w:cs="宋体"/>
          <w:color w:val="auto"/>
          <w:szCs w:val="28"/>
          <w:highlight w:val="none"/>
          <w:lang w:val="en-US" w:eastAsia="zh-CN"/>
        </w:rPr>
        <w:t>714室</w:t>
      </w:r>
      <w:r>
        <w:rPr>
          <w:rFonts w:hint="eastAsia" w:ascii="宋体" w:hAnsi="宋体" w:eastAsia="宋体" w:cs="宋体"/>
          <w:color w:val="auto"/>
          <w:szCs w:val="28"/>
          <w:highlight w:val="none"/>
          <w:lang w:val="en-US" w:eastAsia="zh-CN"/>
        </w:rPr>
        <w:t>（医学院路1号）</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（六）提交响应文件开始时间：</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上午10</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0</w:t>
      </w:r>
      <w:r>
        <w:rPr>
          <w:rFonts w:hint="eastAsia" w:ascii="宋体" w:hAnsi="宋体" w:eastAsia="宋体" w:cs="宋体"/>
          <w:color w:val="auto"/>
          <w:szCs w:val="28"/>
          <w:highlight w:val="none"/>
        </w:rPr>
        <w:t>0</w:t>
      </w:r>
    </w:p>
    <w:p>
      <w:pPr>
        <w:spacing w:line="560" w:lineRule="exact"/>
        <w:ind w:left="560" w:left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（七）提交响应文件截止时间：</w:t>
      </w:r>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eastAsia="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上午1</w:t>
      </w:r>
      <w:r>
        <w:rPr>
          <w:rFonts w:hint="eastAsia" w:ascii="宋体" w:hAnsi="宋体" w:cs="宋体"/>
          <w:color w:val="auto"/>
          <w:szCs w:val="28"/>
          <w:highlight w:val="none"/>
          <w:lang w:val="en-US" w:eastAsia="zh-CN"/>
        </w:rPr>
        <w:t>0</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3</w:t>
      </w:r>
      <w:r>
        <w:rPr>
          <w:rFonts w:hint="eastAsia" w:ascii="宋体" w:hAnsi="宋体" w:eastAsia="宋体" w:cs="宋体"/>
          <w:color w:val="auto"/>
          <w:szCs w:val="28"/>
          <w:highlight w:val="none"/>
        </w:rPr>
        <w:t>0</w:t>
      </w:r>
    </w:p>
    <w:p>
      <w:pPr>
        <w:spacing w:line="560" w:lineRule="exact"/>
        <w:ind w:left="560" w:left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（八）谈判开始时间：</w:t>
      </w:r>
      <w:bookmarkEnd w:id="4"/>
      <w:bookmarkStart w:id="13" w:name="_Toc525047161"/>
      <w:bookmarkStart w:id="14" w:name="_Toc373860294"/>
      <w:bookmarkStart w:id="15" w:name="_Toc521053053"/>
      <w:r>
        <w:rPr>
          <w:rFonts w:hint="eastAsia" w:ascii="宋体" w:hAnsi="宋体" w:eastAsia="宋体" w:cs="宋体"/>
          <w:color w:val="auto"/>
          <w:szCs w:val="28"/>
          <w:highlight w:val="none"/>
        </w:rPr>
        <w:t>2023年</w:t>
      </w:r>
      <w:r>
        <w:rPr>
          <w:rFonts w:hint="eastAsia" w:ascii="宋体" w:hAnsi="宋体" w:cs="宋体"/>
          <w:color w:val="auto"/>
          <w:szCs w:val="28"/>
          <w:highlight w:val="none"/>
          <w:lang w:val="en-US" w:eastAsia="zh-CN"/>
        </w:rPr>
        <w:t>11</w:t>
      </w:r>
      <w:r>
        <w:rPr>
          <w:rFonts w:hint="eastAsia" w:ascii="宋体" w:hAnsi="宋体" w:eastAsia="宋体" w:cs="宋体"/>
          <w:color w:val="auto"/>
          <w:szCs w:val="28"/>
          <w:highlight w:val="none"/>
        </w:rPr>
        <w:t>月</w:t>
      </w:r>
      <w:r>
        <w:rPr>
          <w:rFonts w:hint="eastAsia" w:ascii="宋体" w:hAnsi="宋体" w:eastAsia="宋体" w:cs="宋体"/>
          <w:color w:val="auto"/>
          <w:szCs w:val="28"/>
          <w:highlight w:val="none"/>
          <w:lang w:val="en-US" w:eastAsia="zh-CN"/>
        </w:rPr>
        <w:t>2</w:t>
      </w:r>
      <w:r>
        <w:rPr>
          <w:rFonts w:hint="eastAsia" w:ascii="宋体" w:hAnsi="宋体" w:eastAsia="宋体" w:cs="宋体"/>
          <w:color w:val="auto"/>
          <w:szCs w:val="28"/>
          <w:highlight w:val="none"/>
        </w:rPr>
        <w:t>日北京时间</w:t>
      </w:r>
      <w:r>
        <w:rPr>
          <w:rFonts w:hint="eastAsia" w:ascii="宋体" w:hAnsi="宋体" w:eastAsia="宋体" w:cs="宋体"/>
          <w:color w:val="auto"/>
          <w:szCs w:val="28"/>
          <w:highlight w:val="none"/>
          <w:lang w:val="en-US" w:eastAsia="zh-CN"/>
        </w:rPr>
        <w:t>上午1</w:t>
      </w:r>
      <w:r>
        <w:rPr>
          <w:rFonts w:hint="eastAsia" w:ascii="宋体" w:hAnsi="宋体" w:cs="宋体"/>
          <w:color w:val="auto"/>
          <w:szCs w:val="28"/>
          <w:highlight w:val="none"/>
          <w:lang w:val="en-US" w:eastAsia="zh-CN"/>
        </w:rPr>
        <w:t>0</w:t>
      </w:r>
      <w:r>
        <w:rPr>
          <w:rFonts w:hint="eastAsia" w:ascii="宋体" w:hAnsi="宋体" w:eastAsia="宋体" w:cs="宋体"/>
          <w:color w:val="auto"/>
          <w:szCs w:val="28"/>
          <w:highlight w:val="none"/>
        </w:rPr>
        <w:t>:</w:t>
      </w:r>
      <w:r>
        <w:rPr>
          <w:rFonts w:hint="eastAsia" w:ascii="宋体" w:hAnsi="宋体" w:cs="宋体"/>
          <w:color w:val="auto"/>
          <w:szCs w:val="28"/>
          <w:highlight w:val="none"/>
          <w:lang w:val="en-US" w:eastAsia="zh-CN"/>
        </w:rPr>
        <w:t>3</w:t>
      </w:r>
      <w:r>
        <w:rPr>
          <w:rFonts w:hint="eastAsia" w:ascii="宋体" w:hAnsi="宋体" w:eastAsia="宋体" w:cs="宋体"/>
          <w:color w:val="auto"/>
          <w:szCs w:val="28"/>
          <w:highlight w:val="none"/>
        </w:rPr>
        <w:t>0</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16" w:name="_Toc12022"/>
      <w:r>
        <w:rPr>
          <w:rFonts w:hint="eastAsia" w:ascii="宋体" w:hAnsi="宋体" w:eastAsia="宋体" w:cs="宋体"/>
          <w:b w:val="0"/>
          <w:color w:val="auto"/>
          <w:sz w:val="28"/>
          <w:szCs w:val="28"/>
          <w:highlight w:val="none"/>
        </w:rPr>
        <w:t>五、保证金</w:t>
      </w:r>
      <w:bookmarkEnd w:id="13"/>
      <w:bookmarkEnd w:id="14"/>
      <w:bookmarkEnd w:id="15"/>
      <w:bookmarkEnd w:id="16"/>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（一）缴纳保证金方式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1、按《重庆市财政局关于进一步规范投标报名及保证金缴纳的通知》的规定，具体缴纳方式如下：</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（1）分项目单次递交的供应商，须按本项目规定的保证金数额进行缴纳，由供应商从其基本账户将保证金汇至重庆医科大学的账号上，同时在进账凭证上明确“</w:t>
      </w:r>
      <w:r>
        <w:rPr>
          <w:rFonts w:hint="eastAsia" w:ascii="宋体" w:hAnsi="宋体" w:cs="宋体"/>
          <w:color w:val="auto"/>
          <w:kern w:val="0"/>
          <w:szCs w:val="28"/>
          <w:highlight w:val="none"/>
          <w:lang w:eastAsia="zh-CN"/>
        </w:rPr>
        <w:t>重庆医科大学基础医学院新增实验室边台等家具</w:t>
      </w:r>
      <w:r>
        <w:rPr>
          <w:rFonts w:hint="eastAsia" w:ascii="宋体" w:hAnsi="宋体" w:eastAsia="宋体" w:cs="宋体"/>
          <w:color w:val="auto"/>
          <w:szCs w:val="28"/>
          <w:highlight w:val="none"/>
        </w:rPr>
        <w:t>”的采购计划编号，保证金的到账截止时间为谈判当天上午8:30。</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递交保证金账号信息如下：</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户  名：重庆医科大学</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账  号：5000 1033 6000 5000 8726</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开户行：中国建设银行股份有限公司重庆高新区分行</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财务处联系电话：023-68486151  </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2、缴纳保证金需注意事项：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（1）供应商必须在付款凭证备注栏中注明</w:t>
      </w:r>
      <w:r>
        <w:rPr>
          <w:rFonts w:hint="eastAsia" w:ascii="宋体" w:hAnsi="宋体" w:eastAsia="宋体" w:cs="宋体"/>
          <w:color w:val="auto"/>
          <w:szCs w:val="28"/>
          <w:highlight w:val="none"/>
        </w:rPr>
        <w:t>“</w:t>
      </w:r>
      <w:r>
        <w:rPr>
          <w:rFonts w:hint="eastAsia" w:ascii="宋体" w:hAnsi="宋体" w:cs="宋体"/>
          <w:color w:val="auto"/>
          <w:kern w:val="0"/>
          <w:szCs w:val="28"/>
          <w:highlight w:val="none"/>
          <w:lang w:eastAsia="zh-CN"/>
        </w:rPr>
        <w:t>重庆医科大学基础医学院新增实验室边台等家具</w:t>
      </w:r>
      <w:r>
        <w:rPr>
          <w:rFonts w:hint="eastAsia" w:ascii="宋体" w:hAnsi="宋体" w:eastAsia="宋体" w:cs="宋体"/>
          <w:color w:val="auto"/>
          <w:szCs w:val="28"/>
          <w:highlight w:val="none"/>
        </w:rPr>
        <w:t>”</w:t>
      </w:r>
      <w:r>
        <w:rPr>
          <w:rFonts w:hint="eastAsia" w:ascii="宋体" w:hAnsi="宋体" w:eastAsia="宋体" w:cs="宋体"/>
          <w:color w:val="auto"/>
          <w:szCs w:val="28"/>
          <w:highlight w:val="none"/>
        </w:rPr>
        <w:t>的采购计划编号；</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（4）投标查验时，请出具由学校财务处开具的投标保证金电子票据。</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3、保证金数额不超过采购预算的2%。</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（二）保证金退还方式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1、分项目单次递交的保证金</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1.3保证金退还办理时间为每周四下午2:30时到5:00时。</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7" w:name="_Toc27314"/>
      <w:r>
        <w:rPr>
          <w:rFonts w:hint="eastAsia" w:ascii="宋体" w:hAnsi="宋体" w:eastAsia="宋体" w:cs="宋体"/>
          <w:b w:val="0"/>
          <w:bCs/>
          <w:color w:val="auto"/>
          <w:sz w:val="28"/>
          <w:szCs w:val="28"/>
          <w:highlight w:val="none"/>
        </w:rPr>
        <w:t>六、采购项目需落实的政府采购政策</w:t>
      </w:r>
      <w:bookmarkEnd w:id="17"/>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（二）按照《财政部工业和信息化部关于印发≥政府采购促进中小企业发展暂行办法≥的通知》（财库〔2011〕181号）的规定，落实促进中小企业发展政策。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（四）按照《三部门联合发布关于促进残疾人就业政府采购政策的通知》（财库〔2017〕141号）的规定，落实支持残疾人福利性单位发展政策。</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8" w:name="_Toc29092"/>
      <w:r>
        <w:rPr>
          <w:rFonts w:hint="eastAsia" w:ascii="宋体" w:hAnsi="宋体" w:eastAsia="宋体" w:cs="宋体"/>
          <w:b w:val="0"/>
          <w:bCs/>
          <w:color w:val="auto"/>
          <w:sz w:val="28"/>
          <w:szCs w:val="28"/>
          <w:highlight w:val="none"/>
        </w:rPr>
        <w:t>七、其它有关规定</w:t>
      </w:r>
      <w:bookmarkEnd w:id="18"/>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3、同一分包的货物，制造商参与谈判的，不得再委托代理商参与谈判，否则为无效谈判。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4、为采购项目提供整体设计、规范编制或者项目管理、监理、检测等服务的供应商，不得再参加该采购项目的其他采购活动。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6、超过响应文件截止时间递交的响应文件，恕不接收。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7、谈判费用：无论谈判结果如何，供应商参与本项目谈判的所有费用均应由供应商自行承担。</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 供应商可通过信用中国网站（www.creditchina.gov.cn）查询以下内容</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8.1.1“失信被执行人”；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8.1.2“重大税收违法案件当事人名单”；</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8.1.3“政府采购严重违法失信行为记录名单”</w:t>
      </w:r>
    </w:p>
    <w:p>
      <w:pPr>
        <w:pStyle w:val="4"/>
        <w:spacing w:before="0" w:after="0" w:line="560" w:lineRule="exact"/>
        <w:ind w:firstLine="560" w:firstLineChars="200"/>
        <w:rPr>
          <w:rFonts w:hint="eastAsia" w:ascii="宋体" w:hAnsi="宋体" w:eastAsia="宋体" w:cs="宋体"/>
          <w:b w:val="0"/>
          <w:bCs/>
          <w:color w:val="auto"/>
          <w:sz w:val="28"/>
          <w:szCs w:val="28"/>
          <w:highlight w:val="none"/>
        </w:rPr>
      </w:pPr>
      <w:bookmarkStart w:id="19" w:name="_Toc29388"/>
      <w:r>
        <w:rPr>
          <w:rFonts w:hint="eastAsia" w:ascii="宋体" w:hAnsi="宋体" w:eastAsia="宋体" w:cs="宋体"/>
          <w:b w:val="0"/>
          <w:bCs/>
          <w:color w:val="auto"/>
          <w:sz w:val="28"/>
          <w:szCs w:val="28"/>
          <w:highlight w:val="none"/>
        </w:rPr>
        <w:t>八、联系方式</w:t>
      </w:r>
      <w:bookmarkEnd w:id="19"/>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采购人：重庆医科大学基础医学院</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联系人：彭老师</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电话：（023）68486679</w:t>
      </w:r>
    </w:p>
    <w:p>
      <w:pPr>
        <w:snapToGrid w:val="0"/>
        <w:spacing w:line="560" w:lineRule="exact"/>
        <w:ind w:firstLine="560" w:firstLineChars="200"/>
        <w:rPr>
          <w:rFonts w:hint="eastAsia" w:ascii="宋体" w:hAnsi="宋体" w:eastAsia="宋体" w:cs="宋体"/>
          <w:color w:val="auto"/>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宋体" w:hAnsi="宋体" w:eastAsia="宋体" w:cs="宋体"/>
          <w:color w:val="auto"/>
          <w:szCs w:val="28"/>
          <w:highlight w:val="none"/>
        </w:rPr>
        <w:t>地址：重庆市渝中区医学院路1号</w:t>
      </w:r>
      <w:r>
        <w:rPr>
          <w:rFonts w:hint="eastAsia" w:ascii="宋体" w:hAnsi="宋体" w:eastAsia="宋体" w:cs="宋体"/>
          <w:color w:val="auto"/>
          <w:szCs w:val="28"/>
          <w:highlight w:val="none"/>
          <w:lang w:val="en-US" w:eastAsia="zh-CN"/>
        </w:rPr>
        <w:t>博士后公寓一楼</w:t>
      </w:r>
    </w:p>
    <w:p>
      <w:pPr>
        <w:pStyle w:val="3"/>
        <w:spacing w:before="0" w:after="0" w:line="560" w:lineRule="exact"/>
        <w:jc w:val="center"/>
        <w:rPr>
          <w:rFonts w:hint="eastAsia" w:ascii="宋体" w:hAnsi="宋体" w:eastAsia="宋体" w:cs="宋体"/>
          <w:b w:val="0"/>
          <w:color w:val="auto"/>
          <w:sz w:val="44"/>
          <w:szCs w:val="44"/>
          <w:highlight w:val="none"/>
        </w:rPr>
      </w:pPr>
      <w:bookmarkStart w:id="20" w:name="_Toc8205"/>
      <w:bookmarkStart w:id="21" w:name="_Toc102227313"/>
      <w:r>
        <w:rPr>
          <w:rFonts w:hint="eastAsia" w:ascii="宋体" w:hAnsi="宋体" w:eastAsia="宋体" w:cs="宋体"/>
          <w:b w:val="0"/>
          <w:color w:val="auto"/>
          <w:sz w:val="44"/>
          <w:szCs w:val="44"/>
          <w:highlight w:val="none"/>
        </w:rPr>
        <w:t>第二篇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供应商须知</w:t>
      </w:r>
      <w:bookmarkEnd w:id="20"/>
      <w:bookmarkEnd w:id="21"/>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22" w:name="_Toc28174"/>
      <w:bookmarkStart w:id="23" w:name="_Toc342913389"/>
      <w:r>
        <w:rPr>
          <w:rFonts w:hint="eastAsia" w:ascii="宋体" w:hAnsi="宋体" w:eastAsia="宋体" w:cs="宋体"/>
          <w:b w:val="0"/>
          <w:color w:val="auto"/>
          <w:sz w:val="28"/>
          <w:szCs w:val="28"/>
          <w:highlight w:val="none"/>
        </w:rPr>
        <w:t>一、谈判费用</w:t>
      </w:r>
      <w:bookmarkEnd w:id="22"/>
      <w:bookmarkEnd w:id="23"/>
    </w:p>
    <w:p>
      <w:pPr>
        <w:pStyle w:val="172"/>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hint="eastAsia" w:ascii="宋体" w:hAnsi="宋体" w:eastAsia="宋体" w:cs="宋体"/>
          <w:b w:val="0"/>
          <w:color w:val="auto"/>
          <w:sz w:val="28"/>
          <w:szCs w:val="28"/>
          <w:highlight w:val="none"/>
        </w:rPr>
      </w:pPr>
      <w:bookmarkStart w:id="24" w:name="_Toc2799"/>
      <w:bookmarkStart w:id="25" w:name="_Toc342913391"/>
      <w:r>
        <w:rPr>
          <w:rFonts w:hint="eastAsia" w:ascii="宋体" w:hAnsi="宋体" w:eastAsia="宋体" w:cs="宋体"/>
          <w:b w:val="0"/>
          <w:color w:val="auto"/>
          <w:sz w:val="28"/>
          <w:szCs w:val="28"/>
          <w:highlight w:val="none"/>
        </w:rPr>
        <w:t>二、竞争性谈判文件</w:t>
      </w:r>
      <w:bookmarkEnd w:id="24"/>
      <w:bookmarkEnd w:id="25"/>
      <w:r>
        <w:rPr>
          <w:rFonts w:hint="eastAsia" w:ascii="宋体" w:hAnsi="宋体" w:eastAsia="宋体" w:cs="宋体"/>
          <w:b w:val="0"/>
          <w:color w:val="auto"/>
          <w:sz w:val="28"/>
          <w:szCs w:val="28"/>
          <w:highlight w:val="none"/>
        </w:rPr>
        <w:tab/>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w:t>
      </w:r>
      <w:bookmarkStart w:id="26" w:name="_Toc318159160"/>
      <w:bookmarkStart w:id="27" w:name="_Toc318159780"/>
      <w:bookmarkStart w:id="28" w:name="_Toc318159349"/>
      <w:bookmarkStart w:id="29" w:name="_Toc318166429"/>
      <w:r>
        <w:rPr>
          <w:rFonts w:hint="eastAsia" w:ascii="宋体" w:hAnsi="宋体" w:eastAsia="宋体" w:cs="宋体"/>
          <w:color w:val="auto"/>
          <w:szCs w:val="28"/>
          <w:highlight w:val="none"/>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0" w:name="_Toc18195"/>
      <w:bookmarkStart w:id="31" w:name="_Toc179714297"/>
      <w:bookmarkStart w:id="32" w:name="_Toc342913392"/>
      <w:bookmarkStart w:id="33" w:name="_Toc102227318"/>
      <w:r>
        <w:rPr>
          <w:rFonts w:hint="eastAsia" w:ascii="宋体" w:hAnsi="宋体" w:eastAsia="宋体" w:cs="宋体"/>
          <w:b w:val="0"/>
          <w:color w:val="auto"/>
          <w:sz w:val="28"/>
          <w:szCs w:val="28"/>
          <w:highlight w:val="none"/>
        </w:rPr>
        <w:t>三、谈判要求</w:t>
      </w:r>
      <w:bookmarkEnd w:id="30"/>
      <w:bookmarkEnd w:id="31"/>
      <w:bookmarkEnd w:id="32"/>
      <w:bookmarkEnd w:id="33"/>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（一）响应文件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1.响应文件组成</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2.谈判有效期：响应文件及有关承诺文件有效期为谈判开始时间起90天。</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（二）保证金：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1.供应商提交保证金金额和方式详见“</w:t>
      </w:r>
      <w:r>
        <w:rPr>
          <w:rFonts w:hint="eastAsia" w:ascii="宋体" w:hAnsi="宋体" w:eastAsia="宋体" w:cs="宋体"/>
          <w:color w:val="auto"/>
          <w:szCs w:val="28"/>
          <w:highlight w:val="none"/>
          <w:u w:val="single"/>
        </w:rPr>
        <w:t>第一篇五、保证金”</w:t>
      </w:r>
      <w:r>
        <w:rPr>
          <w:rFonts w:hint="eastAsia" w:ascii="宋体" w:hAnsi="宋体" w:eastAsia="宋体" w:cs="宋体"/>
          <w:color w:val="auto"/>
          <w:szCs w:val="28"/>
          <w:highlight w:val="none"/>
        </w:rPr>
        <w:t>；</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2.发生以下情况之一者，保证金不予退还：</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2.1供应商在提交响应文件截止时间后撤回响应文件的；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2.2供应商在响应文件中提供虚假材料的；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2.3除因不可抗力或竞争性谈判文件认可的情形以外，成交供应商不与采购人签订合同的；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2.4供应商与采购人、其他供应商或者采购代理机构恶意串通的；</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（三）修正错误</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（四）报价要求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（五）提交响应文件的份数和签署</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2.在响应文件正本中，竞争性谈判文件第六篇响应文件格式中规定签字、盖章的地方必须按其规定签字、盖章。</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4.电报、电话、传真形式的响应文件概不接受。</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（六）响应文件的递交</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1.响应文件的密封与标记</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1.2封套的封口处应加盖供应商公章或由法定代表人授权代表签字。</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2.如果响应文件通过邮寄递交，供应商应将响应文件用内、外两层封套密封。</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2.1内层封套的封装与标记同“1.”款规定。</w:t>
      </w:r>
    </w:p>
    <w:p>
      <w:pPr>
        <w:pStyle w:val="30"/>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3.如果未按上述规定进行密封和标记，采购代理机构对响应文件误投、丢失或提前拆封不负责任。</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（七）响应文件语言：简体中文</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（八）供应商参与人员</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各供应商应当派1-2名代表参与谈判，至少1人应为法定代表人或具有法定代表人授权委托书的授权代表。</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（九）无效谈判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供应商发生以下条款情况之一者，视为无效谈判，其响应文件将被拒绝：</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1.供应商不符合规定的基本资格条件或特定资格条件的；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2.供应商未按谈判文件规定购买谈判文件的；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3.供应商的法定代表人或其授权代表未参加谈判；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4.供应商未在保证金到账截止时间前提交足额保证金的；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5.供应商所提交的响应文件不按规定签字、盖章的；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6.供应商的最后报价超过采购预算或最高限价的；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7.供应商响应文件内容有与国家现行法律法规相违背的内容，或附有采购人无法接受条件的。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8.单位负责人为同一人或者存在直接控股、管理关系的不同供应商，参加同一合同项（分包）下政府采购活动的；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9.为采购项目提供整体设计、规范编制或者项目管理、监理、检测等服务的供应商再参加该采购项目的其他采购活动的；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10.同一合同项（分包）下的货物，制造商参与谈判的，再委托代理商参与谈判的.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11.供应商以联合体形式参与谈判的。</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12.供应商如会上不能解答谈判文件的技术问题，视为无效谈判。</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4" w:name="_Toc179714298"/>
      <w:bookmarkStart w:id="35" w:name="_Toc102227319"/>
      <w:bookmarkStart w:id="36" w:name="_Toc9218"/>
      <w:bookmarkStart w:id="37" w:name="_Toc342913393"/>
      <w:r>
        <w:rPr>
          <w:rFonts w:hint="eastAsia" w:ascii="宋体" w:hAnsi="宋体" w:eastAsia="宋体" w:cs="宋体"/>
          <w:b w:val="0"/>
          <w:color w:val="auto"/>
          <w:sz w:val="28"/>
          <w:szCs w:val="28"/>
          <w:highlight w:val="none"/>
        </w:rPr>
        <w:t>四、谈判程序</w:t>
      </w:r>
      <w:bookmarkEnd w:id="34"/>
      <w:bookmarkEnd w:id="35"/>
      <w:bookmarkEnd w:id="36"/>
      <w:bookmarkEnd w:id="37"/>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（一）谈判按竞争性谈判文件规定的时间和地点进行。供应商须有法定代表人或其授权代表参加并签到。</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1.资格性检查。依据法律法规和竞争性谈判文件的规定，对响应文件中的资格证明、保证金等进行审查，以确定供应商是否具备谈判资格。资格性检查资料表如下：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供</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应</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商</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基</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本</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资</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格</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条</w:t>
            </w:r>
          </w:p>
          <w:p>
            <w:pPr>
              <w:spacing w:line="560" w:lineRule="exact"/>
              <w:jc w:val="center"/>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（1）具有独立承担民事责任的能力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①供应商法人营业执照（副本）或事业单位法人证书（副本）或个体工商户营业执照或有效的自然人身份证明、组织机构代码证复印件（注</w:t>
            </w:r>
            <w:r>
              <w:rPr>
                <w:rFonts w:hint="eastAsia" w:ascii="宋体" w:hAnsi="宋体" w:eastAsia="宋体" w:cs="宋体"/>
                <w:color w:val="auto"/>
                <w:kern w:val="0"/>
                <w:szCs w:val="28"/>
                <w:highlight w:val="none"/>
              </w:rPr>
              <w:t>1</w:t>
            </w:r>
            <w:r>
              <w:rPr>
                <w:rFonts w:hint="eastAsia" w:ascii="宋体" w:hAnsi="宋体" w:eastAsia="宋体" w:cs="宋体"/>
                <w:color w:val="auto"/>
                <w:szCs w:val="28"/>
                <w:highlight w:val="none"/>
              </w:rPr>
              <w:t>）；</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lang w:val="zh-CN"/>
              </w:rPr>
              <w:t>（2）</w:t>
            </w:r>
            <w:r>
              <w:rPr>
                <w:rFonts w:hint="eastAsia" w:ascii="宋体" w:hAnsi="宋体" w:eastAsia="宋体" w:cs="宋体"/>
                <w:color w:val="auto"/>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①提供2021或2022年度财务状况报告（表）或其基本开户银行出具的资信证明复印件，本年度新成立或成立不满一年的组织和自然人无法提供财务状况报告（表）的，可提供银行出具的资信证明复印件。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（3）具有履行合同所必需的设备和专业技术能力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lang w:val="zh-CN"/>
              </w:rPr>
              <w:t>（4）有依法缴纳税收和社会保障金的良好记录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①税务登记证（副本）复印件（注</w:t>
            </w:r>
            <w:r>
              <w:rPr>
                <w:rFonts w:hint="eastAsia" w:ascii="宋体" w:hAnsi="宋体" w:eastAsia="宋体" w:cs="宋体"/>
                <w:color w:val="auto"/>
                <w:kern w:val="0"/>
                <w:szCs w:val="28"/>
                <w:highlight w:val="none"/>
              </w:rPr>
              <w:t>2</w:t>
            </w:r>
            <w:r>
              <w:rPr>
                <w:rFonts w:hint="eastAsia" w:ascii="宋体" w:hAnsi="宋体" w:eastAsia="宋体" w:cs="宋体"/>
                <w:color w:val="auto"/>
                <w:szCs w:val="28"/>
                <w:highlight w:val="none"/>
              </w:rPr>
              <w:t>）</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②缴纳社会保障金的证明材料复印件（缴纳社会保障金的证明材料指：社会保险登记证（注2）或缴纳社会保险的凭据（专用收据或社会保险缴纳清单）。</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（5）参加政府采购活动前三年内，在经营活动中没有重大违法记录（注</w:t>
            </w:r>
            <w:r>
              <w:rPr>
                <w:rFonts w:hint="eastAsia" w:ascii="宋体" w:hAnsi="宋体" w:eastAsia="宋体" w:cs="宋体"/>
                <w:color w:val="auto"/>
                <w:kern w:val="0"/>
                <w:szCs w:val="28"/>
                <w:highlight w:val="none"/>
              </w:rPr>
              <w:t>2</w:t>
            </w:r>
            <w:r>
              <w:rPr>
                <w:rFonts w:hint="eastAsia" w:ascii="宋体" w:hAnsi="宋体" w:eastAsia="宋体" w:cs="宋体"/>
                <w:color w:val="auto"/>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①供应商提供书面声明（见格式文件）；</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②采购人或采购代理机构将通过“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（6）法律、行政法规规定的其他条件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按照竞争性谈判文件要求足额缴纳保证金</w:t>
            </w:r>
          </w:p>
        </w:tc>
      </w:tr>
    </w:tbl>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注1：供应商按“多证合一”登记制度办理营业执照的，组织机构代码证、税务登记证（副本）和社会保险登记证以供应商所提供的营业执照（副本）复印件为准。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lang w:val="zh-CN"/>
              </w:rPr>
              <w:t>只能有一个</w:t>
            </w: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szCs w:val="28"/>
                <w:highlight w:val="none"/>
              </w:rPr>
              <w:t>响应</w:t>
            </w:r>
            <w:r>
              <w:rPr>
                <w:rFonts w:hint="eastAsia" w:ascii="宋体" w:hAnsi="宋体" w:eastAsia="宋体" w:cs="宋体"/>
                <w:color w:val="auto"/>
                <w:szCs w:val="28"/>
                <w:highlight w:val="none"/>
                <w:lang w:val="zh-CN"/>
              </w:rPr>
              <w:t>文件正、副本数量（含电子文档）符合</w:t>
            </w:r>
            <w:r>
              <w:rPr>
                <w:rFonts w:hint="eastAsia" w:ascii="宋体" w:hAnsi="宋体" w:eastAsia="宋体" w:cs="宋体"/>
                <w:color w:val="auto"/>
                <w:szCs w:val="28"/>
                <w:highlight w:val="none"/>
              </w:rPr>
              <w:t>竞争性谈判</w:t>
            </w:r>
            <w:r>
              <w:rPr>
                <w:rFonts w:hint="eastAsia" w:ascii="宋体" w:hAnsi="宋体" w:eastAsia="宋体" w:cs="宋体"/>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r>
              <w:rPr>
                <w:rFonts w:hint="eastAsia" w:ascii="宋体" w:hAnsi="宋体" w:eastAsia="宋体" w:cs="宋体"/>
                <w:color w:val="auto"/>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宋体" w:hAnsi="宋体" w:eastAsia="宋体" w:cs="宋体"/>
                <w:color w:val="auto"/>
                <w:kern w:val="0"/>
                <w:szCs w:val="28"/>
                <w:highlight w:val="none"/>
              </w:rPr>
            </w:pPr>
            <w:r>
              <w:rPr>
                <w:rFonts w:hint="eastAsia" w:ascii="宋体" w:hAnsi="宋体" w:eastAsia="宋体" w:cs="宋体"/>
                <w:color w:val="auto"/>
                <w:kern w:val="0"/>
                <w:szCs w:val="28"/>
                <w:highlight w:val="none"/>
              </w:rPr>
              <w:t>满足谈判文件</w:t>
            </w:r>
            <w:r>
              <w:rPr>
                <w:rFonts w:hint="eastAsia" w:ascii="宋体" w:hAnsi="宋体" w:eastAsia="宋体" w:cs="宋体"/>
                <w:color w:val="auto"/>
                <w:szCs w:val="28"/>
                <w:highlight w:val="none"/>
                <w:lang w:val="zh-CN"/>
              </w:rPr>
              <w:t>规定。</w:t>
            </w:r>
          </w:p>
        </w:tc>
      </w:tr>
    </w:tbl>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（五）在谈判过程中谈判的任何一方不得向他人透露与谈判有关的技术资料、价格或其他信息。</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（七）供应商在谈判时作出的所有书面承诺须由法定代表人或其授权代表签字。</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38" w:name="_Toc15377"/>
      <w:bookmarkStart w:id="39" w:name="_Toc102227320"/>
      <w:bookmarkStart w:id="40" w:name="_Toc342913394"/>
      <w:r>
        <w:rPr>
          <w:rFonts w:hint="eastAsia" w:ascii="宋体" w:hAnsi="宋体" w:eastAsia="宋体" w:cs="宋体"/>
          <w:b w:val="0"/>
          <w:color w:val="auto"/>
          <w:sz w:val="28"/>
          <w:szCs w:val="28"/>
          <w:highlight w:val="none"/>
        </w:rPr>
        <w:t>五、评审依据</w:t>
      </w:r>
      <w:bookmarkEnd w:id="38"/>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1" w:name="_Toc32384"/>
      <w:r>
        <w:rPr>
          <w:rFonts w:hint="eastAsia" w:ascii="宋体" w:hAnsi="宋体" w:eastAsia="宋体" w:cs="宋体"/>
          <w:b w:val="0"/>
          <w:color w:val="auto"/>
          <w:sz w:val="28"/>
          <w:szCs w:val="28"/>
          <w:highlight w:val="none"/>
        </w:rPr>
        <w:t>六、成交</w:t>
      </w:r>
      <w:bookmarkEnd w:id="39"/>
      <w:r>
        <w:rPr>
          <w:rFonts w:hint="eastAsia" w:ascii="宋体" w:hAnsi="宋体" w:eastAsia="宋体" w:cs="宋体"/>
          <w:b w:val="0"/>
          <w:color w:val="auto"/>
          <w:sz w:val="28"/>
          <w:szCs w:val="28"/>
          <w:highlight w:val="none"/>
        </w:rPr>
        <w:t>原则</w:t>
      </w:r>
      <w:bookmarkEnd w:id="40"/>
      <w:bookmarkEnd w:id="41"/>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（一）评审办法</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2.若供应商的最后报价经扣减后价格相同，按技术参数（条款）的优劣顺序排列；以上都相同的，按服务条款的优劣顺序排列。</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3.成交价格=成交供应商的最后报价</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（二）评审细则</w:t>
      </w:r>
    </w:p>
    <w:p>
      <w:pPr>
        <w:tabs>
          <w:tab w:val="left" w:pos="36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1.资格符合性检查</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2.对响应文件的有效性、完整性和响应程度检查</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3.关于政策性扣减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3.1政策性扣减范围</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  政策性扣减方式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3.2.3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4.成交供应商的确定：</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4.1“第三篇谈判项目技术需求”有一条及以上不能满足竞争性谈判文件要求的供应商将失去成为成交供应商的资格。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4.2“第四篇谈判项目服务需求”有一条及以上不能满足竞争性谈判文件要求的供应商将失去成为成交供应商的资格。</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4.4谈判小组将依照评审办法提出成交候选人。</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4.6成交供应商的变更</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5.1因情况变化，不再符合规定的竞争性谈判采购方式适用情形的；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5.2出现影响采购公正的违法、违规行为的；</w:t>
      </w:r>
    </w:p>
    <w:p>
      <w:pPr>
        <w:snapToGrid w:val="0"/>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5.3在采购过程中符合竞争要求的供应商或者报价未超过采购预算的供应商不足3家的，但《政府采购非招标采购方式管理办法》第二十七条第二款规定的情形除外。</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2" w:name="_Toc4559"/>
      <w:bookmarkStart w:id="43" w:name="_Toc102227321"/>
      <w:bookmarkStart w:id="44" w:name="_Toc342913395"/>
      <w:r>
        <w:rPr>
          <w:rFonts w:hint="eastAsia" w:ascii="宋体" w:hAnsi="宋体" w:eastAsia="宋体" w:cs="宋体"/>
          <w:b w:val="0"/>
          <w:color w:val="auto"/>
          <w:sz w:val="28"/>
          <w:szCs w:val="28"/>
          <w:highlight w:val="none"/>
        </w:rPr>
        <w:t>七、成交通知</w:t>
      </w:r>
      <w:bookmarkEnd w:id="42"/>
      <w:bookmarkEnd w:id="43"/>
      <w:bookmarkEnd w:id="44"/>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（一）成交供应商确定后，采购人将在重庆医科大学校园网上（主页-服务大厅-招投标信息）上发布成交结果公告。</w:t>
      </w:r>
    </w:p>
    <w:p>
      <w:pPr>
        <w:spacing w:line="40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（二）网上成交结果公告将作为签订合同的依据。</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5" w:name="_Toc6334"/>
      <w:r>
        <w:rPr>
          <w:rFonts w:hint="eastAsia" w:ascii="宋体" w:hAnsi="宋体" w:eastAsia="宋体" w:cs="宋体"/>
          <w:b w:val="0"/>
          <w:color w:val="auto"/>
          <w:sz w:val="28"/>
          <w:szCs w:val="28"/>
          <w:highlight w:val="none"/>
        </w:rPr>
        <w:t>八、关于质疑和投诉</w:t>
      </w:r>
      <w:bookmarkEnd w:id="45"/>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供应商认为采购文件、采购过程和成交结果使自己的权益收到伤害的，可向采购人或采购代理机构以书面形式提出质疑。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提出质疑的应当是参与所质疑项目采购活动的供应商。</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1.质疑时限、内容</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1.2供应商提出质疑应当提交质疑函和必要的证明材料，质疑函应当包括下列内容：</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1.2.1供应商的姓名或者名称、地址、邮编、联系人及联系电话；</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1.2.2质疑项目的名称、项目号以及谈判项目编号；</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1.2.3具体、明确的质疑事项和与质疑事项相关的请求；</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1.2.4事实依据；</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1.2.5必要的法律依据；</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1.2.6提出质疑的日期；</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1.2.7营业执照（或事业单位法人证书，或个体工商户营业执照或有效的自然人身份证明、组织机构代码证）复印件；</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2.质疑答复</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采购人、采购代理机构应当在收到供应商的书面质疑后3个工作日内作出答复，并以书面形式通知质疑供应商和其他有关供应商。</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3.其他</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3.2质疑函范本可在财政部门户网站和中国政府采购网下载。</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（二）投诉</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46" w:name="_Toc3921"/>
      <w:bookmarkStart w:id="47" w:name="_Toc102227322"/>
      <w:bookmarkStart w:id="48" w:name="_Toc342913396"/>
      <w:r>
        <w:rPr>
          <w:rFonts w:hint="eastAsia" w:ascii="宋体" w:hAnsi="宋体" w:eastAsia="宋体" w:cs="宋体"/>
          <w:b w:val="0"/>
          <w:color w:val="auto"/>
          <w:sz w:val="28"/>
          <w:szCs w:val="28"/>
          <w:highlight w:val="none"/>
        </w:rPr>
        <w:t>九、签订合同</w:t>
      </w:r>
      <w:bookmarkEnd w:id="46"/>
    </w:p>
    <w:bookmarkEnd w:id="47"/>
    <w:bookmarkEnd w:id="48"/>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（二）竞争性谈判文件、供应商的响应文件及澄清文件等，均为签订采购合同的依据。</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hint="eastAsia" w:ascii="宋体" w:hAnsi="宋体" w:eastAsia="宋体" w:cs="宋体"/>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宋体" w:hAnsi="宋体" w:eastAsia="宋体" w:cs="宋体"/>
          <w:b w:val="0"/>
          <w:color w:val="auto"/>
          <w:sz w:val="44"/>
          <w:szCs w:val="44"/>
          <w:highlight w:val="none"/>
        </w:rPr>
      </w:pPr>
      <w:bookmarkStart w:id="49" w:name="_Toc24488"/>
      <w:bookmarkStart w:id="50" w:name="_Toc535312149"/>
      <w:bookmarkStart w:id="51" w:name="_Toc12789058"/>
      <w:r>
        <w:rPr>
          <w:rFonts w:hint="eastAsia" w:ascii="宋体" w:hAnsi="宋体" w:eastAsia="宋体" w:cs="宋体"/>
          <w:b w:val="0"/>
          <w:color w:val="auto"/>
          <w:sz w:val="44"/>
          <w:szCs w:val="44"/>
          <w:highlight w:val="none"/>
        </w:rPr>
        <w:t>第三篇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谈判项目技术需求</w:t>
      </w:r>
      <w:bookmarkEnd w:id="49"/>
      <w:bookmarkEnd w:id="50"/>
    </w:p>
    <w:p>
      <w:pPr>
        <w:pStyle w:val="4"/>
        <w:numPr>
          <w:ilvl w:val="0"/>
          <w:numId w:val="1"/>
        </w:numPr>
        <w:spacing w:before="0" w:after="0" w:line="560" w:lineRule="exact"/>
        <w:rPr>
          <w:rFonts w:hint="eastAsia" w:ascii="宋体" w:hAnsi="宋体" w:eastAsia="宋体" w:cs="宋体"/>
          <w:color w:val="auto"/>
          <w:sz w:val="28"/>
          <w:szCs w:val="28"/>
          <w:highlight w:val="none"/>
        </w:rPr>
      </w:pPr>
      <w:bookmarkStart w:id="52" w:name="_Toc4065"/>
      <w:bookmarkStart w:id="53" w:name="_Toc535312150"/>
      <w:r>
        <w:rPr>
          <w:rFonts w:hint="eastAsia" w:ascii="宋体" w:hAnsi="宋体" w:eastAsia="宋体" w:cs="宋体"/>
          <w:color w:val="auto"/>
          <w:sz w:val="28"/>
          <w:szCs w:val="28"/>
          <w:highlight w:val="none"/>
        </w:rPr>
        <w:t>项目一览表</w:t>
      </w:r>
      <w:bookmarkEnd w:id="52"/>
      <w:bookmarkEnd w:id="53"/>
    </w:p>
    <w:p>
      <w:pPr>
        <w:jc w:val="center"/>
        <w:rPr>
          <w:rFonts w:hint="eastAsia" w:ascii="宋体" w:hAnsi="宋体" w:eastAsia="宋体" w:cs="宋体"/>
          <w:b/>
          <w:color w:val="auto"/>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bookmarkStart w:id="54" w:name="_Toc344475116"/>
            <w:bookmarkStart w:id="55" w:name="_Toc313536013"/>
            <w:bookmarkStart w:id="56" w:name="_Toc535312151"/>
            <w:r>
              <w:rPr>
                <w:rFonts w:hint="eastAsia" w:ascii="宋体" w:hAnsi="宋体" w:eastAsia="宋体" w:cs="宋体"/>
                <w:b/>
                <w:bCs/>
                <w:color w:val="auto"/>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实验室家具及配套</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5.5米</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实验室家具</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26米</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通风柜及配套</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玻镁板围护系统</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高温矮台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1.2米</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办公桌</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40张</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设备架</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1.2米</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岛式插座</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66套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洁净平板灯</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44个</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电线电缆配套</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辅材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安装调试</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r>
    </w:tbl>
    <w:p>
      <w:pPr>
        <w:pStyle w:val="4"/>
        <w:spacing w:before="0" w:afterLines="50" w:line="560" w:lineRule="exact"/>
        <w:rPr>
          <w:rFonts w:hint="eastAsia" w:ascii="宋体" w:hAnsi="宋体" w:eastAsia="宋体" w:cs="宋体"/>
          <w:color w:val="auto"/>
          <w:sz w:val="28"/>
          <w:szCs w:val="28"/>
          <w:highlight w:val="none"/>
        </w:rPr>
      </w:pPr>
    </w:p>
    <w:p>
      <w:pPr>
        <w:pStyle w:val="4"/>
        <w:spacing w:before="0" w:afterLines="50" w:line="560" w:lineRule="exact"/>
        <w:rPr>
          <w:rFonts w:hint="eastAsia" w:ascii="宋体" w:hAnsi="宋体" w:eastAsia="宋体" w:cs="宋体"/>
          <w:color w:val="auto"/>
          <w:szCs w:val="28"/>
          <w:highlight w:val="none"/>
        </w:rPr>
      </w:pPr>
      <w:bookmarkStart w:id="57" w:name="_Toc9003"/>
      <w:r>
        <w:rPr>
          <w:rFonts w:hint="eastAsia" w:ascii="宋体" w:hAnsi="宋体" w:eastAsia="宋体" w:cs="宋体"/>
          <w:color w:val="auto"/>
          <w:sz w:val="28"/>
          <w:szCs w:val="28"/>
          <w:highlight w:val="none"/>
        </w:rPr>
        <w:t>二、技术规格及质量要求</w:t>
      </w:r>
      <w:bookmarkEnd w:id="54"/>
      <w:bookmarkEnd w:id="55"/>
      <w:bookmarkEnd w:id="56"/>
      <w:bookmarkEnd w:id="57"/>
    </w:p>
    <w:tbl>
      <w:tblPr>
        <w:tblStyle w:val="57"/>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90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tcBorders>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134" w:type="dxa"/>
            <w:tcBorders>
              <w:left w:val="single" w:color="auto" w:sz="4" w:space="0"/>
              <w:bottom w:val="single" w:color="auto" w:sz="4" w:space="0"/>
              <w:right w:val="single" w:color="auto" w:sz="4" w:space="0"/>
            </w:tcBorders>
            <w:shd w:val="clear" w:color="000000" w:fill="D9D9D9"/>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7229" w:type="dxa"/>
            <w:tcBorders>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参数</w:t>
            </w:r>
          </w:p>
        </w:tc>
        <w:tc>
          <w:tcPr>
            <w:tcW w:w="904" w:type="dxa"/>
            <w:tcBorders>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483" w:type="dxa"/>
            <w:tcBorders>
              <w:left w:val="single" w:color="auto" w:sz="4" w:space="0"/>
              <w:bottom w:val="single" w:color="auto" w:sz="4" w:space="0"/>
            </w:tcBorders>
            <w:shd w:val="clear" w:color="000000" w:fill="D9D9D9"/>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实验室家具及配套</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规格：L*600*850</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1、采用 1.0mm 优质冷轧钢板在数控加工中心、剪裁、定位打孔、折弯焊接后成型，酸洗磷化处理后喷涂环氧树脂粉末高温烘烤固化。附着力高、表面硬度耐腐蚀性极强，外形美观。</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2、铰链：采用大弯铰链或不锈钢合页；</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3、导轨：采用三节滑轨，承重性能好、喷涂环氧树脂粉末涂料，耐酸碱，经久耐用。</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4、把手：采用一体折弯成型拉手或128不锈钢拉手。</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5、可调脚：采用直径φ10mm注塑调整脚，防震、防潮、耐腐蚀，可根据室内地坪适当调整柜体高度，最大调节为0-30mm。</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6、台面：要求耐化学腐蚀性能优越，抗刮痕，必须采用≥12.7m厚度的国际知名品牌耐腐蚀实芯理化板. 边缘背边加工带止水槽，打磨,呈弧型，总厚度为25.4mm。台面应保持水平，拼接台面应保持在一个平面内。台面与柜体之间应连接稳固，台面不能脱落或跷起。台面材料必须符合以下技术参数及证书要求并提供相应检测报告加盖生产厂家鲜章：</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6.1 化学性能要求: 化学性能要求：“GB/T 17657-2013”检测标准,满足70项化学试剂测试要求,测试结果均为表面无明显变化,等级为5级。70项化学试剂测试要求中,化学试剂至少包含以下：1、氢氧化钠（40%）;2、硝酸（65%）;3、硫酸（98%）;4、磷酸（85%）;5、铬酸洗液;6、氢氟酸（40%）;7、乙酸（99%）;8、甲酸（88%）;9、四氯化碳;10、硫化钠饱和液;11、苯酚饱和液;12、亚钾基蓝（5%）;13、高氯酸（90%）；14、丙酮;15、甲苯;16、二甲苯;17、盐酸（37%）;18、硝酸银饱和液;19、硫酸铜（10%）;20、重铬酸钾（5%）。</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6.2 化学物排放：96H时目标VOCs的舱浓度检测不低于30种，其中TVOC、甲苯、二甲苯、乙苯、乙醛、二氧化硫等检测结果为N.D.。</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6.3 环保能性要求：经GB/T 39600-2021标准检测，甲醛释放量判定结果为ENF级，同时提供产品碳足迹认证。</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6.4 物理性能要求：提供国家级检测机构出具的型式检验报告，其中防火性能达到B1级；烟气毒性等级，达到ZA3 ；表面耐干热性能≧5级；耐磨性≧1140转；抗大球冲击性（0.324kg)凹痕直径≤6mm；耐污染性≧5级。耐光色牢度5级;尺寸稳定性，横、纵向均≤0.3%;弯曲弹性模量≥17000MPa。</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6.5 放射性核素限量，内、外照射指数按国家标准(GB6566-2010)检测≤0.1。。</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6.6 提供燃烧性能等级标识授权使用证书（提供证明材料复印件)。</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6.7 公共场所阻燃品及组件标识使用证书（提供证明材料复印件)。</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7、PP水槽：耐腐蚀性：高密度PP材质，浸泡在含40%氢氧化钾、40%盐酸、99%乙酸、70%硝酸在内的12种试剂中，48小时后没有变化，具有超强耐腐蚀性。承重56KG以上，48小时后无变形、破损。提供相关检测报告复印件，并加盖制造商公章。</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8、水龙头：采用加厚铜质材料，高亮度环氧树脂涂层，耐腐蚀、耐热，防紫外线辐射。提供符合以下技术参数的检测报告加盖生产厂家鲜章：</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8.1龙头材质须进行重金属污染物析出试验，水龙头铅析出值应不大于2μg/L，非铅含量析出值应不大于GB 18145-2014标准中的规定。</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8.2龙头经GB/T2423.2-2008标准中产品耐高温试验，经100℃环境24小时候，产品无外观变化。</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8.3龙头符合《EN13792-2002实验室用旋塞和阀门的颜色编码》标准中的规定。</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8.4龙头水流量需在3. 0L/min≤ Q ≤9. 0L /min之间。</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5.5</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实验室家具</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1、L*750*850；</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2、利旧安装，含相关配套材料；</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3、实验室配套产品</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26</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通风柜及配套</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1、主体材质采用鞍钢1.0实厚冷扎钢板，成品厚度达1.0-1.2mm。</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2、表面经酸洗磷化烘干抛光打磨处理。</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3、喷涂材质采用阿克苏环氧树脂粉末喷涂厚度80um，经180度高温固化。</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4、内胆结构材质采用5mm抗倍特板。</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5、全铝合金移门(永久不变型):传动采用同步轮+同步带+同步轴开启轻松顺滑自如，任意位置无级停留，移门不倾斜，视窗采用铝合金型材+5mm钢化玻璃，配重方式为后置滑槽加消音密封毛条。</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6、配置 220V/380V电箱控制系统，含空气开关，交流接触器，热过载保护。</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7、含液晶控制面板操作控制。</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8、含4个10A多功能3孔防水插座。</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9、内胆两侧采用一体成型卡扣式可拆卸水电气路检修窗。</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10、照明方式为瞬间启动LED三防灯。</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11，通风口为PP直径250mm集气罩。</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 xml:space="preserve">12、下柜标配外置M10*40调整脚，最大调节高度50mm。 </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台面：采用总厚25mm碟型陶瓷台面（非后期加厚）。陶瓷台面经高温长时间煅烧而成，釉面和坯体结合后不脱落、不脱层，耐磨、耐强腐蚀。黑色坯体可避免台面侧面因二次低温上釉脱落现象的发生。台面不接受后期二次加厚边方式。检测报告同实验台部分，投标单位需提供满足以下性能要求证明文件，其检测报告复印件和相关证明需含有品牌厂家的红色鲜章，并标注专用于本项目投标使用字样，同时出具台面品牌针对该工程项目的产品质保承诺书。</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13.1、耐强腐蚀性：须提供参照GB/T17657或GB/T 9274-1988检测标准，报告中应至少包含有：65%硝酸、98%硫酸、37%盐酸等58种化学试剂的测试，且检测结果为无明显变化的检测报告。</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13.2、工艺要求：一体实芯黑色坯体一体烧制釉面，其产品无空洞、无气泡、无杂色、无断裂、无脱层等，并提供相关检测报告。</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13.3、安全性能（边缘凸起、储水量）：通风柜台面为≥25mm厚碟型陶瓷台面，台面一体成型、一体釉面烧制碟型工艺（非后期二次加厚方式制作）的实验室专业碟型陶瓷台面。四周碟型阻水边能有效防止液体外溢，保护人员及设备安全。边缘凸起的高度应为（7±1）mm；碟型陶瓷台面其碟型区域储水量应确保其工作平面且包含净面积在内的容量≥5L/㎡（水容量非后期计算值）。(提供检测报告复印件并加盖鲜章)</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13.4、光泽度：参照GB/T 13891检测标准，检测结果≥22;提供通过CMA或CNAS认证的检测机构出具的检测报告。</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13.5、承载测试：要求提供T/CIQA 10-2020 附录A标准：提供承载重量≥720kg;保压时间≥600h,检测结果样品未破坏，提供通过CMA或CNAS认证的检测机构出具的检测报告。</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13.6、抗落球冲击：参照T/CIQA 10-2020的检测标准，325g钢球，落差600mm，样品无裂痕和破损；提供通过CMA或CNAS认证的检测机构出具的检测报告。</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14、利旧安装，含相关配套材料；</w:t>
            </w:r>
          </w:p>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15、实验室配套产品。</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玻镁板围护系统</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1.防火等级A1中空玻镁板，两面采用钢板，内胶粘玻镁网隔板胶合成型。玻镁板不腐蚀钢板及铝合金，提供防返卤证书及满足以下技术参数的检测报告加盖生产厂家鲜章：</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2、玻镁板氯离子含量≤0.01%；</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3、耐火极限不小于60分钟；</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4、实验室配套产品。</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高温矮台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规格：L*900*500</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钢架结构，台面采用18mm厚大理石台面。</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办公桌</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规格：800*600*800(屏风高1100)</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桌面采用E1级别颗粒板制作进行表面贴面而成，材韧性好，不易变形，承重性能好，桌面25mm厚，柜体16mm厚，整体结合采用优质金属五金件链接，装配拆卸方便运输。</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40</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设备架</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304不锈钢材质</w:t>
            </w:r>
            <w:r>
              <w:rPr>
                <w:rFonts w:hint="eastAsia" w:ascii="宋体" w:hAnsi="宋体" w:cs="宋体"/>
                <w:color w:val="auto"/>
                <w:kern w:val="0"/>
                <w:sz w:val="21"/>
                <w:szCs w:val="21"/>
                <w:highlight w:val="none"/>
                <w:lang w:val="en-US" w:eastAsia="zh-CN"/>
              </w:rPr>
              <w:br w:type="textWrapping"/>
            </w:r>
            <w:r>
              <w:rPr>
                <w:rFonts w:hint="eastAsia" w:ascii="宋体" w:hAnsi="宋体" w:cs="宋体"/>
                <w:color w:val="auto"/>
                <w:kern w:val="0"/>
                <w:sz w:val="21"/>
                <w:szCs w:val="21"/>
                <w:highlight w:val="none"/>
                <w:lang w:val="en-US" w:eastAsia="zh-CN"/>
              </w:rPr>
              <w:t>L*600*1800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岛式插座</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钢制底盒：220V 10A</w:t>
            </w:r>
          </w:p>
        </w:tc>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66</w:t>
            </w:r>
          </w:p>
        </w:tc>
        <w:tc>
          <w:tcPr>
            <w:tcW w:w="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洁净平板灯</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1200*300</w:t>
            </w:r>
          </w:p>
        </w:tc>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44</w:t>
            </w:r>
          </w:p>
        </w:tc>
        <w:tc>
          <w:tcPr>
            <w:tcW w:w="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电线电缆配套</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电缆电线，规格:ZRBV-500V-2.5～6mm2；其他相关材料</w:t>
            </w:r>
          </w:p>
        </w:tc>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辅材</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p>
        </w:tc>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安装调试</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含运输及搬运费</w:t>
            </w:r>
          </w:p>
        </w:tc>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w:t>
            </w:r>
          </w:p>
        </w:tc>
      </w:tr>
    </w:tbl>
    <w:p>
      <w:pPr>
        <w:pStyle w:val="3"/>
        <w:spacing w:before="0" w:after="0" w:line="560" w:lineRule="exact"/>
        <w:jc w:val="center"/>
        <w:rPr>
          <w:rFonts w:hint="eastAsia" w:ascii="宋体" w:hAnsi="宋体" w:eastAsia="宋体" w:cs="宋体"/>
          <w:b w:val="0"/>
          <w:color w:val="auto"/>
          <w:sz w:val="44"/>
          <w:szCs w:val="44"/>
          <w:highlight w:val="none"/>
        </w:rPr>
      </w:pPr>
    </w:p>
    <w:p>
      <w:pP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宋体" w:hAnsi="宋体" w:eastAsia="宋体" w:cs="宋体"/>
          <w:b w:val="0"/>
          <w:color w:val="auto"/>
          <w:sz w:val="44"/>
          <w:szCs w:val="44"/>
          <w:highlight w:val="none"/>
        </w:rPr>
      </w:pPr>
      <w:bookmarkStart w:id="58" w:name="_Toc9820"/>
      <w:r>
        <w:rPr>
          <w:rFonts w:hint="eastAsia" w:ascii="宋体" w:hAnsi="宋体" w:eastAsia="宋体" w:cs="宋体"/>
          <w:b w:val="0"/>
          <w:color w:val="auto"/>
          <w:sz w:val="44"/>
          <w:szCs w:val="44"/>
          <w:highlight w:val="none"/>
        </w:rPr>
        <w:t>第四篇</w:t>
      </w:r>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谈判项目服务需求</w:t>
      </w:r>
      <w:bookmarkEnd w:id="58"/>
    </w:p>
    <w:bookmarkEnd w:id="51"/>
    <w:p>
      <w:pPr>
        <w:jc w:val="center"/>
        <w:rPr>
          <w:rFonts w:hint="eastAsia" w:ascii="宋体" w:hAnsi="宋体" w:eastAsia="宋体" w:cs="宋体"/>
          <w:color w:val="auto"/>
          <w:highlight w:val="none"/>
        </w:r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59" w:name="_Toc344475120"/>
      <w:bookmarkStart w:id="60" w:name="_Toc10953"/>
      <w:bookmarkStart w:id="61" w:name="_Toc535312153"/>
      <w:bookmarkStart w:id="62" w:name="_Toc11641055"/>
      <w:bookmarkStart w:id="63" w:name="_Toc12789059"/>
      <w:r>
        <w:rPr>
          <w:rFonts w:hint="eastAsia" w:ascii="宋体" w:hAnsi="宋体" w:eastAsia="宋体" w:cs="宋体"/>
          <w:b w:val="0"/>
          <w:color w:val="auto"/>
          <w:sz w:val="28"/>
          <w:szCs w:val="28"/>
          <w:highlight w:val="none"/>
        </w:rPr>
        <w:t>一、交货时间、地点及验收方式</w:t>
      </w:r>
      <w:bookmarkEnd w:id="59"/>
      <w:bookmarkEnd w:id="60"/>
      <w:bookmarkEnd w:id="61"/>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（一）交货时间</w:t>
      </w:r>
    </w:p>
    <w:p>
      <w:pPr>
        <w:pStyle w:val="33"/>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中标人应在发布中标通知后30个日历日内交货，并完成安装调试。</w:t>
      </w:r>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（二）交货地点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交货地点：重庆医科大学，采购人指定地点。</w:t>
      </w:r>
    </w:p>
    <w:p>
      <w:pPr>
        <w:pStyle w:val="33"/>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（三）验收方式</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1.货物到达现场后，供应商应经采购人或其指定验收单位清点品名、规格、数量；检查外观，作出验收记录，双方签字确认。</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2.供应商应保证货物到达用户所在地完好无损，如有缺漏、损坏，由供应商负责调换、补齐或赔偿。</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3.供应商应提供完备的技术资料、装箱单和合格证等，并派遣专业技术人员进行现场安装调试。验收合格条件如下：</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3.1设备品种、规格、数量、技术参数以及商品品牌、制造商等与采购合同一致，性能指标达到规定的标准。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3.2货物技术资料、装箱单、合格证等资料齐全。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3.3在规定时间内完成交货并验收，并经采购人确认。</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4.供应商提供的货物未达到竞争性谈判规定要求，且对采购人造成损失的，由供应商承担一切责任，并赔偿所造成的损失。</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5.大型或者复杂的政府采购产品项目，采购人可邀请国家认可的质量检测机构参加验收工作。</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6.采购人需要制造商对成交供应商交付的产品（包括质量、技术参数等）进行确认的，制造商应予以配合，并出具书面意见。</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7.产品包装材料归采购人所有。</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4" w:name="_Toc344475121"/>
      <w:bookmarkStart w:id="65" w:name="_Toc25583"/>
      <w:r>
        <w:rPr>
          <w:rFonts w:hint="eastAsia" w:ascii="宋体" w:hAnsi="宋体" w:eastAsia="宋体" w:cs="宋体"/>
          <w:b w:val="0"/>
          <w:color w:val="auto"/>
          <w:sz w:val="28"/>
          <w:szCs w:val="28"/>
          <w:highlight w:val="none"/>
        </w:rPr>
        <w:t>二、质量保证及售后服务</w:t>
      </w:r>
      <w:bookmarkEnd w:id="64"/>
      <w:bookmarkEnd w:id="65"/>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（一）产品质量保证期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1.自合同签订之日起，提供壹年的质保期。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2.采购货物属于国家规定“三包”范围的，其产品质量保证期不得低于“三包”规定。</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3.供应商的质量保证期承诺优于国家“三包”规定的，按供应商实际承诺执行。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4.采购货物由产品制造商（指产品生产制造商以下同）负责标准售后服务，应当在响应文件中予以明确说明，并提供相关文件。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（二）售后服务内容</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供应商和制造商在质量保证期内应当为采购人提供以下技术支持服务：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1.质量保证期内服务要求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1.1电话咨询</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1.2现场响应</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用户遇到使用及技术问题，电话咨询不能解决的，成交供应商或制造商应在接到电话后，2小时响应，12小时内到位，重大紧急情况3小时内应到位，及时提供技术支持，保障设备正常运行。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1.3技术升级</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2.质保期外服务要求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2.1质量保证期过后，成交供应商和制造商应同样提供免费电话咨询服务，并应承诺提供产品上门维护服务。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2.2质量保证期过后，采购人需要继续由原成交供应商和制造商提供售后服务的，成交供应商和制造商应以优惠价格提供售后服务。</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（三）故障响应时间要求</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供应商接到使用方产品出现问题的通知后，2小时响应，12小时内到位，重大紧急情况3小时内应到位，及时排除故障，保障设备安全运行。</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（四）维修配件</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6" w:name="_Toc21483"/>
      <w:bookmarkStart w:id="67" w:name="_Toc344475122"/>
      <w:r>
        <w:rPr>
          <w:rFonts w:hint="eastAsia" w:ascii="宋体" w:hAnsi="宋体" w:eastAsia="宋体" w:cs="宋体"/>
          <w:b w:val="0"/>
          <w:color w:val="auto"/>
          <w:sz w:val="28"/>
          <w:szCs w:val="28"/>
          <w:highlight w:val="none"/>
        </w:rPr>
        <w:t>三、报价要求</w:t>
      </w:r>
      <w:bookmarkEnd w:id="66"/>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谈判报价</w:t>
      </w:r>
      <w:r>
        <w:rPr>
          <w:rFonts w:hint="eastAsia" w:ascii="宋体" w:hAnsi="宋体" w:eastAsia="宋体" w:cs="宋体"/>
          <w:color w:val="auto"/>
          <w:kern w:val="0"/>
          <w:szCs w:val="28"/>
          <w:highlight w:val="none"/>
        </w:rPr>
        <w:t>须为人民币报价</w:t>
      </w:r>
      <w:r>
        <w:rPr>
          <w:rFonts w:hint="eastAsia" w:ascii="宋体" w:hAnsi="宋体" w:eastAsia="宋体" w:cs="宋体"/>
          <w:color w:val="auto"/>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四、付款方式</w:t>
      </w:r>
      <w:bookmarkEnd w:id="67"/>
    </w:p>
    <w:p>
      <w:pPr>
        <w:spacing w:line="560" w:lineRule="exact"/>
        <w:ind w:firstLine="560" w:firstLineChars="200"/>
        <w:rPr>
          <w:rFonts w:hint="eastAsia" w:ascii="宋体" w:hAnsi="宋体" w:eastAsia="宋体" w:cs="宋体"/>
          <w:color w:val="auto"/>
          <w:szCs w:val="28"/>
          <w:highlight w:val="none"/>
        </w:rPr>
      </w:pPr>
      <w:bookmarkStart w:id="68" w:name="_Toc344475123"/>
      <w:r>
        <w:rPr>
          <w:rFonts w:hint="eastAsia" w:ascii="宋体" w:hAnsi="宋体" w:eastAsia="宋体" w:cs="宋体"/>
          <w:color w:val="auto"/>
          <w:szCs w:val="28"/>
          <w:highlight w:val="none"/>
        </w:rPr>
        <w:t>（一）合同签订前，中标人向采购人缴纳合同金额5%的履约保证金；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（二）中标人按合同约定交货，经验收合格后，采购人出具项目验收报告；</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（三）中标人向采购人开具发票，采购人以转账方式向中标人支付合同全款。</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（四）履约保证金在质保期届满后，无廉政、无质量及售后服务问题时，无息退还。</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69" w:name="_Toc9632"/>
      <w:r>
        <w:rPr>
          <w:rFonts w:hint="eastAsia" w:ascii="宋体" w:hAnsi="宋体" w:eastAsia="宋体" w:cs="宋体"/>
          <w:b w:val="0"/>
          <w:color w:val="auto"/>
          <w:sz w:val="28"/>
          <w:szCs w:val="28"/>
          <w:highlight w:val="none"/>
        </w:rPr>
        <w:t>五、知识产权</w:t>
      </w:r>
      <w:bookmarkEnd w:id="68"/>
      <w:bookmarkEnd w:id="69"/>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注：（若涉及软件开发等服务类项目知识产权的，知识产权归采购人所有）。</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0" w:name="_Toc344475124"/>
      <w:bookmarkStart w:id="71" w:name="_Toc12209"/>
      <w:r>
        <w:rPr>
          <w:rFonts w:hint="eastAsia" w:ascii="宋体" w:hAnsi="宋体" w:eastAsia="宋体" w:cs="宋体"/>
          <w:b w:val="0"/>
          <w:color w:val="auto"/>
          <w:sz w:val="28"/>
          <w:szCs w:val="28"/>
          <w:highlight w:val="none"/>
        </w:rPr>
        <w:t>六、培训</w:t>
      </w:r>
      <w:bookmarkEnd w:id="70"/>
      <w:bookmarkEnd w:id="71"/>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成交供应商须提供对设备的操作培训，使相关使用人员能够正常操作相关设备。</w:t>
      </w: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2" w:name="_Toc10083"/>
      <w:r>
        <w:rPr>
          <w:rFonts w:hint="eastAsia" w:ascii="宋体" w:hAnsi="宋体" w:eastAsia="宋体" w:cs="宋体"/>
          <w:b w:val="0"/>
          <w:color w:val="auto"/>
          <w:sz w:val="28"/>
          <w:szCs w:val="28"/>
          <w:highlight w:val="none"/>
        </w:rPr>
        <w:t>七、</w:t>
      </w:r>
      <w:bookmarkStart w:id="73" w:name="_Toc344475125"/>
      <w:r>
        <w:rPr>
          <w:rFonts w:hint="eastAsia" w:ascii="宋体" w:hAnsi="宋体" w:eastAsia="宋体" w:cs="宋体"/>
          <w:b w:val="0"/>
          <w:color w:val="auto"/>
          <w:sz w:val="28"/>
          <w:szCs w:val="28"/>
          <w:highlight w:val="none"/>
        </w:rPr>
        <w:t>其他</w:t>
      </w:r>
      <w:bookmarkEnd w:id="72"/>
    </w:p>
    <w:bookmarkEnd w:id="73"/>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（二）其他未尽事宜由供需双方在采购合同中详细约定。</w:t>
      </w:r>
    </w:p>
    <w:p>
      <w:pPr>
        <w:pStyle w:val="3"/>
        <w:spacing w:before="0" w:after="0" w:line="560" w:lineRule="exact"/>
        <w:jc w:val="center"/>
        <w:rPr>
          <w:rFonts w:hint="eastAsia" w:ascii="宋体" w:hAnsi="宋体" w:eastAsia="宋体" w:cs="宋体"/>
          <w:b w:val="0"/>
          <w:color w:val="auto"/>
          <w:sz w:val="44"/>
          <w:szCs w:val="44"/>
          <w:highlight w:val="none"/>
        </w:rPr>
      </w:pPr>
      <w:r>
        <w:rPr>
          <w:rFonts w:hint="eastAsia" w:ascii="宋体" w:hAnsi="宋体" w:eastAsia="宋体" w:cs="宋体"/>
          <w:b w:val="0"/>
          <w:color w:val="auto"/>
          <w:sz w:val="28"/>
          <w:szCs w:val="28"/>
          <w:highlight w:val="none"/>
        </w:rPr>
        <w:br w:type="page"/>
      </w:r>
      <w:bookmarkStart w:id="74" w:name="_Toc1099"/>
      <w:r>
        <w:rPr>
          <w:rFonts w:hint="eastAsia" w:ascii="宋体" w:hAnsi="宋体" w:eastAsia="宋体" w:cs="宋体"/>
          <w:b w:val="0"/>
          <w:color w:val="auto"/>
          <w:sz w:val="44"/>
          <w:szCs w:val="44"/>
          <w:highlight w:val="none"/>
        </w:rPr>
        <w:t>第五篇</w:t>
      </w:r>
      <w:bookmarkEnd w:id="62"/>
      <w:bookmarkEnd w:id="63"/>
      <w:r>
        <w:rPr>
          <w:rFonts w:hint="eastAsia" w:ascii="宋体" w:hAnsi="宋体" w:eastAsia="宋体" w:cs="宋体"/>
          <w:b w:val="0"/>
          <w:color w:val="auto"/>
          <w:sz w:val="44"/>
          <w:szCs w:val="44"/>
          <w:highlight w:val="none"/>
          <w:lang w:val="en-US" w:eastAsia="zh-CN"/>
        </w:rPr>
        <w:t xml:space="preserve"> </w:t>
      </w:r>
      <w:r>
        <w:rPr>
          <w:rFonts w:hint="eastAsia" w:ascii="宋体" w:hAnsi="宋体" w:eastAsia="宋体" w:cs="宋体"/>
          <w:b w:val="0"/>
          <w:color w:val="auto"/>
          <w:sz w:val="44"/>
          <w:szCs w:val="44"/>
          <w:highlight w:val="none"/>
        </w:rPr>
        <w:t>合同草案条款</w:t>
      </w:r>
      <w:bookmarkEnd w:id="74"/>
    </w:p>
    <w:p>
      <w:pPr>
        <w:snapToGrid w:val="0"/>
        <w:spacing w:line="560" w:lineRule="exact"/>
        <w:ind w:firstLine="420" w:firstLineChars="150"/>
        <w:rPr>
          <w:rFonts w:hint="eastAsia" w:ascii="宋体" w:hAnsi="宋体" w:eastAsia="宋体" w:cs="宋体"/>
          <w:bCs/>
          <w:color w:val="auto"/>
          <w:szCs w:val="28"/>
          <w:highlight w:val="none"/>
        </w:rPr>
      </w:pP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一、定义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二、货物内容</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合同包括以下内容：货物名称、型号规格、技术参数、数量（单位）等内容。</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三、合同价格</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（一）合同价格即合同总价。</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（三）合同货物单价为不变价。</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四、转包或分包</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（一）本合同范围的货物，应由乙方直接供应，不得转让他人供应；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五、质量保证及售后服务</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1.更换：由乙方承担所发生的全部费用。</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2.贬值处理：由甲乙双方合议定价。</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六、付款</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（一）本合同使用货币币制如未作特别说明均为人民币。</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（二）付款方式：银行转账、现金支票。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（三）付款方法：同本项目“第四篇谈判项目服务需求”中关于付款方式的约定。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七、检查验收</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（一）供方应随货物提供合格证和质量证明文件，如是国外进口的货物还须提供入关证明。</w:t>
      </w:r>
    </w:p>
    <w:p>
      <w:pPr>
        <w:snapToGrid w:val="0"/>
        <w:spacing w:line="560" w:lineRule="exact"/>
        <w:ind w:firstLine="420" w:firstLineChars="150"/>
        <w:rPr>
          <w:rFonts w:hint="eastAsia" w:ascii="宋体" w:hAnsi="宋体" w:eastAsia="宋体" w:cs="宋体"/>
          <w:bCs/>
          <w:color w:val="auto"/>
          <w:szCs w:val="28"/>
          <w:highlight w:val="none"/>
        </w:rPr>
      </w:pP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（二）货物验收</w:t>
      </w:r>
    </w:p>
    <w:p>
      <w:pPr>
        <w:adjustRightInd w:val="0"/>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（三）货物验收报告应由需方、供方经办人签字，并加盖双方公章，以此作为支付凭据。</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八、索赔</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九、知识产权</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（二）若涉及软件开发等服务类项目知识产权的，知识产权归采购人所有。</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十、合同争议的解决</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（一）当事人友好协商达成一致</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（二）在60天内当事人协商不能达成协议的，可提请采购人当地仲裁机构仲裁。</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十一、违约责任</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十二、合同生效及其它</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（一）合同生效及其效力应符合《中华人民共和国民法典》有关规定。</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（二）合同应经当事人法定代表人或委托代理人签字，加盖双方合同专用章或公章。</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（三）合同所包括附件，是合同不可分割的一部分，具有同等法法律效力。</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（四）合同需提供担保的，按《中华人民共和国担保法》规定执行。</w:t>
      </w:r>
    </w:p>
    <w:p>
      <w:pPr>
        <w:snapToGrid w:val="0"/>
        <w:spacing w:line="560" w:lineRule="exact"/>
        <w:ind w:firstLine="420" w:firstLineChars="150"/>
        <w:outlineLvl w:val="0"/>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（五）本合同条件未尽事宜依照《中华人民共和国民法典》，由供需双方共同协商确定。</w:t>
      </w:r>
    </w:p>
    <w:p>
      <w:pPr>
        <w:snapToGrid w:val="0"/>
        <w:spacing w:line="560" w:lineRule="exact"/>
        <w:ind w:firstLine="570"/>
        <w:rPr>
          <w:rFonts w:hint="eastAsia" w:ascii="宋体" w:hAnsi="宋体" w:eastAsia="宋体" w:cs="宋体"/>
          <w:color w:val="auto"/>
          <w:szCs w:val="28"/>
          <w:highlight w:val="none"/>
        </w:rPr>
        <w:sectPr>
          <w:pgSz w:w="11907" w:h="16840"/>
          <w:pgMar w:top="1134" w:right="1191" w:bottom="1134" w:left="1304" w:header="964" w:footer="992" w:gutter="0"/>
          <w:pgNumType w:fmt="numberInDash"/>
          <w:cols w:space="720" w:num="1"/>
          <w:docGrid w:linePitch="312" w:charSpace="0"/>
        </w:sectPr>
      </w:pPr>
    </w:p>
    <w:p>
      <w:pPr>
        <w:spacing w:line="560" w:lineRule="exact"/>
        <w:rPr>
          <w:rFonts w:hint="eastAsia" w:ascii="宋体" w:hAnsi="宋体" w:eastAsia="宋体" w:cs="宋体"/>
          <w:color w:val="auto"/>
          <w:szCs w:val="28"/>
          <w:highlight w:val="none"/>
        </w:rPr>
      </w:pPr>
      <w:bookmarkStart w:id="75" w:name="_Toc303945820"/>
      <w:bookmarkStart w:id="76" w:name="_Toc148265480"/>
      <w:r>
        <w:rPr>
          <w:rFonts w:hint="eastAsia" w:ascii="宋体" w:hAnsi="宋体" w:eastAsia="宋体" w:cs="宋体"/>
          <w:color w:val="auto"/>
          <w:szCs w:val="28"/>
          <w:highlight w:val="none"/>
        </w:rPr>
        <w:t>附页：合同格式</w:t>
      </w:r>
      <w:bookmarkEnd w:id="75"/>
      <w:bookmarkEnd w:id="76"/>
    </w:p>
    <w:p>
      <w:pPr>
        <w:tabs>
          <w:tab w:val="left" w:pos="9000"/>
        </w:tabs>
        <w:spacing w:line="560" w:lineRule="exact"/>
        <w:jc w:val="center"/>
        <w:rPr>
          <w:rFonts w:hint="eastAsia" w:ascii="宋体" w:hAnsi="宋体" w:eastAsia="宋体" w:cs="宋体"/>
          <w:color w:val="auto"/>
          <w:szCs w:val="28"/>
          <w:highlight w:val="none"/>
        </w:rPr>
      </w:pPr>
    </w:p>
    <w:p>
      <w:pPr>
        <w:spacing w:line="560" w:lineRule="exact"/>
        <w:jc w:val="center"/>
        <w:rPr>
          <w:rFonts w:hint="eastAsia" w:ascii="宋体" w:hAnsi="宋体" w:eastAsia="宋体" w:cs="宋体"/>
          <w:color w:val="auto"/>
          <w:sz w:val="32"/>
          <w:szCs w:val="32"/>
          <w:highlight w:val="none"/>
          <w:u w:val="single"/>
        </w:rPr>
      </w:pPr>
      <w:bookmarkStart w:id="77" w:name="_Toc12789072"/>
      <w:r>
        <w:rPr>
          <w:rFonts w:hint="eastAsia" w:ascii="宋体" w:hAnsi="宋体" w:eastAsia="宋体" w:cs="宋体"/>
          <w:color w:val="auto"/>
          <w:sz w:val="32"/>
          <w:szCs w:val="32"/>
          <w:highlight w:val="none"/>
        </w:rPr>
        <w:t>合同编号：</w:t>
      </w:r>
    </w:p>
    <w:p>
      <w:pPr>
        <w:spacing w:line="56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正本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副本</w:t>
      </w:r>
    </w:p>
    <w:p>
      <w:pPr>
        <w:spacing w:line="560" w:lineRule="exact"/>
        <w:rPr>
          <w:rFonts w:hint="eastAsia" w:ascii="宋体" w:hAnsi="宋体" w:eastAsia="宋体" w:cs="宋体"/>
          <w:color w:val="auto"/>
          <w:szCs w:val="28"/>
          <w:highlight w:val="none"/>
        </w:rPr>
      </w:pPr>
    </w:p>
    <w:p>
      <w:pPr>
        <w:spacing w:line="560" w:lineRule="exact"/>
        <w:rPr>
          <w:rFonts w:hint="eastAsia" w:ascii="宋体" w:hAnsi="宋体" w:eastAsia="宋体" w:cs="宋体"/>
          <w:color w:val="auto"/>
          <w:szCs w:val="28"/>
          <w:highlight w:val="none"/>
        </w:rPr>
      </w:pPr>
    </w:p>
    <w:p>
      <w:pPr>
        <w:spacing w:line="900" w:lineRule="exac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重庆医科大学经济合同</w:t>
      </w:r>
    </w:p>
    <w:p>
      <w:pPr>
        <w:spacing w:line="64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（采购类）</w:t>
      </w:r>
    </w:p>
    <w:p>
      <w:pPr>
        <w:spacing w:line="640" w:lineRule="exact"/>
        <w:rPr>
          <w:rFonts w:hint="eastAsia" w:ascii="宋体" w:hAnsi="宋体" w:eastAsia="宋体" w:cs="宋体"/>
          <w:color w:val="auto"/>
          <w:szCs w:val="28"/>
          <w:highlight w:val="none"/>
        </w:rPr>
      </w:pPr>
    </w:p>
    <w:p>
      <w:pPr>
        <w:spacing w:line="640" w:lineRule="exact"/>
        <w:rPr>
          <w:rFonts w:hint="eastAsia" w:ascii="宋体" w:hAnsi="宋体" w:eastAsia="宋体" w:cs="宋体"/>
          <w:color w:val="auto"/>
          <w:szCs w:val="28"/>
          <w:highlight w:val="none"/>
        </w:rPr>
      </w:pP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合同类型：■买卖合同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建设工程合同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物业服务合同</w:t>
      </w:r>
    </w:p>
    <w:p>
      <w:pPr>
        <w:spacing w:line="640" w:lineRule="exact"/>
        <w:ind w:firstLine="2240" w:firstLineChars="7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委托合同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租赁合同 </w:t>
      </w: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运输合同 </w:t>
      </w:r>
    </w:p>
    <w:p>
      <w:pPr>
        <w:spacing w:line="640" w:lineRule="exact"/>
        <w:ind w:firstLine="2240" w:firstLineChars="7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sym w:font="Wingdings 2" w:char="00A3"/>
      </w:r>
      <w:r>
        <w:rPr>
          <w:rFonts w:hint="eastAsia" w:ascii="宋体" w:hAnsi="宋体" w:eastAsia="宋体" w:cs="宋体"/>
          <w:color w:val="auto"/>
          <w:sz w:val="32"/>
          <w:szCs w:val="32"/>
          <w:highlight w:val="none"/>
        </w:rPr>
        <w:t xml:space="preserve">其它典型合同 </w:t>
      </w:r>
    </w:p>
    <w:p>
      <w:pPr>
        <w:spacing w:line="6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项目名称：</w:t>
      </w:r>
    </w:p>
    <w:p>
      <w:pPr>
        <w:spacing w:line="640" w:lineRule="exact"/>
        <w:rPr>
          <w:rFonts w:hint="eastAsia" w:ascii="宋体" w:hAnsi="宋体" w:eastAsia="宋体" w:cs="宋体"/>
          <w:color w:val="auto"/>
          <w:sz w:val="32"/>
          <w:szCs w:val="32"/>
          <w:highlight w:val="none"/>
        </w:rPr>
      </w:pP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合同甲方：重庆医科大学</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合同乙方：</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合同金额：人民币元</w:t>
      </w:r>
    </w:p>
    <w:p>
      <w:pPr>
        <w:spacing w:line="6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经费项目：</w:t>
      </w:r>
    </w:p>
    <w:p>
      <w:pPr>
        <w:spacing w:line="640" w:lineRule="exact"/>
        <w:rPr>
          <w:rFonts w:hint="eastAsia" w:ascii="宋体" w:hAnsi="宋体" w:eastAsia="宋体" w:cs="宋体"/>
          <w:color w:val="auto"/>
          <w:sz w:val="32"/>
          <w:szCs w:val="32"/>
          <w:highlight w:val="none"/>
        </w:rPr>
      </w:pPr>
    </w:p>
    <w:p>
      <w:pPr>
        <w:spacing w:line="64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签订时间：     年   月   日</w:t>
      </w:r>
    </w:p>
    <w:p>
      <w:pPr>
        <w:rPr>
          <w:rFonts w:hint="eastAsia" w:ascii="宋体" w:hAnsi="宋体" w:eastAsia="宋体" w:cs="宋体"/>
          <w:color w:val="auto"/>
          <w:sz w:val="36"/>
          <w:szCs w:val="36"/>
          <w:highlight w:val="none"/>
        </w:rPr>
      </w:pPr>
    </w:p>
    <w:p>
      <w:pPr>
        <w:spacing w:line="480" w:lineRule="exact"/>
        <w:jc w:val="center"/>
        <w:rPr>
          <w:rFonts w:hint="eastAsia" w:ascii="宋体" w:hAnsi="宋体" w:eastAsia="宋体" w:cs="宋体"/>
          <w:color w:val="auto"/>
          <w:sz w:val="32"/>
          <w:szCs w:val="32"/>
          <w:highlight w:val="none"/>
        </w:rPr>
      </w:pPr>
    </w:p>
    <w:p>
      <w:pPr>
        <w:spacing w:line="480" w:lineRule="exact"/>
        <w:jc w:val="center"/>
        <w:rPr>
          <w:rFonts w:hint="eastAsia" w:ascii="宋体" w:hAnsi="宋体" w:eastAsia="宋体" w:cs="宋体"/>
          <w:b/>
          <w:color w:val="auto"/>
          <w:sz w:val="44"/>
          <w:highlight w:val="none"/>
        </w:rPr>
      </w:pPr>
    </w:p>
    <w:p>
      <w:pPr>
        <w:spacing w:line="480" w:lineRule="exact"/>
        <w:jc w:val="center"/>
        <w:rPr>
          <w:rFonts w:hint="eastAsia" w:ascii="宋体" w:hAnsi="宋体" w:eastAsia="宋体" w:cs="宋体"/>
          <w:b/>
          <w:color w:val="auto"/>
          <w:sz w:val="44"/>
          <w:highlight w:val="none"/>
        </w:rPr>
      </w:pPr>
      <w:r>
        <w:rPr>
          <w:rFonts w:hint="eastAsia" w:ascii="宋体" w:hAnsi="宋体" w:eastAsia="宋体" w:cs="宋体"/>
          <w:b/>
          <w:color w:val="auto"/>
          <w:sz w:val="44"/>
          <w:highlight w:val="none"/>
        </w:rPr>
        <w:t>重庆市政府采购合同（经济合同）</w:t>
      </w:r>
    </w:p>
    <w:p>
      <w:pPr>
        <w:spacing w:line="4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（项目号：     ）</w:t>
      </w:r>
    </w:p>
    <w:p>
      <w:pPr>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甲方（需方、</w:t>
      </w:r>
      <w:r>
        <w:rPr>
          <w:rFonts w:hint="eastAsia" w:ascii="宋体" w:hAnsi="宋体" w:eastAsia="宋体" w:cs="宋体"/>
          <w:bCs/>
          <w:color w:val="auto"/>
          <w:sz w:val="24"/>
          <w:highlight w:val="none"/>
        </w:rPr>
        <w:t>采购人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_ _重庆医科大学_ _</w:t>
      </w:r>
      <w:r>
        <w:rPr>
          <w:rFonts w:hint="eastAsia" w:ascii="宋体" w:hAnsi="宋体" w:eastAsia="宋体" w:cs="宋体"/>
          <w:color w:val="auto"/>
          <w:sz w:val="24"/>
          <w:highlight w:val="none"/>
        </w:rPr>
        <w:t xml:space="preserve">       计价单位：</w:t>
      </w:r>
      <w:r>
        <w:rPr>
          <w:rFonts w:hint="eastAsia" w:ascii="宋体" w:hAnsi="宋体" w:eastAsia="宋体" w:cs="宋体"/>
          <w:color w:val="auto"/>
          <w:sz w:val="24"/>
          <w:highlight w:val="none"/>
          <w:u w:val="single"/>
        </w:rPr>
        <w:t>_人民币：元__</w:t>
      </w:r>
    </w:p>
    <w:p>
      <w:pPr>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乙方（供方、</w:t>
      </w:r>
      <w:r>
        <w:rPr>
          <w:rFonts w:hint="eastAsia" w:ascii="宋体" w:hAnsi="宋体" w:eastAsia="宋体" w:cs="宋体"/>
          <w:bCs/>
          <w:color w:val="auto"/>
          <w:sz w:val="24"/>
          <w:highlight w:val="none"/>
        </w:rPr>
        <w:t>中标人</w:t>
      </w:r>
      <w:r>
        <w:rPr>
          <w:rFonts w:hint="eastAsia" w:ascii="宋体" w:hAnsi="宋体" w:eastAsia="宋体" w:cs="宋体"/>
          <w:color w:val="auto"/>
          <w:sz w:val="24"/>
          <w:highlight w:val="none"/>
        </w:rPr>
        <w:t>）：___________________      计量单位：_____________</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99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品牌规格型号</w:t>
            </w:r>
          </w:p>
        </w:tc>
        <w:tc>
          <w:tcPr>
            <w:tcW w:w="1276"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数量/单位</w:t>
            </w:r>
          </w:p>
        </w:tc>
        <w:tc>
          <w:tcPr>
            <w:tcW w:w="992"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tc>
        <w:tc>
          <w:tcPr>
            <w:tcW w:w="851"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总价（元）</w:t>
            </w:r>
          </w:p>
        </w:tc>
        <w:tc>
          <w:tcPr>
            <w:tcW w:w="2423"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交付时间</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（履行时间）</w:t>
            </w:r>
          </w:p>
        </w:tc>
        <w:tc>
          <w:tcPr>
            <w:tcW w:w="1595"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hint="eastAsia" w:ascii="宋体" w:hAnsi="宋体" w:eastAsia="宋体" w:cs="宋体"/>
                <w:color w:val="auto"/>
                <w:sz w:val="21"/>
                <w:szCs w:val="21"/>
                <w:highlight w:val="none"/>
              </w:rPr>
            </w:pPr>
          </w:p>
        </w:tc>
        <w:tc>
          <w:tcPr>
            <w:tcW w:w="992" w:type="dxa"/>
            <w:vAlign w:val="center"/>
          </w:tcPr>
          <w:p>
            <w:pPr>
              <w:spacing w:line="300" w:lineRule="exact"/>
              <w:jc w:val="center"/>
              <w:rPr>
                <w:rFonts w:hint="eastAsia" w:ascii="宋体" w:hAnsi="宋体" w:eastAsia="宋体" w:cs="宋体"/>
                <w:color w:val="auto"/>
                <w:sz w:val="21"/>
                <w:szCs w:val="21"/>
                <w:highlight w:val="none"/>
              </w:rPr>
            </w:pPr>
          </w:p>
        </w:tc>
        <w:tc>
          <w:tcPr>
            <w:tcW w:w="1276" w:type="dxa"/>
            <w:vAlign w:val="center"/>
          </w:tcPr>
          <w:p>
            <w:pPr>
              <w:spacing w:line="300" w:lineRule="exact"/>
              <w:jc w:val="center"/>
              <w:rPr>
                <w:rFonts w:hint="eastAsia" w:ascii="宋体" w:hAnsi="宋体" w:eastAsia="宋体" w:cs="宋体"/>
                <w:color w:val="auto"/>
                <w:sz w:val="21"/>
                <w:szCs w:val="21"/>
                <w:highlight w:val="none"/>
              </w:rPr>
            </w:pPr>
          </w:p>
        </w:tc>
        <w:tc>
          <w:tcPr>
            <w:tcW w:w="992" w:type="dxa"/>
            <w:vAlign w:val="center"/>
          </w:tcPr>
          <w:p>
            <w:pPr>
              <w:spacing w:line="300" w:lineRule="exact"/>
              <w:jc w:val="center"/>
              <w:rPr>
                <w:rFonts w:hint="eastAsia" w:ascii="宋体" w:hAnsi="宋体" w:eastAsia="宋体" w:cs="宋体"/>
                <w:color w:val="auto"/>
                <w:sz w:val="21"/>
                <w:szCs w:val="21"/>
                <w:highlight w:val="none"/>
              </w:rPr>
            </w:pPr>
          </w:p>
        </w:tc>
        <w:tc>
          <w:tcPr>
            <w:tcW w:w="851" w:type="dxa"/>
            <w:vAlign w:val="center"/>
          </w:tcPr>
          <w:p>
            <w:pPr>
              <w:spacing w:line="300" w:lineRule="exact"/>
              <w:jc w:val="center"/>
              <w:rPr>
                <w:rFonts w:hint="eastAsia" w:ascii="宋体" w:hAnsi="宋体" w:eastAsia="宋体" w:cs="宋体"/>
                <w:color w:val="auto"/>
                <w:sz w:val="21"/>
                <w:szCs w:val="21"/>
                <w:highlight w:val="none"/>
              </w:rPr>
            </w:pPr>
          </w:p>
        </w:tc>
        <w:tc>
          <w:tcPr>
            <w:tcW w:w="2423" w:type="dxa"/>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乙方应在_____________内交货并完成安装调试</w:t>
            </w:r>
          </w:p>
        </w:tc>
        <w:tc>
          <w:tcPr>
            <w:tcW w:w="1595"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合同总价（含税）：人民币       元（大写：       圆整）。备注：</w:t>
            </w:r>
          </w:p>
          <w:p>
            <w:pPr>
              <w:spacing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1.本项目为“交钥匙工程”，上述合同总价为“包干价”，包括但不限于：乙方为履行合同所需的</w:t>
            </w:r>
            <w:r>
              <w:rPr>
                <w:rFonts w:hint="eastAsia" w:ascii="宋体" w:hAnsi="宋体" w:eastAsia="宋体" w:cs="宋体"/>
                <w:color w:val="auto"/>
                <w:sz w:val="24"/>
                <w:highlight w:val="none"/>
              </w:rPr>
              <w:t>___________________</w:t>
            </w:r>
            <w:r>
              <w:rPr>
                <w:rFonts w:hint="eastAsia" w:ascii="宋体" w:hAnsi="宋体" w:eastAsia="宋体" w:cs="宋体"/>
                <w:color w:val="auto"/>
                <w:sz w:val="21"/>
                <w:szCs w:val="21"/>
                <w:highlight w:val="none"/>
              </w:rPr>
              <w:t>及所有税费。乙方投标时已充分考虑到所有费用，此外，甲方不额外支付任何费用。</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2.本合同商务参数详见附件1，技术参数详见附件2。甲方用户单位已逐页确认，符合其采购需求。</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（一）质保期限：</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（二）保修范围：</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（三）服务措施：</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1.质保期限内，乙方提供的货物因货物本身的质量问题发生故障，乙方应负责免费更换。对达不到技术参数要求者，甲方可根据实际情况，选择按以下第</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类办法处理：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（1）更换：由乙方承担所发生的全部费用。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2.质保期限内，乙方应当及时采取以下措施，并承担所有费用：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（四）质保期后服务：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1.继续提供电话或网络在线咨询：乙方和制造商应同样提供免费电话、网络咨询服务，并应承诺提供上门维护服务。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（五）备品备件及易损件：</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二、随机备品、附件、工具数量及供应方法：</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三、交提货方式：</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（二）乙方应当在</w:t>
            </w:r>
            <w:r>
              <w:rPr>
                <w:rFonts w:hint="eastAsia" w:ascii="宋体" w:hAnsi="宋体" w:eastAsia="宋体" w:cs="宋体"/>
                <w:color w:val="auto"/>
                <w:sz w:val="24"/>
                <w:highlight w:val="none"/>
              </w:rPr>
              <w:t>_____________</w:t>
            </w:r>
            <w:r>
              <w:rPr>
                <w:rFonts w:hint="eastAsia" w:ascii="宋体" w:hAnsi="宋体" w:eastAsia="宋体" w:cs="宋体"/>
                <w:color w:val="auto"/>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四、验收标准、方法：</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（二）乙方应保证货物到达甲方所在地完好无损，如有缺漏、损坏，由乙方负责调换、补齐或赔偿。</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1.货物商务参数、技术参数与本合同一致，性能指标达到规定的标准。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2.货物技术资料、装箱单、合格证等资料齐全。</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3.在系统试运行期间所出现的问题得到解决，并运行正常。</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4.在规定时间内完成交货并验收，并经甲方确认。</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（六）大型或者复杂的政府采购产品项目，甲方应当邀请国家认可的质量检测机构参加验收工作。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五、付款方式：</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（一）履约担保：中标成交结果发布后、签订本合同</w:t>
            </w:r>
            <w:r>
              <w:rPr>
                <w:rFonts w:hint="eastAsia" w:ascii="宋体" w:hAnsi="宋体" w:eastAsia="宋体" w:cs="宋体"/>
                <w:color w:val="auto"/>
                <w:sz w:val="21"/>
                <w:szCs w:val="21"/>
                <w:highlight w:val="none"/>
                <w:u w:val="single"/>
              </w:rPr>
              <w:t>10</w:t>
            </w:r>
            <w:r>
              <w:rPr>
                <w:rFonts w:hint="eastAsia" w:ascii="宋体" w:hAnsi="宋体" w:eastAsia="宋体" w:cs="宋体"/>
                <w:color w:val="auto"/>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（二）乙方按采购合同交货并安装调试完成，经验收合格后由甲方出具项目验收报告。</w:t>
            </w:r>
          </w:p>
          <w:p>
            <w:pPr>
              <w:pStyle w:val="32"/>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（三）付款方法：货物</w:t>
            </w:r>
            <w:r>
              <w:rPr>
                <w:rFonts w:hint="eastAsia" w:ascii="宋体" w:hAnsi="宋体" w:eastAsia="宋体" w:cs="宋体"/>
                <w:color w:val="auto"/>
                <w:sz w:val="21"/>
                <w:szCs w:val="21"/>
                <w:highlight w:val="none"/>
                <w:u w:val="single"/>
              </w:rPr>
              <w:t>全部交付/分期交付</w:t>
            </w:r>
            <w:r>
              <w:rPr>
                <w:rFonts w:hint="eastAsia" w:ascii="宋体" w:hAnsi="宋体" w:eastAsia="宋体" w:cs="宋体"/>
                <w:color w:val="auto"/>
                <w:sz w:val="21"/>
                <w:szCs w:val="21"/>
                <w:highlight w:val="none"/>
              </w:rPr>
              <w:t>并经甲方验收合格，乙方向甲方开具等额有效的增值税专用发票（一般纳税人）后，甲方以银行转账方式按</w:t>
            </w:r>
            <w:r>
              <w:rPr>
                <w:rFonts w:hint="eastAsia" w:ascii="宋体" w:hAnsi="宋体" w:eastAsia="宋体" w:cs="宋体"/>
                <w:color w:val="auto"/>
                <w:sz w:val="21"/>
                <w:szCs w:val="21"/>
                <w:highlight w:val="none"/>
                <w:u w:val="single"/>
              </w:rPr>
              <w:t>本合同总价/相应款项</w:t>
            </w:r>
            <w:r>
              <w:rPr>
                <w:rFonts w:hint="eastAsia" w:ascii="宋体" w:hAnsi="宋体" w:eastAsia="宋体" w:cs="宋体"/>
                <w:color w:val="auto"/>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（一）乙方在投标时未明确提出异议，视为完全响应甲方在本合同内的各项要求。</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（二）乙方应按本合同第一条“质量要求和技术标准”提供货物。若乙方超过</w:t>
            </w:r>
            <w:r>
              <w:rPr>
                <w:rFonts w:hint="eastAsia" w:ascii="宋体" w:hAnsi="宋体" w:eastAsia="宋体" w:cs="宋体"/>
                <w:color w:val="auto"/>
                <w:sz w:val="21"/>
                <w:szCs w:val="21"/>
                <w:highlight w:val="none"/>
                <w:u w:val="single"/>
              </w:rPr>
              <w:t>7</w:t>
            </w:r>
            <w:r>
              <w:rPr>
                <w:rFonts w:hint="eastAsia" w:ascii="宋体" w:hAnsi="宋体" w:eastAsia="宋体" w:cs="宋体"/>
                <w:color w:val="auto"/>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乙方应当按第三条“交提货方式”按时交付合格货物。若乙方逾期，每延期</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个自然日应当按合同总价的</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‰向甲方支付违约金（最高不超过合同总价的</w:t>
            </w:r>
            <w:r>
              <w:rPr>
                <w:rFonts w:hint="eastAsia" w:ascii="宋体" w:hAnsi="宋体" w:eastAsia="宋体" w:cs="宋体"/>
                <w:color w:val="auto"/>
                <w:sz w:val="21"/>
                <w:szCs w:val="21"/>
                <w:highlight w:val="none"/>
                <w:u w:val="single"/>
              </w:rPr>
              <w:t>10</w:t>
            </w:r>
            <w:r>
              <w:rPr>
                <w:rFonts w:hint="eastAsia" w:ascii="宋体" w:hAnsi="宋体" w:eastAsia="宋体" w:cs="宋体"/>
                <w:color w:val="auto"/>
                <w:sz w:val="21"/>
                <w:szCs w:val="21"/>
                <w:highlight w:val="none"/>
              </w:rPr>
              <w:t>%），甲方可在乙方缴纳的履约保证金内扣除；若乙方逾期超过</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（五）履约保证金减少的，乙方未按照甲方要求补足履约保证金的，每逾期</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个自然日，甲方有权要求乙方支付履约保证金总额</w:t>
            </w:r>
            <w:r>
              <w:rPr>
                <w:rFonts w:hint="eastAsia" w:ascii="宋体" w:hAnsi="宋体" w:eastAsia="宋体" w:cs="宋体"/>
                <w:color w:val="auto"/>
                <w:sz w:val="21"/>
                <w:szCs w:val="21"/>
                <w:highlight w:val="none"/>
                <w:u w:val="single"/>
              </w:rPr>
              <w:t>0.1</w:t>
            </w:r>
            <w:r>
              <w:rPr>
                <w:rFonts w:hint="eastAsia" w:ascii="宋体" w:hAnsi="宋体" w:eastAsia="宋体" w:cs="宋体"/>
                <w:color w:val="auto"/>
                <w:sz w:val="21"/>
                <w:szCs w:val="21"/>
                <w:highlight w:val="none"/>
              </w:rPr>
              <w:t>%的违约金；逾期超过</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个自然日，甲方有权解除合同，要求乙方支付前述违约金并没收剩余的履约保证金。</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（八）甲乙双方若不能按互谅互惠原则协商解决争议，甚至在</w:t>
            </w:r>
            <w:r>
              <w:rPr>
                <w:rFonts w:hint="eastAsia" w:ascii="宋体" w:hAnsi="宋体" w:eastAsia="宋体" w:cs="宋体"/>
                <w:color w:val="auto"/>
                <w:sz w:val="21"/>
                <w:szCs w:val="21"/>
                <w:highlight w:val="none"/>
                <w:u w:val="single"/>
              </w:rPr>
              <w:t>60</w:t>
            </w:r>
            <w:r>
              <w:rPr>
                <w:rFonts w:hint="eastAsia" w:ascii="宋体" w:hAnsi="宋体" w:eastAsia="宋体" w:cs="宋体"/>
                <w:color w:val="auto"/>
                <w:sz w:val="21"/>
                <w:szCs w:val="21"/>
                <w:highlight w:val="none"/>
              </w:rPr>
              <w:t>个自然日内当事人协商不能达成协议，任何一方均可向重庆仲裁委员会提请仲裁。</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七、其他约定事项：</w:t>
            </w:r>
          </w:p>
          <w:p>
            <w:pPr>
              <w:spacing w:line="3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注：若涉及软件开发等服务类项目知识产权的，知识产权归甲方所有。</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（三）乙方对其提供产品的使用和操作应尽培训、通知、协助、保密义务。</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宋体" w:hAnsi="宋体" w:eastAsia="宋体" w:cs="宋体"/>
                <w:color w:val="auto"/>
                <w:sz w:val="21"/>
                <w:szCs w:val="21"/>
                <w:highlight w:val="none"/>
                <w:u w:val="single"/>
              </w:rPr>
              <w:t>5</w:t>
            </w:r>
            <w:r>
              <w:rPr>
                <w:rFonts w:hint="eastAsia" w:ascii="宋体" w:hAnsi="宋体" w:eastAsia="宋体" w:cs="宋体"/>
                <w:color w:val="auto"/>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（七）本合同壹式陆份，甲方执正本壹份、副本肆份，乙方执正本壹份，均具备同等法律效力。</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（八）本合同自双方当事人法定代表人或委托代理人签字并加盖双方合同专用章或公章后生效。</w:t>
            </w:r>
          </w:p>
          <w:p>
            <w:pPr>
              <w:spacing w:line="240" w:lineRule="atLeas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甲方（需方）：重庆医科大学</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地址：重庆市渝中区医学院路1号</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统一社会信用代码：12500000450401805G</w:t>
            </w:r>
          </w:p>
          <w:p>
            <w:pPr>
              <w:spacing w:line="240" w:lineRule="atLeast"/>
              <w:rPr>
                <w:rFonts w:hint="eastAsia" w:ascii="宋体" w:hAnsi="宋体" w:eastAsia="宋体" w:cs="宋体"/>
                <w:color w:val="auto"/>
                <w:w w:val="90"/>
                <w:sz w:val="21"/>
                <w:szCs w:val="21"/>
                <w:highlight w:val="none"/>
              </w:rPr>
            </w:pPr>
            <w:r>
              <w:rPr>
                <w:rFonts w:hint="eastAsia" w:ascii="宋体" w:hAnsi="宋体" w:eastAsia="宋体" w:cs="宋体"/>
                <w:color w:val="auto"/>
                <w:w w:val="90"/>
                <w:sz w:val="21"/>
                <w:szCs w:val="21"/>
                <w:highlight w:val="none"/>
              </w:rPr>
              <w:t>开户行：中国建设银行股份有限公司重庆高新区分行</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账号：50001033600050008726</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法定代表人：黄爱龙（签章）</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承办部门：</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用户单位：</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联系电话：（请备注用户单位联系人电话）</w:t>
            </w:r>
          </w:p>
          <w:p>
            <w:pPr>
              <w:spacing w:line="240" w:lineRule="atLeast"/>
              <w:rPr>
                <w:rFonts w:hint="eastAsia" w:ascii="宋体" w:hAnsi="宋体" w:eastAsia="宋体" w:cs="宋体"/>
                <w:color w:val="auto"/>
                <w:sz w:val="21"/>
                <w:szCs w:val="21"/>
                <w:highlight w:val="none"/>
              </w:rPr>
            </w:pPr>
          </w:p>
        </w:tc>
        <w:tc>
          <w:tcPr>
            <w:tcW w:w="4872" w:type="dxa"/>
            <w:gridSpan w:val="3"/>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乙方（供方）：</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（签章）</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备注：本合同请用计算机双面打印，以便于双方准确履行合同义务。</w:t>
            </w:r>
          </w:p>
        </w:tc>
      </w:tr>
    </w:tbl>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签约地点：重庆医科大学袁家岗校区</w:t>
      </w: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00" w:lineRule="exact"/>
        <w:ind w:firstLine="420" w:firstLineChars="200"/>
        <w:rPr>
          <w:rFonts w:hint="eastAsia" w:ascii="宋体" w:hAnsi="宋体" w:eastAsia="宋体" w:cs="宋体"/>
          <w:color w:val="auto"/>
          <w:sz w:val="21"/>
          <w:szCs w:val="21"/>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附件1</w:t>
      </w: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商务参数明细</w:t>
      </w:r>
    </w:p>
    <w:p>
      <w:pPr>
        <w:spacing w:line="560" w:lineRule="exact"/>
        <w:rPr>
          <w:rFonts w:hint="eastAsia" w:ascii="宋体" w:hAnsi="宋体" w:eastAsia="宋体" w:cs="宋体"/>
          <w:color w:val="auto"/>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926"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品牌规格型号</w:t>
            </w:r>
          </w:p>
        </w:tc>
        <w:tc>
          <w:tcPr>
            <w:tcW w:w="978"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w:t>
            </w:r>
          </w:p>
        </w:tc>
        <w:tc>
          <w:tcPr>
            <w:tcW w:w="1460"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数量/单位</w:t>
            </w:r>
          </w:p>
        </w:tc>
        <w:tc>
          <w:tcPr>
            <w:tcW w:w="2348"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tc>
        <w:tc>
          <w:tcPr>
            <w:tcW w:w="1262"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926" w:type="dxa"/>
            <w:vAlign w:val="center"/>
          </w:tcPr>
          <w:p>
            <w:pPr>
              <w:spacing w:line="240" w:lineRule="atLeast"/>
              <w:jc w:val="center"/>
              <w:rPr>
                <w:rFonts w:hint="eastAsia" w:ascii="宋体" w:hAnsi="宋体" w:eastAsia="宋体" w:cs="宋体"/>
                <w:color w:val="auto"/>
                <w:sz w:val="21"/>
                <w:szCs w:val="21"/>
                <w:highlight w:val="none"/>
              </w:rPr>
            </w:pPr>
          </w:p>
        </w:tc>
        <w:tc>
          <w:tcPr>
            <w:tcW w:w="978" w:type="dxa"/>
            <w:vAlign w:val="center"/>
          </w:tcPr>
          <w:p>
            <w:pPr>
              <w:spacing w:line="240" w:lineRule="atLeast"/>
              <w:jc w:val="center"/>
              <w:rPr>
                <w:rFonts w:hint="eastAsia" w:ascii="宋体" w:hAnsi="宋体" w:eastAsia="宋体" w:cs="宋体"/>
                <w:color w:val="auto"/>
                <w:sz w:val="21"/>
                <w:szCs w:val="21"/>
                <w:highlight w:val="none"/>
              </w:rPr>
            </w:pPr>
          </w:p>
        </w:tc>
        <w:tc>
          <w:tcPr>
            <w:tcW w:w="1460" w:type="dxa"/>
            <w:vAlign w:val="center"/>
          </w:tcPr>
          <w:p>
            <w:pPr>
              <w:spacing w:line="240" w:lineRule="atLeast"/>
              <w:jc w:val="center"/>
              <w:rPr>
                <w:rFonts w:hint="eastAsia" w:ascii="宋体" w:hAnsi="宋体" w:eastAsia="宋体" w:cs="宋体"/>
                <w:color w:val="auto"/>
                <w:sz w:val="21"/>
                <w:szCs w:val="21"/>
                <w:highlight w:val="none"/>
              </w:rPr>
            </w:pPr>
          </w:p>
        </w:tc>
        <w:tc>
          <w:tcPr>
            <w:tcW w:w="2348"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r>
    </w:tbl>
    <w:p>
      <w:pPr>
        <w:spacing w:line="560" w:lineRule="exact"/>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rPr>
          <w:rFonts w:hint="eastAsia" w:ascii="宋体" w:hAnsi="宋体" w:eastAsia="宋体" w:cs="宋体"/>
          <w:color w:val="auto"/>
          <w:sz w:val="44"/>
          <w:szCs w:val="44"/>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p>
    <w:p>
      <w:pPr>
        <w:spacing w:line="560"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附件2</w:t>
      </w:r>
    </w:p>
    <w:p>
      <w:pPr>
        <w:spacing w:line="560" w:lineRule="exact"/>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技术参数明细</w:t>
      </w:r>
    </w:p>
    <w:p>
      <w:pPr>
        <w:spacing w:line="560" w:lineRule="exact"/>
        <w:rPr>
          <w:rFonts w:hint="eastAsia" w:ascii="宋体" w:hAnsi="宋体" w:eastAsia="宋体" w:cs="宋体"/>
          <w:color w:val="auto"/>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序号</w:t>
            </w:r>
          </w:p>
        </w:tc>
        <w:tc>
          <w:tcPr>
            <w:tcW w:w="1297" w:type="dxa"/>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商品名称</w:t>
            </w:r>
          </w:p>
        </w:tc>
        <w:tc>
          <w:tcPr>
            <w:tcW w:w="7514" w:type="dxa"/>
            <w:noWrap/>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1297" w:type="dxa"/>
            <w:vMerge w:val="restart"/>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hint="eastAsia" w:ascii="宋体" w:hAnsi="宋体" w:eastAsia="宋体" w:cs="宋体"/>
                <w:color w:val="auto"/>
                <w:sz w:val="24"/>
                <w:szCs w:val="28"/>
                <w:highlight w:val="none"/>
              </w:rPr>
            </w:pPr>
          </w:p>
        </w:tc>
        <w:tc>
          <w:tcPr>
            <w:tcW w:w="1297" w:type="dxa"/>
            <w:vMerge w:val="continue"/>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宋体" w:hAnsi="宋体" w:eastAsia="宋体" w:cs="宋体"/>
                <w:color w:val="auto"/>
                <w:sz w:val="24"/>
                <w:szCs w:val="28"/>
                <w:highlight w:val="none"/>
              </w:rPr>
            </w:pPr>
          </w:p>
          <w:p>
            <w:pPr>
              <w:adjustRightInd w:val="0"/>
              <w:snapToGri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w:t>
            </w:r>
          </w:p>
          <w:p>
            <w:pPr>
              <w:adjustRightInd w:val="0"/>
              <w:snapToGrid w:val="0"/>
              <w:jc w:val="center"/>
              <w:rPr>
                <w:rFonts w:hint="eastAsia" w:ascii="宋体" w:hAnsi="宋体" w:eastAsia="宋体" w:cs="宋体"/>
                <w:color w:val="auto"/>
                <w:sz w:val="24"/>
                <w:szCs w:val="28"/>
                <w:highlight w:val="none"/>
              </w:rPr>
            </w:pPr>
          </w:p>
        </w:tc>
        <w:tc>
          <w:tcPr>
            <w:tcW w:w="1297" w:type="dxa"/>
          </w:tcPr>
          <w:p>
            <w:pPr>
              <w:adjustRightInd w:val="0"/>
              <w:snapToGrid w:val="0"/>
              <w:jc w:val="center"/>
              <w:rPr>
                <w:rFonts w:hint="eastAsia" w:ascii="宋体" w:hAnsi="宋体" w:eastAsia="宋体" w:cs="宋体"/>
                <w:color w:val="auto"/>
                <w:sz w:val="24"/>
                <w:szCs w:val="28"/>
                <w:highlight w:val="none"/>
              </w:rPr>
            </w:pPr>
          </w:p>
        </w:tc>
        <w:tc>
          <w:tcPr>
            <w:tcW w:w="7514" w:type="dxa"/>
          </w:tcPr>
          <w:p>
            <w:pPr>
              <w:adjustRightInd w:val="0"/>
              <w:snapToGrid w:val="0"/>
              <w:jc w:val="center"/>
              <w:rPr>
                <w:rFonts w:hint="eastAsia" w:ascii="宋体" w:hAnsi="宋体" w:eastAsia="宋体" w:cs="宋体"/>
                <w:color w:val="auto"/>
                <w:sz w:val="24"/>
                <w:szCs w:val="28"/>
                <w:highlight w:val="none"/>
              </w:rPr>
            </w:pP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rPr>
          <w:rFonts w:hint="eastAsia" w:ascii="宋体" w:hAnsi="宋体" w:eastAsia="宋体" w:cs="宋体"/>
          <w:color w:val="auto"/>
          <w:sz w:val="21"/>
          <w:szCs w:val="21"/>
          <w:highlight w:val="none"/>
        </w:rPr>
      </w:pPr>
    </w:p>
    <w:p>
      <w:pPr>
        <w:spacing w:line="500" w:lineRule="exact"/>
        <w:rPr>
          <w:rFonts w:hint="eastAsia" w:ascii="宋体" w:hAnsi="宋体" w:eastAsia="宋体" w:cs="宋体"/>
          <w:color w:val="auto"/>
          <w:sz w:val="21"/>
          <w:szCs w:val="21"/>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p>
    <w:p>
      <w:pPr>
        <w:pStyle w:val="3"/>
        <w:spacing w:before="0" w:after="0" w:line="560" w:lineRule="exact"/>
        <w:rPr>
          <w:rFonts w:hint="eastAsia" w:ascii="宋体" w:hAnsi="宋体" w:eastAsia="宋体" w:cs="宋体"/>
          <w:b w:val="0"/>
          <w:color w:val="auto"/>
          <w:sz w:val="44"/>
          <w:szCs w:val="44"/>
          <w:highlight w:val="none"/>
        </w:rPr>
      </w:pPr>
    </w:p>
    <w:p>
      <w:pPr>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pStyle w:val="3"/>
        <w:spacing w:before="0" w:after="0" w:line="560" w:lineRule="exact"/>
        <w:jc w:val="center"/>
        <w:rPr>
          <w:rFonts w:hint="eastAsia" w:ascii="宋体" w:hAnsi="宋体" w:eastAsia="宋体" w:cs="宋体"/>
          <w:b w:val="0"/>
          <w:color w:val="auto"/>
          <w:sz w:val="44"/>
          <w:szCs w:val="44"/>
          <w:highlight w:val="none"/>
        </w:rPr>
      </w:pPr>
      <w:bookmarkStart w:id="78" w:name="_Toc20616"/>
      <w:r>
        <w:rPr>
          <w:rFonts w:hint="eastAsia" w:ascii="宋体" w:hAnsi="宋体" w:eastAsia="宋体" w:cs="宋体"/>
          <w:b w:val="0"/>
          <w:color w:val="auto"/>
          <w:sz w:val="44"/>
          <w:szCs w:val="44"/>
          <w:highlight w:val="none"/>
        </w:rPr>
        <w:t>第六篇响应文件格式要求</w:t>
      </w:r>
      <w:bookmarkEnd w:id="77"/>
      <w:bookmarkEnd w:id="78"/>
    </w:p>
    <w:p>
      <w:pPr>
        <w:rPr>
          <w:rFonts w:hint="eastAsia" w:ascii="宋体" w:hAnsi="宋体" w:eastAsia="宋体" w:cs="宋体"/>
          <w:color w:val="auto"/>
          <w:highlight w:val="none"/>
        </w:rPr>
      </w:pP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一、经济部分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（一）竞争性报价函</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（二）明细报价表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二、技术部分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技术响应偏离表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三、服务部分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服务响应偏离表</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四、资格条件及其他</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（一）营业执照（副本）或事业单位法人证书（副本）复印件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（二）组织机构代码证复印件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（三）法定代表人身份证明书（格式）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（四）法定代表人授权委托书（格式）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（五）2021或2022年度财务状况报告（表）或其基本开户银行出具的资信证明复印件，本年度新成立或成立不满一年的组织和自然人无法提供财务状况报告（表）的，可提供银行出具的资信证明复印件。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（六）书面声明（格式）</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（七）税务登记证（副本）复印件</w:t>
      </w: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说明：供应商按“多证合一”登记制度办理营业执照的，</w:t>
      </w:r>
      <w:r>
        <w:rPr>
          <w:rFonts w:hint="eastAsia" w:ascii="宋体" w:hAnsi="宋体" w:eastAsia="宋体" w:cs="宋体"/>
          <w:color w:val="auto"/>
          <w:kern w:val="0"/>
          <w:szCs w:val="28"/>
          <w:highlight w:val="none"/>
        </w:rPr>
        <w:t>组织机构代码证、税务登记证（副本）和社会保险登记证</w:t>
      </w:r>
      <w:r>
        <w:rPr>
          <w:rFonts w:hint="eastAsia" w:ascii="宋体" w:hAnsi="宋体" w:eastAsia="宋体" w:cs="宋体"/>
          <w:color w:val="auto"/>
          <w:szCs w:val="28"/>
          <w:highlight w:val="none"/>
        </w:rPr>
        <w:t>以供应商所提供的营业执照（副本）复印件为准。</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五、其他应提供的资料</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（一）供应商小微企业证明文件、微型企业承诺书、监狱企业证明文件、残疾人福利性单位声明函</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（二）其他与项目有关的资料（自附）</w:t>
      </w:r>
    </w:p>
    <w:p>
      <w:pPr>
        <w:snapToGrid w:val="0"/>
        <w:spacing w:line="560" w:lineRule="exact"/>
        <w:rPr>
          <w:rFonts w:hint="eastAsia" w:ascii="宋体" w:hAnsi="宋体" w:eastAsia="宋体" w:cs="宋体"/>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79" w:name="_Toc313008356"/>
      <w:bookmarkStart w:id="80" w:name="_Toc313888360"/>
      <w:bookmarkStart w:id="81" w:name="_Toc342913419"/>
      <w:bookmarkStart w:id="82" w:name="_Toc30246"/>
      <w:bookmarkStart w:id="83" w:name="_Toc283382454"/>
      <w:bookmarkStart w:id="84" w:name="_Toc12789073"/>
      <w:r>
        <w:rPr>
          <w:rFonts w:hint="eastAsia" w:ascii="宋体" w:hAnsi="宋体" w:eastAsia="宋体" w:cs="宋体"/>
          <w:b w:val="0"/>
          <w:color w:val="auto"/>
          <w:sz w:val="28"/>
          <w:szCs w:val="28"/>
          <w:highlight w:val="none"/>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（一）竞争性报价函</w:t>
      </w:r>
    </w:p>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竞争性报价函</w:t>
      </w:r>
    </w:p>
    <w:p>
      <w:pPr>
        <w:tabs>
          <w:tab w:val="left" w:pos="6300"/>
        </w:tabs>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u w:val="single"/>
        </w:rPr>
        <w:t>（采购代理机构名称）</w:t>
      </w:r>
      <w:r>
        <w:rPr>
          <w:rFonts w:hint="eastAsia" w:ascii="宋体" w:hAnsi="宋体" w:eastAsia="宋体" w:cs="宋体"/>
          <w:color w:val="auto"/>
          <w:szCs w:val="28"/>
          <w:highlight w:val="none"/>
        </w:rPr>
        <w:t>：</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2.我方现提交的响应文件为：响应文件正本份，副本份，电子文档份。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3.我方承诺：本次谈判的有效期为90天。</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4.我方完全理解和接受贵方竞争性谈判文件的一切规定和要求及谈判评审办法。</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8.我方未为采购项目提供整体设计、规范编制或者项目管理、监理、检测等服务。</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地址：</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电话：传真：</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网址：邮编：</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联系人：</w:t>
      </w:r>
    </w:p>
    <w:p>
      <w:pPr>
        <w:snapToGrid w:val="0"/>
        <w:spacing w:line="560" w:lineRule="exact"/>
        <w:ind w:firstLine="560" w:firstLineChars="200"/>
        <w:rPr>
          <w:rFonts w:hint="eastAsia" w:ascii="宋体" w:hAnsi="宋体" w:eastAsia="宋体" w:cs="宋体"/>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宋体" w:hAnsi="宋体" w:eastAsia="宋体" w:cs="宋体"/>
          <w:color w:val="auto"/>
          <w:szCs w:val="28"/>
          <w:highlight w:val="none"/>
        </w:rPr>
        <w:t>年月日</w:t>
      </w:r>
    </w:p>
    <w:p>
      <w:pPr>
        <w:tabs>
          <w:tab w:val="left" w:pos="2895"/>
        </w:tabs>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（二）明细报价表</w:t>
      </w:r>
    </w:p>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明细报价表</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spacing w:line="560" w:lineRule="exact"/>
        <w:rPr>
          <w:rFonts w:hint="eastAsia" w:ascii="宋体" w:hAnsi="宋体" w:eastAsia="宋体" w:cs="宋体"/>
          <w:color w:val="auto"/>
          <w:szCs w:val="28"/>
          <w:highlight w:val="none"/>
          <w:u w:val="single"/>
        </w:rPr>
      </w:pPr>
      <w:r>
        <w:rPr>
          <w:rFonts w:hint="eastAsia" w:ascii="宋体" w:hAnsi="宋体" w:eastAsia="宋体" w:cs="宋体"/>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单价</w:t>
            </w:r>
          </w:p>
          <w:p>
            <w:pPr>
              <w:pStyle w:val="32"/>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合计</w:t>
            </w:r>
          </w:p>
          <w:p>
            <w:pPr>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color w:val="auto"/>
                <w:szCs w:val="28"/>
                <w:highlight w:val="none"/>
              </w:rPr>
            </w:pPr>
          </w:p>
        </w:tc>
      </w:tr>
    </w:tbl>
    <w:p>
      <w:pPr>
        <w:snapToGrid w:val="0"/>
        <w:spacing w:line="560" w:lineRule="exact"/>
        <w:rPr>
          <w:rFonts w:hint="eastAsia" w:ascii="宋体" w:hAnsi="宋体" w:eastAsia="宋体" w:cs="宋体"/>
          <w:color w:val="auto"/>
          <w:szCs w:val="28"/>
          <w:highlight w:val="none"/>
        </w:rPr>
      </w:pPr>
    </w:p>
    <w:p>
      <w:pPr>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注：1.供应商应完整填写本表。</w:t>
      </w:r>
    </w:p>
    <w:p>
      <w:pPr>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 xml:space="preserve">        2.该表可扩展</w:t>
      </w:r>
      <w:bookmarkStart w:id="85" w:name="OLE_LINK1"/>
      <w:bookmarkStart w:id="86" w:name="OLE_LINK2"/>
      <w:r>
        <w:rPr>
          <w:rFonts w:hint="eastAsia" w:ascii="宋体" w:hAnsi="宋体" w:eastAsia="宋体" w:cs="宋体"/>
          <w:color w:val="auto"/>
          <w:szCs w:val="28"/>
          <w:highlight w:val="none"/>
        </w:rPr>
        <w:t>，并逐页签字或盖章。</w:t>
      </w:r>
      <w:bookmarkEnd w:id="85"/>
      <w:bookmarkEnd w:id="86"/>
    </w:p>
    <w:p>
      <w:pPr>
        <w:snapToGrid w:val="0"/>
        <w:spacing w:line="560" w:lineRule="exact"/>
        <w:rPr>
          <w:rFonts w:hint="eastAsia" w:ascii="宋体" w:hAnsi="宋体" w:eastAsia="宋体" w:cs="宋体"/>
          <w:color w:val="auto"/>
          <w:szCs w:val="28"/>
          <w:highlight w:val="none"/>
        </w:rPr>
      </w:pPr>
    </w:p>
    <w:p>
      <w:pPr>
        <w:snapToGrid w:val="0"/>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供应商名称（公章）：</w:t>
      </w:r>
    </w:p>
    <w:p>
      <w:pPr>
        <w:spacing w:line="560" w:lineRule="exact"/>
        <w:ind w:firstLine="6580" w:firstLineChars="235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snapToGrid w:val="0"/>
        <w:spacing w:line="560" w:lineRule="exact"/>
        <w:ind w:firstLine="560" w:firstLineChars="200"/>
        <w:rPr>
          <w:rFonts w:hint="eastAsia" w:ascii="宋体" w:hAnsi="宋体" w:eastAsia="宋体" w:cs="宋体"/>
          <w:color w:val="auto"/>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87" w:name="_Toc3255"/>
      <w:bookmarkStart w:id="88" w:name="_Toc313008357"/>
      <w:bookmarkStart w:id="89" w:name="_Toc342913420"/>
      <w:bookmarkStart w:id="90" w:name="_Toc313888361"/>
      <w:r>
        <w:rPr>
          <w:rFonts w:hint="eastAsia" w:ascii="宋体" w:hAnsi="宋体" w:eastAsia="宋体" w:cs="宋体"/>
          <w:b w:val="0"/>
          <w:color w:val="auto"/>
          <w:sz w:val="28"/>
          <w:szCs w:val="28"/>
          <w:highlight w:val="none"/>
        </w:rPr>
        <w:t>二、技术部分</w:t>
      </w:r>
      <w:bookmarkEnd w:id="87"/>
      <w:bookmarkEnd w:id="88"/>
      <w:bookmarkEnd w:id="89"/>
      <w:bookmarkEnd w:id="90"/>
    </w:p>
    <w:p>
      <w:pPr>
        <w:snapToGrid w:val="0"/>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技术响应偏离表</w:t>
      </w:r>
    </w:p>
    <w:p>
      <w:pPr>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pStyle w:val="32"/>
        <w:tabs>
          <w:tab w:val="left" w:pos="6300"/>
        </w:tabs>
        <w:snapToGrid w:val="0"/>
        <w:spacing w:line="560" w:lineRule="exact"/>
        <w:ind w:firstLine="140" w:firstLineChars="5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bl>
    <w:p>
      <w:pPr>
        <w:spacing w:line="560" w:lineRule="exact"/>
        <w:ind w:firstLine="700" w:firstLineChars="2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供应商：法定代表人授权代表：</w:t>
      </w:r>
    </w:p>
    <w:p>
      <w:pPr>
        <w:spacing w:line="560" w:lineRule="exac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（供应商公章）（签字或盖章）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1.本表即为对本项目“第三篇谈判项目技术需求”中所列技术要求进行比较和响应；</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3.该表可扩展，并逐页签字或盖章；</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4.可附相关技术支撑材料（格式自定）。</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5.根据响应情况在“差异说明”项填写正偏离或负偏离及原因，完全符合的填写“无差异”。</w:t>
      </w:r>
    </w:p>
    <w:p>
      <w:pPr>
        <w:pStyle w:val="4"/>
        <w:spacing w:before="0" w:after="0" w:line="560" w:lineRule="exact"/>
        <w:ind w:firstLine="420" w:firstLineChars="150"/>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br w:type="page"/>
      </w:r>
      <w:bookmarkStart w:id="91" w:name="_Toc32626"/>
      <w:bookmarkStart w:id="92" w:name="_Toc313888362"/>
      <w:bookmarkStart w:id="93" w:name="_Toc342913421"/>
      <w:bookmarkStart w:id="94" w:name="_Toc313008358"/>
      <w:r>
        <w:rPr>
          <w:rFonts w:hint="eastAsia" w:ascii="宋体" w:hAnsi="宋体" w:eastAsia="宋体" w:cs="宋体"/>
          <w:b w:val="0"/>
          <w:color w:val="auto"/>
          <w:sz w:val="28"/>
          <w:szCs w:val="28"/>
          <w:highlight w:val="none"/>
        </w:rPr>
        <w:t>三、服务部分</w:t>
      </w:r>
      <w:bookmarkEnd w:id="91"/>
    </w:p>
    <w:p>
      <w:pPr>
        <w:snapToGrid w:val="0"/>
        <w:spacing w:line="560" w:lineRule="exact"/>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服务响应偏离表</w:t>
      </w:r>
    </w:p>
    <w:p>
      <w:pPr>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项目号：谈判项目编号：</w:t>
      </w:r>
    </w:p>
    <w:p>
      <w:pPr>
        <w:snapToGrid w:val="0"/>
        <w:spacing w:line="560" w:lineRule="exact"/>
        <w:ind w:firstLine="140" w:firstLineChars="5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hint="eastAsia" w:ascii="宋体" w:hAnsi="宋体" w:eastAsia="宋体" w:cs="宋体"/>
                <w:color w:val="auto"/>
                <w:szCs w:val="28"/>
                <w:highlight w:val="none"/>
              </w:rPr>
            </w:pPr>
          </w:p>
        </w:tc>
      </w:tr>
    </w:tbl>
    <w:p>
      <w:pPr>
        <w:spacing w:line="560" w:lineRule="exact"/>
        <w:ind w:firstLine="700" w:firstLineChars="2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供应商：法定代表人授权代表：</w:t>
      </w:r>
    </w:p>
    <w:p>
      <w:pPr>
        <w:spacing w:line="560" w:lineRule="exact"/>
        <w:rPr>
          <w:rFonts w:hint="eastAsia" w:ascii="宋体" w:hAnsi="宋体" w:eastAsia="宋体" w:cs="宋体"/>
          <w:color w:val="auto"/>
          <w:szCs w:val="28"/>
          <w:highlight w:val="none"/>
        </w:rPr>
      </w:pPr>
    </w:p>
    <w:p>
      <w:pPr>
        <w:spacing w:line="560" w:lineRule="exact"/>
        <w:ind w:firstLine="420" w:firstLineChars="15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（供应商公章）（签字或盖章）</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注：</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1.本表即为对本项目“第四篇谈判项目服务需求”中所列服务要求进行比较和响应；</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3.该表可扩展，并逐页签字或盖章；</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4. 根据响应情况在“差异说明”项填写正偏离或负偏离及原因，完全符合的填写“无差异”。</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pStyle w:val="4"/>
        <w:spacing w:before="0" w:after="0" w:line="560" w:lineRule="exact"/>
        <w:ind w:firstLine="560" w:firstLineChars="200"/>
        <w:rPr>
          <w:rFonts w:hint="eastAsia" w:ascii="宋体" w:hAnsi="宋体" w:eastAsia="宋体" w:cs="宋体"/>
          <w:b w:val="0"/>
          <w:color w:val="auto"/>
          <w:sz w:val="28"/>
          <w:szCs w:val="28"/>
          <w:highlight w:val="none"/>
        </w:rPr>
      </w:pPr>
      <w:bookmarkStart w:id="95" w:name="_Toc24040"/>
      <w:r>
        <w:rPr>
          <w:rFonts w:hint="eastAsia" w:ascii="宋体" w:hAnsi="宋体" w:eastAsia="宋体" w:cs="宋体"/>
          <w:b w:val="0"/>
          <w:color w:val="auto"/>
          <w:sz w:val="28"/>
          <w:szCs w:val="28"/>
          <w:highlight w:val="none"/>
        </w:rPr>
        <w:t>四、</w:t>
      </w:r>
      <w:bookmarkEnd w:id="92"/>
      <w:bookmarkEnd w:id="93"/>
      <w:bookmarkEnd w:id="94"/>
      <w:r>
        <w:rPr>
          <w:rFonts w:hint="eastAsia" w:ascii="宋体" w:hAnsi="宋体" w:eastAsia="宋体" w:cs="宋体"/>
          <w:b w:val="0"/>
          <w:color w:val="auto"/>
          <w:sz w:val="28"/>
          <w:szCs w:val="28"/>
          <w:highlight w:val="none"/>
        </w:rPr>
        <w:t>资格条件及其他</w:t>
      </w:r>
      <w:bookmarkEnd w:id="95"/>
      <w:bookmarkStart w:id="96" w:name="_Toc342913422"/>
      <w:bookmarkStart w:id="97" w:name="_Toc313888363"/>
      <w:bookmarkStart w:id="98" w:name="_Toc313008359"/>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（一）营业执照（副本）或事业单位法人证书（副本）复印件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（二）组织机构代码证复印件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widowControl/>
        <w:spacing w:line="560" w:lineRule="exact"/>
        <w:ind w:firstLine="560" w:firstLineChars="20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（三）法定代表人身份证明书（格式）</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（法定代表人姓名）在（供应商名称）任（职务名称）职务，是（供应商名称）的法定代表人。</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特此证明。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（附：法定代表人身份证正反面复印件）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column"/>
      </w:r>
      <w:r>
        <w:rPr>
          <w:rFonts w:hint="eastAsia" w:ascii="宋体" w:hAnsi="宋体" w:eastAsia="宋体" w:cs="宋体"/>
          <w:color w:val="auto"/>
          <w:szCs w:val="28"/>
          <w:highlight w:val="none"/>
        </w:rPr>
        <w:t>（四）法定代表人授权委托书（格式）</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我单位对被授权人的签字负全部责任。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被授权人：供应商法定代表人：</w:t>
      </w: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（签字或盖章）（签字或盖章）</w:t>
      </w:r>
    </w:p>
    <w:p>
      <w:pPr>
        <w:tabs>
          <w:tab w:val="left" w:pos="6300"/>
        </w:tabs>
        <w:snapToGrid w:val="0"/>
        <w:spacing w:line="560" w:lineRule="exact"/>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（附：被授权人身份证正反面复印件）</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right="560" w:firstLine="6445" w:firstLineChars="2302"/>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right="420"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r>
        <w:rPr>
          <w:rFonts w:hint="eastAsia" w:ascii="宋体" w:hAnsi="宋体" w:eastAsia="宋体" w:cs="宋体"/>
          <w:color w:val="auto"/>
          <w:szCs w:val="28"/>
          <w:highlight w:val="none"/>
        </w:rPr>
        <w:t>（五）2021或2022年度财务状况报告（表）或其基本开户银行出具的资信证明复印件，本年度新成立或成立不满一年的组织和自然人无法提供财务状况报告（表）的，可提供银行出具的资信证明复印件。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（六）书面声明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特此声明。</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right="560" w:firstLine="570"/>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（供应商公章）</w:t>
      </w:r>
    </w:p>
    <w:p>
      <w:pPr>
        <w:tabs>
          <w:tab w:val="left" w:pos="6300"/>
        </w:tabs>
        <w:snapToGrid w:val="0"/>
        <w:spacing w:line="560" w:lineRule="exact"/>
        <w:ind w:right="560"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年月日</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（七）税务登记证（副本）复印件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rPr>
          <w:rFonts w:hint="eastAsia" w:ascii="宋体" w:hAnsi="宋体" w:eastAsia="宋体" w:cs="宋体"/>
          <w:color w:val="auto"/>
          <w:szCs w:val="28"/>
          <w:highlight w:val="none"/>
        </w:rPr>
      </w:pPr>
      <w:r>
        <w:rPr>
          <w:rFonts w:hint="eastAsia" w:ascii="宋体" w:hAnsi="宋体" w:eastAsia="宋体" w:cs="宋体"/>
          <w:color w:val="auto"/>
          <w:szCs w:val="28"/>
          <w:highlight w:val="none"/>
        </w:rPr>
        <w:t>（八）缴纳社会保障金的证明材料复印件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hint="eastAsia" w:ascii="宋体" w:hAnsi="宋体" w:eastAsia="宋体" w:cs="宋体"/>
          <w:color w:val="auto"/>
          <w:szCs w:val="28"/>
          <w:highlight w:val="none"/>
        </w:rPr>
      </w:pPr>
    </w:p>
    <w:p>
      <w:pPr>
        <w:tabs>
          <w:tab w:val="left" w:pos="6300"/>
        </w:tabs>
        <w:snapToGrid w:val="0"/>
        <w:spacing w:line="560" w:lineRule="exact"/>
        <w:ind w:firstLine="56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br w:type="page"/>
      </w:r>
      <w:bookmarkStart w:id="99" w:name="_Toc20674"/>
      <w:r>
        <w:rPr>
          <w:rFonts w:hint="eastAsia" w:ascii="宋体" w:hAnsi="宋体" w:eastAsia="宋体" w:cs="宋体"/>
          <w:b w:val="0"/>
          <w:color w:val="auto"/>
          <w:sz w:val="28"/>
          <w:szCs w:val="28"/>
          <w:highlight w:val="none"/>
        </w:rPr>
        <w:t>五、</w:t>
      </w:r>
      <w:bookmarkEnd w:id="96"/>
      <w:bookmarkEnd w:id="97"/>
      <w:bookmarkEnd w:id="98"/>
      <w:r>
        <w:rPr>
          <w:rFonts w:hint="eastAsia" w:ascii="宋体" w:hAnsi="宋体" w:eastAsia="宋体" w:cs="宋体"/>
          <w:b w:val="0"/>
          <w:color w:val="auto"/>
          <w:sz w:val="28"/>
          <w:szCs w:val="28"/>
          <w:highlight w:val="none"/>
        </w:rPr>
        <w:t>其他应提供的资料</w:t>
      </w:r>
      <w:bookmarkEnd w:id="99"/>
    </w:p>
    <w:p>
      <w:pPr>
        <w:tabs>
          <w:tab w:val="left" w:pos="6300"/>
        </w:tabs>
        <w:snapToGrid w:val="0"/>
        <w:spacing w:line="560" w:lineRule="exact"/>
        <w:ind w:firstLine="56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1.供应商提供企业所在地的县级以上中小企业主管部门本年度出具的证明文件</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2.微型企业承诺书</w:t>
      </w:r>
    </w:p>
    <w:p>
      <w:pPr>
        <w:tabs>
          <w:tab w:val="left" w:pos="6300"/>
        </w:tabs>
        <w:snapToGrid w:val="0"/>
        <w:spacing w:line="560" w:lineRule="exact"/>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微型企业承诺书</w:t>
      </w:r>
    </w:p>
    <w:p>
      <w:pPr>
        <w:tabs>
          <w:tab w:val="left" w:pos="6300"/>
        </w:tabs>
        <w:snapToGrid w:val="0"/>
        <w:spacing w:line="560" w:lineRule="exact"/>
        <w:jc w:val="center"/>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项目名称：</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致：（采购代理机构名称）：</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特此承诺。</w:t>
      </w: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rPr>
          <w:rFonts w:hint="eastAsia" w:ascii="宋体" w:hAnsi="宋体" w:eastAsia="宋体" w:cs="宋体"/>
          <w:color w:val="auto"/>
          <w:szCs w:val="28"/>
          <w:highlight w:val="none"/>
        </w:rPr>
      </w:pPr>
    </w:p>
    <w:p>
      <w:pPr>
        <w:tabs>
          <w:tab w:val="left" w:pos="6300"/>
        </w:tabs>
        <w:snapToGrid w:val="0"/>
        <w:spacing w:line="560" w:lineRule="exact"/>
        <w:ind w:firstLine="570"/>
        <w:jc w:val="right"/>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供应商名称（盖章）：</w:t>
      </w:r>
    </w:p>
    <w:p>
      <w:pPr>
        <w:tabs>
          <w:tab w:val="left" w:pos="6300"/>
        </w:tabs>
        <w:snapToGrid w:val="0"/>
        <w:spacing w:line="560" w:lineRule="exact"/>
        <w:ind w:firstLine="7840" w:firstLineChars="2800"/>
        <w:jc w:val="left"/>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日期：</w:t>
      </w:r>
    </w:p>
    <w:p>
      <w:pPr>
        <w:tabs>
          <w:tab w:val="left" w:pos="6300"/>
        </w:tabs>
        <w:snapToGrid w:val="0"/>
        <w:spacing w:line="560" w:lineRule="exact"/>
        <w:ind w:firstLine="560" w:firstLineChars="20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3.监狱企业证明文件</w:t>
      </w:r>
    </w:p>
    <w:p>
      <w:pPr>
        <w:tabs>
          <w:tab w:val="left" w:pos="6300"/>
        </w:tabs>
        <w:snapToGrid w:val="0"/>
        <w:spacing w:line="560" w:lineRule="exact"/>
        <w:ind w:firstLine="560" w:firstLineChars="200"/>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以省级以上监狱管理局、戒毒管理局（含新疆生产建设兵团）出具的属于监狱企业的证明文件为准。</w:t>
      </w: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4.残疾人福利性单位声明函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jc w:val="center"/>
        <w:outlineLvl w:val="0"/>
        <w:rPr>
          <w:rFonts w:hint="eastAsia" w:ascii="宋体" w:hAnsi="宋体" w:eastAsia="宋体" w:cs="宋体"/>
          <w:color w:val="auto"/>
          <w:szCs w:val="28"/>
          <w:highlight w:val="none"/>
        </w:rPr>
      </w:pPr>
      <w:r>
        <w:rPr>
          <w:rFonts w:hint="eastAsia" w:ascii="宋体" w:hAnsi="宋体" w:eastAsia="宋体" w:cs="宋体"/>
          <w:color w:val="auto"/>
          <w:szCs w:val="28"/>
          <w:highlight w:val="none"/>
        </w:rPr>
        <w:t>残疾人福利性单位声明函</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hint="eastAsia" w:ascii="宋体" w:hAnsi="宋体" w:eastAsia="宋体" w:cs="宋体"/>
          <w:color w:val="auto"/>
          <w:szCs w:val="28"/>
          <w:highlight w:val="none"/>
        </w:rPr>
      </w:pPr>
    </w:p>
    <w:p>
      <w:pPr>
        <w:tabs>
          <w:tab w:val="left" w:pos="6300"/>
        </w:tabs>
        <w:snapToGrid w:val="0"/>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供应商名称（盖章）：</w:t>
      </w:r>
    </w:p>
    <w:p>
      <w:pPr>
        <w:tabs>
          <w:tab w:val="left" w:pos="6300"/>
        </w:tabs>
        <w:snapToGrid w:val="0"/>
        <w:spacing w:line="560" w:lineRule="exact"/>
        <w:ind w:firstLine="570"/>
        <w:jc w:val="left"/>
        <w:rPr>
          <w:rFonts w:hint="eastAsia" w:ascii="宋体" w:hAnsi="宋体" w:eastAsia="宋体" w:cs="宋体"/>
          <w:color w:val="auto"/>
          <w:szCs w:val="28"/>
          <w:highlight w:val="none"/>
        </w:rPr>
      </w:pPr>
      <w:r>
        <w:rPr>
          <w:rFonts w:hint="eastAsia" w:ascii="宋体" w:hAnsi="宋体" w:eastAsia="宋体" w:cs="宋体"/>
          <w:color w:val="auto"/>
          <w:szCs w:val="28"/>
          <w:highlight w:val="none"/>
        </w:rPr>
        <w:t>日期：</w:t>
      </w:r>
    </w:p>
    <w:p>
      <w:pPr>
        <w:spacing w:line="56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（二）其他与项目有关的资料（自附）</w:t>
      </w:r>
    </w:p>
    <w:p>
      <w:pPr>
        <w:spacing w:line="560" w:lineRule="exact"/>
        <w:ind w:firstLine="560" w:firstLineChars="200"/>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p>
    <w:p>
      <w:pPr>
        <w:spacing w:line="560" w:lineRule="exact"/>
        <w:ind w:firstLine="560" w:firstLineChars="200"/>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1" w:fontKey="{DA79EE26-14BE-4152-90E9-7A2F0BA355CA}"/>
  </w:font>
  <w:font w:name="Wingdings 2">
    <w:panose1 w:val="05020102010507070707"/>
    <w:charset w:val="02"/>
    <w:family w:val="roman"/>
    <w:pitch w:val="default"/>
    <w:sig w:usb0="00000000" w:usb1="00000000" w:usb2="00000000" w:usb3="00000000" w:csb0="80000000" w:csb1="00000000"/>
    <w:embedRegular r:id="rId2" w:fontKey="{AAE159CC-4E6F-495A-8FBC-29392EEBE311}"/>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- 32 -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AF4438"/>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A143B2"/>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93CB5"/>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0FA315B"/>
    <w:rsid w:val="21321F1B"/>
    <w:rsid w:val="213D35E2"/>
    <w:rsid w:val="213D6312"/>
    <w:rsid w:val="2141571A"/>
    <w:rsid w:val="217E5C96"/>
    <w:rsid w:val="218C3CE3"/>
    <w:rsid w:val="21FB0745"/>
    <w:rsid w:val="2203275D"/>
    <w:rsid w:val="22160D89"/>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BC2C8F"/>
    <w:rsid w:val="24F34EF3"/>
    <w:rsid w:val="24FA5E2B"/>
    <w:rsid w:val="2500018D"/>
    <w:rsid w:val="255340D4"/>
    <w:rsid w:val="25652831"/>
    <w:rsid w:val="257E3581"/>
    <w:rsid w:val="25923078"/>
    <w:rsid w:val="25C746DE"/>
    <w:rsid w:val="25D42492"/>
    <w:rsid w:val="25DA74AE"/>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6E7010"/>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956D4E"/>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CD05FB"/>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347C5"/>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1C0798"/>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9E2116C"/>
    <w:rsid w:val="3A8D1323"/>
    <w:rsid w:val="3A9B5B8A"/>
    <w:rsid w:val="3ABC1282"/>
    <w:rsid w:val="3ADC2FD1"/>
    <w:rsid w:val="3AEB355D"/>
    <w:rsid w:val="3B0725F9"/>
    <w:rsid w:val="3B0922F6"/>
    <w:rsid w:val="3B0D2CD2"/>
    <w:rsid w:val="3B787AC5"/>
    <w:rsid w:val="3B955DA6"/>
    <w:rsid w:val="3BA23462"/>
    <w:rsid w:val="3BC804A7"/>
    <w:rsid w:val="3BD64206"/>
    <w:rsid w:val="3BE70FB8"/>
    <w:rsid w:val="3BEC625F"/>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2DE6F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4F67AB"/>
    <w:rsid w:val="49682003"/>
    <w:rsid w:val="496D4395"/>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7483D"/>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26256C"/>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DA0784"/>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54D89"/>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03D8F"/>
    <w:rsid w:val="6C3C1C06"/>
    <w:rsid w:val="6CA20189"/>
    <w:rsid w:val="6CAD0F6F"/>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6B3E59"/>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341C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D479E"/>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0"/>
    <w:rPr>
      <w:color w:val="0000FF"/>
      <w:u w:val="single"/>
    </w:rPr>
  </w:style>
  <w:style w:type="character" w:styleId="64">
    <w:name w:val="annotation reference"/>
    <w:semiHidden/>
    <w:qFormat/>
    <w:uiPriority w:val="0"/>
    <w:rPr>
      <w:sz w:val="21"/>
    </w:rPr>
  </w:style>
  <w:style w:type="character" w:styleId="65">
    <w:name w:val="footnote reference"/>
    <w:semiHidden/>
    <w:qFormat/>
    <w:uiPriority w:val="0"/>
    <w:rPr>
      <w:position w:val="6"/>
      <w:sz w:val="14"/>
      <w:vertAlign w:val="superscript"/>
    </w:rPr>
  </w:style>
  <w:style w:type="paragraph" w:customStyle="1" w:styleId="66">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55</Pages>
  <Words>24876</Words>
  <Characters>26053</Characters>
  <Lines>47</Lines>
  <Paragraphs>65</Paragraphs>
  <TotalTime>22</TotalTime>
  <ScaleCrop>false</ScaleCrop>
  <LinksUpToDate>false</LinksUpToDate>
  <CharactersWithSpaces>26286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2023-10-27T09:13:58Z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6C9C92F527FF458AAF5CD83380EC47A1_13</vt:lpwstr>
  </property>
</Properties>
</file>