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60" w:lineRule="exact"/>
        <w:jc w:val="center"/>
        <w:rPr>
          <w:rFonts w:ascii="方正仿宋_GBK" w:hAnsi="宋体" w:eastAsia="方正仿宋_GBK"/>
          <w:color w:val="000000" w:themeColor="text1"/>
          <w:sz w:val="44"/>
          <w:szCs w:val="44"/>
          <w14:textFill>
            <w14:solidFill>
              <w14:schemeClr w14:val="tx1"/>
            </w14:solidFill>
          </w14:textFill>
        </w:rPr>
      </w:pPr>
      <w:bookmarkStart w:id="101" w:name="_GoBack"/>
      <w:bookmarkEnd w:id="101"/>
      <w:r>
        <w:rPr>
          <w:rFonts w:hint="eastAsia" w:ascii="方正仿宋_GBK" w:hAnsi="宋体" w:eastAsia="方正仿宋_GBK"/>
          <w:color w:val="000000" w:themeColor="text1"/>
          <w:sz w:val="44"/>
          <w:szCs w:val="44"/>
          <w14:textFill>
            <w14:solidFill>
              <w14:schemeClr w14:val="tx1"/>
            </w14:solidFill>
          </w14:textFill>
        </w:rPr>
        <w:drawing>
          <wp:anchor distT="0" distB="0" distL="114300" distR="114300" simplePos="0" relativeHeight="251663360" behindDoc="0" locked="0" layoutInCell="1" allowOverlap="1">
            <wp:simplePos x="0" y="0"/>
            <wp:positionH relativeFrom="margin">
              <wp:posOffset>1787525</wp:posOffset>
            </wp:positionH>
            <wp:positionV relativeFrom="margin">
              <wp:posOffset>0</wp:posOffset>
            </wp:positionV>
            <wp:extent cx="2352675" cy="755650"/>
            <wp:effectExtent l="0" t="0" r="9525" b="6350"/>
            <wp:wrapSquare wrapText="bothSides"/>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pic:cNvPicPr>
                  </pic:nvPicPr>
                  <pic:blipFill>
                    <a:blip r:embed="rId20"/>
                    <a:stretch>
                      <a:fillRect/>
                    </a:stretch>
                  </pic:blipFill>
                  <pic:spPr>
                    <a:xfrm>
                      <a:off x="0" y="0"/>
                      <a:ext cx="2352675" cy="755650"/>
                    </a:xfrm>
                    <a:prstGeom prst="rect">
                      <a:avLst/>
                    </a:prstGeom>
                    <a:noFill/>
                    <a:ln>
                      <a:noFill/>
                    </a:ln>
                  </pic:spPr>
                </pic:pic>
              </a:graphicData>
            </a:graphic>
          </wp:anchor>
        </w:drawing>
      </w:r>
    </w:p>
    <w:p>
      <w:pPr>
        <w:spacing w:line="760" w:lineRule="exact"/>
        <w:jc w:val="center"/>
        <w:rPr>
          <w:rFonts w:ascii="方正仿宋_GBK" w:hAnsi="宋体" w:eastAsia="方正仿宋_GBK"/>
          <w:color w:val="000000" w:themeColor="text1"/>
          <w:sz w:val="44"/>
          <w:szCs w:val="44"/>
          <w14:textFill>
            <w14:solidFill>
              <w14:schemeClr w14:val="tx1"/>
            </w14:solidFill>
          </w14:textFill>
        </w:rPr>
      </w:pPr>
    </w:p>
    <w:p>
      <w:pPr>
        <w:spacing w:line="760" w:lineRule="exact"/>
        <w:jc w:val="center"/>
        <w:rPr>
          <w:rFonts w:ascii="方正仿宋_GBK" w:hAnsi="宋体" w:eastAsia="方正仿宋_GBK"/>
          <w:color w:val="000000" w:themeColor="text1"/>
          <w:sz w:val="44"/>
          <w:szCs w:val="44"/>
          <w14:textFill>
            <w14:solidFill>
              <w14:schemeClr w14:val="tx1"/>
            </w14:solidFill>
          </w14:textFill>
        </w:rPr>
      </w:pPr>
    </w:p>
    <w:p>
      <w:pPr>
        <w:spacing w:line="760" w:lineRule="exact"/>
        <w:jc w:val="center"/>
        <w:rPr>
          <w:rFonts w:ascii="方正仿宋_GBK" w:hAnsi="宋体" w:eastAsia="方正仿宋_GBK"/>
          <w:color w:val="000000" w:themeColor="text1"/>
          <w:sz w:val="44"/>
          <w:szCs w:val="44"/>
          <w14:textFill>
            <w14:solidFill>
              <w14:schemeClr w14:val="tx1"/>
            </w14:solidFill>
          </w14:textFill>
        </w:rPr>
      </w:pPr>
    </w:p>
    <w:p>
      <w:pPr>
        <w:spacing w:line="760" w:lineRule="exact"/>
        <w:jc w:val="center"/>
        <w:rPr>
          <w:rFonts w:ascii="黑体" w:hAnsi="黑体" w:eastAsia="黑体" w:cs="黑体"/>
          <w:color w:val="000000" w:themeColor="text1"/>
          <w:sz w:val="72"/>
          <w:szCs w:val="72"/>
          <w14:textFill>
            <w14:solidFill>
              <w14:schemeClr w14:val="tx1"/>
            </w14:solidFill>
          </w14:textFill>
        </w:rPr>
      </w:pPr>
      <w:r>
        <w:rPr>
          <w:rFonts w:hint="eastAsia" w:ascii="黑体" w:hAnsi="黑体" w:eastAsia="黑体" w:cs="黑体"/>
          <w:color w:val="000000" w:themeColor="text1"/>
          <w:sz w:val="72"/>
          <w:szCs w:val="72"/>
          <w14:textFill>
            <w14:solidFill>
              <w14:schemeClr w14:val="tx1"/>
            </w14:solidFill>
          </w14:textFill>
        </w:rPr>
        <w:t>重庆医科大学</w:t>
      </w:r>
    </w:p>
    <w:p>
      <w:pPr>
        <w:spacing w:line="760" w:lineRule="exact"/>
        <w:jc w:val="center"/>
        <w:outlineLvl w:val="0"/>
        <w:rPr>
          <w:rFonts w:ascii="黑体" w:hAnsi="黑体" w:eastAsia="黑体" w:cs="黑体"/>
          <w:color w:val="000000" w:themeColor="text1"/>
          <w:sz w:val="72"/>
          <w:szCs w:val="72"/>
          <w14:textFill>
            <w14:solidFill>
              <w14:schemeClr w14:val="tx1"/>
            </w14:solidFill>
          </w14:textFill>
        </w:rPr>
      </w:pPr>
    </w:p>
    <w:p>
      <w:pPr>
        <w:spacing w:line="760" w:lineRule="exact"/>
        <w:jc w:val="center"/>
        <w:outlineLvl w:val="0"/>
        <w:rPr>
          <w:rFonts w:ascii="方正小标宋简体" w:hAnsi="宋体" w:eastAsia="方正小标宋简体"/>
          <w:color w:val="000000" w:themeColor="text1"/>
          <w:sz w:val="72"/>
          <w:szCs w:val="72"/>
          <w14:textFill>
            <w14:solidFill>
              <w14:schemeClr w14:val="tx1"/>
            </w14:solidFill>
          </w14:textFill>
        </w:rPr>
      </w:pPr>
      <w:r>
        <w:rPr>
          <w:rFonts w:hint="eastAsia" w:ascii="黑体" w:hAnsi="黑体" w:eastAsia="黑体" w:cs="黑体"/>
          <w:color w:val="000000" w:themeColor="text1"/>
          <w:sz w:val="72"/>
          <w:szCs w:val="72"/>
          <w14:textFill>
            <w14:solidFill>
              <w14:schemeClr w14:val="tx1"/>
            </w14:solidFill>
          </w14:textFill>
        </w:rPr>
        <w:t>竞争性谈判文件</w:t>
      </w:r>
    </w:p>
    <w:p>
      <w:pPr>
        <w:spacing w:line="760" w:lineRule="exact"/>
        <w:rPr>
          <w:rFonts w:ascii="方正仿宋_GBK" w:hAnsi="仿宋" w:eastAsia="方正仿宋_GBK"/>
          <w:color w:val="000000" w:themeColor="text1"/>
          <w:spacing w:val="80"/>
          <w:sz w:val="44"/>
          <w:szCs w:val="44"/>
          <w14:textFill>
            <w14:solidFill>
              <w14:schemeClr w14:val="tx1"/>
            </w14:solidFill>
          </w14:textFill>
        </w:rPr>
      </w:pPr>
    </w:p>
    <w:p>
      <w:pPr>
        <w:spacing w:line="760" w:lineRule="exact"/>
        <w:jc w:val="center"/>
        <w:rPr>
          <w:rFonts w:ascii="方正仿宋_GBK" w:eastAsia="方正仿宋_GBK"/>
          <w:color w:val="000000" w:themeColor="text1"/>
          <w:spacing w:val="80"/>
          <w:sz w:val="44"/>
          <w:szCs w:val="44"/>
          <w14:textFill>
            <w14:solidFill>
              <w14:schemeClr w14:val="tx1"/>
            </w14:solidFill>
          </w14:textFill>
        </w:rPr>
      </w:pPr>
    </w:p>
    <w:p>
      <w:pPr>
        <w:spacing w:line="760" w:lineRule="exact"/>
        <w:ind w:firstLine="1760" w:firstLineChars="400"/>
        <w:jc w:val="left"/>
        <w:rPr>
          <w:rFonts w:ascii="黑体" w:hAnsi="黑体" w:eastAsia="黑体" w:cs="黑体"/>
          <w:color w:val="000000" w:themeColor="text1"/>
          <w:sz w:val="44"/>
          <w:szCs w:val="44"/>
          <w:highlight w:val="none"/>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项   目   号：</w:t>
      </w:r>
      <w:r>
        <w:rPr>
          <w:rFonts w:ascii="黑体" w:hAnsi="黑体" w:eastAsia="黑体" w:cs="黑体"/>
          <w:color w:val="000000" w:themeColor="text1"/>
          <w:sz w:val="44"/>
          <w:szCs w:val="44"/>
          <w:highlight w:val="none"/>
          <w14:textFill>
            <w14:solidFill>
              <w14:schemeClr w14:val="tx1"/>
            </w14:solidFill>
          </w14:textFill>
        </w:rPr>
        <w:t>XM202</w:t>
      </w:r>
      <w:r>
        <w:rPr>
          <w:rFonts w:hint="eastAsia" w:ascii="黑体" w:hAnsi="黑体" w:eastAsia="黑体" w:cs="黑体"/>
          <w:color w:val="000000" w:themeColor="text1"/>
          <w:sz w:val="44"/>
          <w:szCs w:val="44"/>
          <w:highlight w:val="none"/>
          <w14:textFill>
            <w14:solidFill>
              <w14:schemeClr w14:val="tx1"/>
            </w14:solidFill>
          </w14:textFill>
        </w:rPr>
        <w:t>3061758</w:t>
      </w:r>
    </w:p>
    <w:p>
      <w:pPr>
        <w:spacing w:line="760" w:lineRule="exact"/>
        <w:ind w:left="4840" w:hanging="4840" w:hangingChars="1100"/>
        <w:jc w:val="left"/>
        <w:rPr>
          <w:rFonts w:ascii="黑体" w:hAnsi="黑体" w:eastAsia="黑体" w:cs="黑体"/>
          <w:sz w:val="44"/>
          <w:szCs w:val="44"/>
          <w:highlight w:val="none"/>
        </w:rPr>
      </w:pPr>
      <w:r>
        <w:rPr>
          <w:rFonts w:hint="eastAsia" w:ascii="黑体" w:hAnsi="黑体" w:eastAsia="黑体" w:cs="黑体"/>
          <w:color w:val="000000" w:themeColor="text1"/>
          <w:sz w:val="44"/>
          <w:szCs w:val="44"/>
          <w:highlight w:val="none"/>
          <w14:textFill>
            <w14:solidFill>
              <w14:schemeClr w14:val="tx1"/>
            </w14:solidFill>
          </w14:textFill>
        </w:rPr>
        <w:t xml:space="preserve">        采购项目名称：环境与人群健康研究中心采购</w:t>
      </w:r>
      <w:r>
        <w:rPr>
          <w:rFonts w:hint="eastAsia" w:ascii="黑体" w:hAnsi="黑体" w:eastAsia="黑体"/>
          <w:sz w:val="44"/>
          <w:szCs w:val="44"/>
          <w:highlight w:val="none"/>
        </w:rPr>
        <w:t>人体成分分析仪等设备一批</w:t>
      </w:r>
    </w:p>
    <w:p>
      <w:pPr>
        <w:spacing w:line="760" w:lineRule="exact"/>
        <w:jc w:val="center"/>
        <w:rPr>
          <w:rFonts w:ascii="黑体" w:hAnsi="黑体" w:eastAsia="黑体" w:cs="黑体"/>
          <w:color w:val="000000" w:themeColor="text1"/>
          <w:sz w:val="44"/>
          <w:szCs w:val="44"/>
          <w14:textFill>
            <w14:solidFill>
              <w14:schemeClr w14:val="tx1"/>
            </w14:solidFill>
          </w14:textFill>
        </w:rPr>
      </w:pPr>
    </w:p>
    <w:p>
      <w:pPr>
        <w:spacing w:line="76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采购人：重庆医科大学</w:t>
      </w:r>
    </w:p>
    <w:p>
      <w:pPr>
        <w:spacing w:line="760" w:lineRule="exact"/>
        <w:jc w:val="center"/>
        <w:rPr>
          <w:rFonts w:ascii="黑体" w:hAnsi="黑体" w:eastAsia="黑体" w:cs="黑体"/>
          <w:color w:val="000000" w:themeColor="text1"/>
          <w:sz w:val="32"/>
          <w:szCs w:val="32"/>
          <w14:textFill>
            <w14:solidFill>
              <w14:schemeClr w14:val="tx1"/>
            </w14:solidFill>
          </w14:textFill>
        </w:rPr>
        <w:sectPr>
          <w:headerReference r:id="rId4" w:type="first"/>
          <w:footerReference r:id="rId7" w:type="first"/>
          <w:headerReference r:id="rId3" w:type="default"/>
          <w:footerReference r:id="rId5" w:type="default"/>
          <w:footerReference r:id="rId6" w:type="even"/>
          <w:pgSz w:w="11907" w:h="16840"/>
          <w:pgMar w:top="1134" w:right="1191" w:bottom="1134" w:left="1304" w:header="851" w:footer="992" w:gutter="0"/>
          <w:pgNumType w:fmt="numberInDash" w:start="0"/>
          <w:cols w:space="720" w:num="1"/>
          <w:titlePg/>
          <w:docGrid w:linePitch="380" w:charSpace="-5735"/>
        </w:sectPr>
      </w:pPr>
      <w:r>
        <w:rPr>
          <w:rFonts w:hint="eastAsia" w:ascii="黑体" w:hAnsi="黑体" w:eastAsia="黑体" w:cs="黑体"/>
          <w:color w:val="000000" w:themeColor="text1"/>
          <w:sz w:val="32"/>
          <w:szCs w:val="32"/>
          <w14:textFill>
            <w14:solidFill>
              <w14:schemeClr w14:val="tx1"/>
            </w14:solidFill>
          </w14:textFill>
        </w:rPr>
        <w:t>二〇二三年九月</w:t>
      </w:r>
    </w:p>
    <w:p>
      <w:pPr>
        <w:spacing w:line="560" w:lineRule="exact"/>
        <w:jc w:val="center"/>
        <w:outlineLvl w:val="0"/>
        <w:rPr>
          <w:rFonts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目   录</w:t>
      </w:r>
    </w:p>
    <w:p>
      <w:pPr>
        <w:pStyle w:val="45"/>
        <w:tabs>
          <w:tab w:val="right" w:leader="dot" w:pos="9412"/>
        </w:tabs>
        <w:ind w:left="560"/>
        <w:rPr>
          <w:color w:val="000000" w:themeColor="text1"/>
          <w14:textFill>
            <w14:solidFill>
              <w14:schemeClr w14:val="tx1"/>
            </w14:solidFill>
          </w14:textFill>
        </w:rPr>
      </w:pPr>
      <w:r>
        <w:rPr>
          <w:rFonts w:hint="eastAsia" w:ascii="方正仿宋_GBK" w:hAnsi="宋体" w:eastAsia="方正仿宋_GBK"/>
          <w:color w:val="000000" w:themeColor="text1"/>
          <w:szCs w:val="28"/>
          <w14:textFill>
            <w14:solidFill>
              <w14:schemeClr w14:val="tx1"/>
            </w14:solidFill>
          </w14:textFill>
        </w:rPr>
        <w:fldChar w:fldCharType="begin"/>
      </w:r>
      <w:r>
        <w:rPr>
          <w:rFonts w:hint="eastAsia" w:ascii="方正仿宋_GBK" w:hAnsi="宋体" w:eastAsia="方正仿宋_GBK"/>
          <w:color w:val="000000" w:themeColor="text1"/>
          <w:szCs w:val="28"/>
          <w14:textFill>
            <w14:solidFill>
              <w14:schemeClr w14:val="tx1"/>
            </w14:solidFill>
          </w14:textFill>
        </w:rPr>
        <w:instrText xml:space="preserve"> TOC \o "1-3" \h \z </w:instrText>
      </w:r>
      <w:r>
        <w:rPr>
          <w:rFonts w:hint="eastAsia" w:ascii="方正仿宋_GBK" w:hAnsi="宋体" w:eastAsia="方正仿宋_GBK"/>
          <w:color w:val="000000" w:themeColor="text1"/>
          <w:szCs w:val="28"/>
          <w14:textFill>
            <w14:solidFill>
              <w14:schemeClr w14:val="tx1"/>
            </w14:solidFill>
          </w14:textFill>
        </w:rPr>
        <w:fldChar w:fldCharType="separate"/>
      </w:r>
      <w:r>
        <w:fldChar w:fldCharType="begin"/>
      </w:r>
      <w:r>
        <w:instrText xml:space="preserve"> HYPERLINK \l "_Toc12024" </w:instrText>
      </w:r>
      <w:r>
        <w:fldChar w:fldCharType="separate"/>
      </w:r>
      <w:r>
        <w:rPr>
          <w:rFonts w:hint="eastAsia" w:ascii="黑体" w:hAnsi="黑体"/>
          <w:color w:val="000000" w:themeColor="text1"/>
          <w:szCs w:val="32"/>
          <w14:textFill>
            <w14:solidFill>
              <w14:schemeClr w14:val="tx1"/>
            </w14:solidFill>
          </w14:textFill>
        </w:rPr>
        <w:t>第一篇  竞争性谈判邀请书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end"/>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_Toc105062284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fldChar w:fldCharType="end"/>
      </w:r>
    </w:p>
    <w:p>
      <w:pPr>
        <w:pStyle w:val="30"/>
        <w:tabs>
          <w:tab w:val="right" w:leader="dot" w:pos="9412"/>
        </w:tabs>
        <w:ind w:left="1120"/>
        <w:rPr>
          <w:rFonts w:ascii="黑体" w:hAnsi="黑体"/>
          <w:color w:val="000000" w:themeColor="text1"/>
          <w:szCs w:val="32"/>
          <w14:textFill>
            <w14:solidFill>
              <w14:schemeClr w14:val="tx1"/>
            </w14:solidFill>
          </w14:textFill>
        </w:rPr>
      </w:pPr>
      <w:r>
        <w:fldChar w:fldCharType="begin"/>
      </w:r>
      <w:r>
        <w:instrText xml:space="preserve"> HYPERLINK \l "_Toc1490" </w:instrText>
      </w:r>
      <w:r>
        <w:fldChar w:fldCharType="separate"/>
      </w:r>
      <w:r>
        <w:rPr>
          <w:rFonts w:hint="eastAsia" w:ascii="黑体" w:hAnsi="黑体"/>
          <w:color w:val="000000" w:themeColor="text1"/>
          <w:szCs w:val="32"/>
          <w14:textFill>
            <w14:solidFill>
              <w14:schemeClr w14:val="tx1"/>
            </w14:solidFill>
          </w14:textFill>
        </w:rPr>
        <w:t>一、竞争性谈判内容</w:t>
      </w:r>
      <w:r>
        <w:rPr>
          <w:rFonts w:hint="eastAsia" w:ascii="黑体" w:hAnsi="黑体"/>
          <w:color w:val="000000" w:themeColor="text1"/>
          <w:szCs w:val="32"/>
          <w14:textFill>
            <w14:solidFill>
              <w14:schemeClr w14:val="tx1"/>
            </w14:solidFill>
          </w14:textFill>
        </w:rPr>
        <w:tab/>
      </w:r>
      <w:r>
        <w:rPr>
          <w:rFonts w:hint="eastAsia" w:ascii="黑体" w:hAnsi="黑体"/>
          <w:color w:val="000000" w:themeColor="text1"/>
          <w:szCs w:val="32"/>
          <w14:textFill>
            <w14:solidFill>
              <w14:schemeClr w14:val="tx1"/>
            </w14:solidFill>
          </w14:textFill>
        </w:rPr>
        <w:fldChar w:fldCharType="end"/>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_Toc105062284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fldChar w:fldCharType="end"/>
      </w:r>
    </w:p>
    <w:p>
      <w:pPr>
        <w:pStyle w:val="30"/>
        <w:tabs>
          <w:tab w:val="right" w:leader="dot" w:pos="9412"/>
        </w:tabs>
        <w:ind w:left="1120"/>
        <w:rPr>
          <w:rFonts w:ascii="黑体" w:hAnsi="黑体"/>
          <w:color w:val="000000" w:themeColor="text1"/>
          <w:szCs w:val="32"/>
          <w14:textFill>
            <w14:solidFill>
              <w14:schemeClr w14:val="tx1"/>
            </w14:solidFill>
          </w14:textFill>
        </w:rPr>
      </w:pPr>
      <w:r>
        <w:fldChar w:fldCharType="begin"/>
      </w:r>
      <w:r>
        <w:instrText xml:space="preserve"> HYPERLINK \l "_Toc20278" </w:instrText>
      </w:r>
      <w:r>
        <w:fldChar w:fldCharType="separate"/>
      </w:r>
      <w:r>
        <w:rPr>
          <w:rFonts w:hint="eastAsia" w:ascii="黑体" w:hAnsi="黑体"/>
          <w:color w:val="000000" w:themeColor="text1"/>
          <w:szCs w:val="32"/>
          <w14:textFill>
            <w14:solidFill>
              <w14:schemeClr w14:val="tx1"/>
            </w14:solidFill>
          </w14:textFill>
        </w:rPr>
        <w:t>二、资金来源</w:t>
      </w:r>
      <w:r>
        <w:rPr>
          <w:rFonts w:hint="eastAsia" w:ascii="黑体" w:hAnsi="黑体"/>
          <w:color w:val="000000" w:themeColor="text1"/>
          <w:szCs w:val="32"/>
          <w14:textFill>
            <w14:solidFill>
              <w14:schemeClr w14:val="tx1"/>
            </w14:solidFill>
          </w14:textFill>
        </w:rPr>
        <w:tab/>
      </w:r>
      <w:r>
        <w:rPr>
          <w:rFonts w:hint="eastAsia" w:ascii="黑体" w:hAnsi="黑体"/>
          <w:color w:val="000000" w:themeColor="text1"/>
          <w:szCs w:val="32"/>
          <w14:textFill>
            <w14:solidFill>
              <w14:schemeClr w14:val="tx1"/>
            </w14:solidFill>
          </w14:textFill>
        </w:rPr>
        <w:fldChar w:fldCharType="end"/>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_Toc105062284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fldChar w:fldCharType="end"/>
      </w:r>
    </w:p>
    <w:p>
      <w:pPr>
        <w:pStyle w:val="30"/>
        <w:tabs>
          <w:tab w:val="right" w:leader="dot" w:pos="9412"/>
        </w:tabs>
        <w:ind w:left="1120"/>
        <w:rPr>
          <w:rFonts w:ascii="黑体" w:hAnsi="黑体"/>
          <w:color w:val="000000" w:themeColor="text1"/>
          <w:szCs w:val="32"/>
          <w14:textFill>
            <w14:solidFill>
              <w14:schemeClr w14:val="tx1"/>
            </w14:solidFill>
          </w14:textFill>
        </w:rPr>
      </w:pPr>
      <w:r>
        <w:fldChar w:fldCharType="begin"/>
      </w:r>
      <w:r>
        <w:instrText xml:space="preserve"> HYPERLINK \l "_Toc16732" </w:instrText>
      </w:r>
      <w:r>
        <w:fldChar w:fldCharType="separate"/>
      </w:r>
      <w:r>
        <w:rPr>
          <w:rFonts w:hint="eastAsia" w:ascii="黑体" w:hAnsi="黑体"/>
          <w:color w:val="000000" w:themeColor="text1"/>
          <w:szCs w:val="32"/>
          <w14:textFill>
            <w14:solidFill>
              <w14:schemeClr w14:val="tx1"/>
            </w14:solidFill>
          </w14:textFill>
        </w:rPr>
        <w:t>三、谈判资格</w:t>
      </w:r>
      <w:r>
        <w:rPr>
          <w:rFonts w:hint="eastAsia" w:ascii="黑体" w:hAnsi="黑体"/>
          <w:color w:val="000000" w:themeColor="text1"/>
          <w:szCs w:val="32"/>
          <w14:textFill>
            <w14:solidFill>
              <w14:schemeClr w14:val="tx1"/>
            </w14:solidFill>
          </w14:textFill>
        </w:rPr>
        <w:tab/>
      </w:r>
      <w:r>
        <w:rPr>
          <w:rFonts w:hint="eastAsia" w:ascii="黑体" w:hAnsi="黑体"/>
          <w:color w:val="000000" w:themeColor="text1"/>
          <w:szCs w:val="32"/>
          <w14:textFill>
            <w14:solidFill>
              <w14:schemeClr w14:val="tx1"/>
            </w14:solidFill>
          </w14:textFill>
        </w:rPr>
        <w:fldChar w:fldCharType="end"/>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_Toc105062284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fldChar w:fldCharType="end"/>
      </w:r>
    </w:p>
    <w:p>
      <w:pPr>
        <w:pStyle w:val="30"/>
        <w:tabs>
          <w:tab w:val="right" w:leader="dot" w:pos="9412"/>
        </w:tabs>
        <w:ind w:left="1120"/>
        <w:rPr>
          <w:rFonts w:ascii="黑体" w:hAnsi="黑体"/>
          <w:color w:val="000000" w:themeColor="text1"/>
          <w:szCs w:val="32"/>
          <w14:textFill>
            <w14:solidFill>
              <w14:schemeClr w14:val="tx1"/>
            </w14:solidFill>
          </w14:textFill>
        </w:rPr>
      </w:pPr>
      <w:r>
        <w:fldChar w:fldCharType="begin"/>
      </w:r>
      <w:r>
        <w:instrText xml:space="preserve"> HYPERLINK \l "_Toc30774" </w:instrText>
      </w:r>
      <w:r>
        <w:fldChar w:fldCharType="separate"/>
      </w:r>
      <w:r>
        <w:rPr>
          <w:rFonts w:hint="eastAsia" w:ascii="黑体" w:hAnsi="黑体"/>
          <w:color w:val="000000" w:themeColor="text1"/>
          <w:szCs w:val="32"/>
          <w14:textFill>
            <w14:solidFill>
              <w14:schemeClr w14:val="tx1"/>
            </w14:solidFill>
          </w14:textFill>
        </w:rPr>
        <w:t>四、谈判有关说明</w:t>
      </w:r>
      <w:r>
        <w:rPr>
          <w:rFonts w:hint="eastAsia" w:ascii="黑体" w:hAnsi="黑体"/>
          <w:color w:val="000000" w:themeColor="text1"/>
          <w:szCs w:val="32"/>
          <w14:textFill>
            <w14:solidFill>
              <w14:schemeClr w14:val="tx1"/>
            </w14:solidFill>
          </w14:textFill>
        </w:rPr>
        <w:tab/>
      </w:r>
      <w:r>
        <w:rPr>
          <w:rFonts w:hint="eastAsia" w:ascii="黑体" w:hAnsi="黑体"/>
          <w:color w:val="000000" w:themeColor="text1"/>
          <w:szCs w:val="32"/>
          <w14:textFill>
            <w14:solidFill>
              <w14:schemeClr w14:val="tx1"/>
            </w14:solidFill>
          </w14:textFill>
        </w:rPr>
        <w:fldChar w:fldCharType="end"/>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_Toc105062284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fldChar w:fldCharType="end"/>
      </w:r>
    </w:p>
    <w:p>
      <w:pPr>
        <w:pStyle w:val="30"/>
        <w:tabs>
          <w:tab w:val="right" w:leader="dot" w:pos="9412"/>
        </w:tabs>
        <w:ind w:left="1120"/>
        <w:rPr>
          <w:rFonts w:ascii="黑体" w:hAnsi="黑体"/>
          <w:color w:val="000000" w:themeColor="text1"/>
          <w:szCs w:val="32"/>
          <w14:textFill>
            <w14:solidFill>
              <w14:schemeClr w14:val="tx1"/>
            </w14:solidFill>
          </w14:textFill>
        </w:rPr>
      </w:pPr>
      <w:r>
        <w:rPr>
          <w:rFonts w:hint="eastAsia" w:ascii="黑体" w:hAnsi="黑体"/>
          <w:color w:val="000000" w:themeColor="text1"/>
          <w:szCs w:val="32"/>
          <w14:textFill>
            <w14:solidFill>
              <w14:schemeClr w14:val="tx1"/>
            </w14:solidFill>
          </w14:textFill>
        </w:rPr>
        <w:t>五、保证金</w:t>
      </w:r>
      <w:r>
        <w:rPr>
          <w:rFonts w:hint="eastAsia" w:ascii="黑体" w:hAnsi="黑体"/>
          <w:color w:val="000000" w:themeColor="text1"/>
          <w:szCs w:val="32"/>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_Toc105062284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fldChar w:fldCharType="end"/>
      </w:r>
    </w:p>
    <w:p>
      <w:pPr>
        <w:pStyle w:val="30"/>
        <w:tabs>
          <w:tab w:val="right" w:leader="dot" w:pos="9412"/>
        </w:tabs>
        <w:ind w:left="1120"/>
        <w:jc w:val="center"/>
        <w:rPr>
          <w:rFonts w:ascii="黑体" w:hAnsi="黑体"/>
          <w:color w:val="000000" w:themeColor="text1"/>
          <w:szCs w:val="32"/>
          <w14:textFill>
            <w14:solidFill>
              <w14:schemeClr w14:val="tx1"/>
            </w14:solidFill>
          </w14:textFill>
        </w:rPr>
      </w:pPr>
      <w:r>
        <w:fldChar w:fldCharType="begin"/>
      </w:r>
      <w:r>
        <w:instrText xml:space="preserve"> HYPERLINK \l "_Toc105062284" </w:instrText>
      </w:r>
      <w:r>
        <w:fldChar w:fldCharType="separate"/>
      </w:r>
      <w:r>
        <w:rPr>
          <w:rFonts w:hint="eastAsia" w:ascii="黑体" w:hAnsi="黑体"/>
          <w:color w:val="000000" w:themeColor="text1"/>
          <w:szCs w:val="32"/>
          <w14:textFill>
            <w14:solidFill>
              <w14:schemeClr w14:val="tx1"/>
            </w14:solidFill>
          </w14:textFill>
        </w:rPr>
        <w:t>六、采购项目需落实的政府采购政策</w:t>
      </w:r>
      <w:r>
        <w:rPr>
          <w:rFonts w:hint="eastAsia" w:ascii="黑体" w:hAnsi="黑体"/>
          <w:color w:val="000000" w:themeColor="text1"/>
          <w:szCs w:val="32"/>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_Toc105062284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4</w:t>
      </w:r>
      <w:r>
        <w:rPr>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fldChar w:fldCharType="end"/>
      </w:r>
    </w:p>
    <w:p>
      <w:pPr>
        <w:pStyle w:val="30"/>
        <w:tabs>
          <w:tab w:val="right" w:leader="dot" w:pos="9412"/>
        </w:tabs>
        <w:ind w:left="1120"/>
        <w:rPr>
          <w:rFonts w:ascii="黑体" w:hAnsi="黑体"/>
          <w:color w:val="000000" w:themeColor="text1"/>
          <w:szCs w:val="32"/>
          <w14:textFill>
            <w14:solidFill>
              <w14:schemeClr w14:val="tx1"/>
            </w14:solidFill>
          </w14:textFill>
        </w:rPr>
      </w:pPr>
      <w:r>
        <w:fldChar w:fldCharType="begin"/>
      </w:r>
      <w:r>
        <w:instrText xml:space="preserve"> HYPERLINK \l "_Toc105062285" </w:instrText>
      </w:r>
      <w:r>
        <w:fldChar w:fldCharType="separate"/>
      </w:r>
      <w:r>
        <w:rPr>
          <w:rFonts w:hint="eastAsia" w:ascii="黑体" w:hAnsi="黑体"/>
          <w:color w:val="000000" w:themeColor="text1"/>
          <w:szCs w:val="32"/>
          <w14:textFill>
            <w14:solidFill>
              <w14:schemeClr w14:val="tx1"/>
            </w14:solidFill>
          </w14:textFill>
        </w:rPr>
        <w:t>七、其它有关规定</w:t>
      </w:r>
      <w:r>
        <w:rPr>
          <w:rFonts w:hint="eastAsia" w:ascii="黑体" w:hAnsi="黑体"/>
          <w:color w:val="000000" w:themeColor="text1"/>
          <w:szCs w:val="32"/>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_Toc105062284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4</w:t>
      </w:r>
      <w:r>
        <w:rPr>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fldChar w:fldCharType="end"/>
      </w:r>
    </w:p>
    <w:p>
      <w:pPr>
        <w:pStyle w:val="30"/>
        <w:ind w:left="1120"/>
        <w:rPr>
          <w:color w:val="000000" w:themeColor="text1"/>
          <w14:textFill>
            <w14:solidFill>
              <w14:schemeClr w14:val="tx1"/>
            </w14:solidFill>
          </w14:textFill>
        </w:rPr>
      </w:pPr>
      <w:r>
        <w:fldChar w:fldCharType="begin"/>
      </w:r>
      <w:r>
        <w:instrText xml:space="preserve"> HYPERLINK \l "_Toc105062286" </w:instrText>
      </w:r>
      <w:r>
        <w:fldChar w:fldCharType="separate"/>
      </w:r>
      <w:r>
        <w:rPr>
          <w:rFonts w:hint="eastAsia" w:ascii="黑体" w:hAnsi="黑体"/>
          <w:color w:val="000000" w:themeColor="text1"/>
          <w:szCs w:val="32"/>
          <w14:textFill>
            <w14:solidFill>
              <w14:schemeClr w14:val="tx1"/>
            </w14:solidFill>
          </w14:textFill>
        </w:rPr>
        <w:t>八、联系方式</w:t>
      </w:r>
      <w:r>
        <w:rPr>
          <w:rFonts w:hint="eastAsia" w:ascii="黑体" w:hAnsi="黑体"/>
          <w:color w:val="000000" w:themeColor="text1"/>
          <w:szCs w:val="32"/>
          <w14:textFill>
            <w14:solidFill>
              <w14:schemeClr w14:val="tx1"/>
            </w14:solidFill>
          </w14:textFill>
        </w:rPr>
        <w:tab/>
      </w:r>
      <w:r>
        <w:rPr>
          <w:rFonts w:hint="eastAsia" w:ascii="黑体" w:hAnsi="黑体"/>
          <w:color w:val="000000" w:themeColor="text1"/>
          <w:szCs w:val="32"/>
          <w14:textFill>
            <w14:solidFill>
              <w14:schemeClr w14:val="tx1"/>
            </w14:solidFill>
          </w14:textFill>
        </w:rPr>
        <w:t>...........................................</w:t>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_Toc105062284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5</w:t>
      </w:r>
      <w:r>
        <w:rPr>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fldChar w:fldCharType="end"/>
      </w:r>
    </w:p>
    <w:p>
      <w:pPr>
        <w:pStyle w:val="45"/>
        <w:tabs>
          <w:tab w:val="right" w:leader="dot" w:pos="9412"/>
        </w:tabs>
        <w:ind w:left="560"/>
        <w:rPr>
          <w:rFonts w:ascii="黑体" w:hAnsi="黑体"/>
          <w:color w:val="000000" w:themeColor="text1"/>
          <w:szCs w:val="32"/>
          <w14:textFill>
            <w14:solidFill>
              <w14:schemeClr w14:val="tx1"/>
            </w14:solidFill>
          </w14:textFill>
        </w:rPr>
      </w:pPr>
      <w:r>
        <w:fldChar w:fldCharType="begin"/>
      </w:r>
      <w:r>
        <w:instrText xml:space="preserve"> HYPERLINK \l "_Toc16537" </w:instrText>
      </w:r>
      <w:r>
        <w:fldChar w:fldCharType="separate"/>
      </w:r>
      <w:r>
        <w:rPr>
          <w:rFonts w:hint="eastAsia" w:ascii="黑体" w:hAnsi="黑体"/>
          <w:color w:val="000000" w:themeColor="text1"/>
          <w:szCs w:val="32"/>
          <w14:textFill>
            <w14:solidFill>
              <w14:schemeClr w14:val="tx1"/>
            </w14:solidFill>
          </w14:textFill>
        </w:rPr>
        <w:t>第二篇  供应商须知</w:t>
      </w:r>
      <w:r>
        <w:rPr>
          <w:rFonts w:hint="eastAsia" w:ascii="黑体" w:hAnsi="黑体"/>
          <w:color w:val="000000" w:themeColor="text1"/>
          <w:szCs w:val="32"/>
          <w14:textFill>
            <w14:solidFill>
              <w14:schemeClr w14:val="tx1"/>
            </w14:solidFill>
          </w14:textFill>
        </w:rPr>
        <w:tab/>
      </w:r>
      <w:r>
        <w:rPr>
          <w:rFonts w:hint="eastAsia" w:ascii="黑体" w:hAnsi="黑体"/>
          <w:color w:val="000000" w:themeColor="text1"/>
          <w:szCs w:val="32"/>
          <w14:textFill>
            <w14:solidFill>
              <w14:schemeClr w14:val="tx1"/>
            </w14:solidFill>
          </w14:textFill>
        </w:rPr>
        <w:fldChar w:fldCharType="end"/>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_Toc105062284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6</w:t>
      </w:r>
      <w:r>
        <w:rPr>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fldChar w:fldCharType="end"/>
      </w:r>
    </w:p>
    <w:p>
      <w:pPr>
        <w:pStyle w:val="30"/>
        <w:tabs>
          <w:tab w:val="right" w:leader="dot" w:pos="9412"/>
        </w:tabs>
        <w:ind w:left="1120"/>
        <w:rPr>
          <w:rFonts w:ascii="黑体" w:hAnsi="黑体"/>
          <w:color w:val="000000" w:themeColor="text1"/>
          <w:szCs w:val="32"/>
          <w14:textFill>
            <w14:solidFill>
              <w14:schemeClr w14:val="tx1"/>
            </w14:solidFill>
          </w14:textFill>
        </w:rPr>
      </w:pPr>
      <w:r>
        <w:fldChar w:fldCharType="begin"/>
      </w:r>
      <w:r>
        <w:instrText xml:space="preserve"> HYPERLINK \l "_Toc20105" </w:instrText>
      </w:r>
      <w:r>
        <w:fldChar w:fldCharType="separate"/>
      </w:r>
      <w:r>
        <w:rPr>
          <w:rFonts w:hint="eastAsia" w:ascii="黑体" w:hAnsi="黑体"/>
          <w:color w:val="000000" w:themeColor="text1"/>
          <w:szCs w:val="32"/>
          <w14:textFill>
            <w14:solidFill>
              <w14:schemeClr w14:val="tx1"/>
            </w14:solidFill>
          </w14:textFill>
        </w:rPr>
        <w:t>一、谈判费用</w:t>
      </w:r>
      <w:r>
        <w:rPr>
          <w:rFonts w:hint="eastAsia" w:ascii="黑体" w:hAnsi="黑体"/>
          <w:color w:val="000000" w:themeColor="text1"/>
          <w:szCs w:val="32"/>
          <w14:textFill>
            <w14:solidFill>
              <w14:schemeClr w14:val="tx1"/>
            </w14:solidFill>
          </w14:textFill>
        </w:rPr>
        <w:tab/>
      </w:r>
      <w:r>
        <w:rPr>
          <w:rFonts w:hint="eastAsia" w:ascii="黑体" w:hAnsi="黑体"/>
          <w:color w:val="000000" w:themeColor="text1"/>
          <w:szCs w:val="32"/>
          <w14:textFill>
            <w14:solidFill>
              <w14:schemeClr w14:val="tx1"/>
            </w14:solidFill>
          </w14:textFill>
        </w:rPr>
        <w:fldChar w:fldCharType="end"/>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_Toc105062284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6</w:t>
      </w:r>
      <w:r>
        <w:rPr>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fldChar w:fldCharType="end"/>
      </w:r>
    </w:p>
    <w:p>
      <w:pPr>
        <w:pStyle w:val="30"/>
        <w:tabs>
          <w:tab w:val="right" w:leader="dot" w:pos="9412"/>
        </w:tabs>
        <w:ind w:left="1120"/>
        <w:rPr>
          <w:rFonts w:ascii="黑体" w:hAnsi="黑体"/>
          <w:color w:val="000000" w:themeColor="text1"/>
          <w:szCs w:val="32"/>
          <w14:textFill>
            <w14:solidFill>
              <w14:schemeClr w14:val="tx1"/>
            </w14:solidFill>
          </w14:textFill>
        </w:rPr>
      </w:pPr>
      <w:r>
        <w:fldChar w:fldCharType="begin"/>
      </w:r>
      <w:r>
        <w:instrText xml:space="preserve"> HYPERLINK \l "_Toc9632" </w:instrText>
      </w:r>
      <w:r>
        <w:fldChar w:fldCharType="separate"/>
      </w:r>
      <w:r>
        <w:rPr>
          <w:rFonts w:hint="eastAsia" w:ascii="黑体" w:hAnsi="黑体"/>
          <w:color w:val="000000" w:themeColor="text1"/>
          <w:szCs w:val="32"/>
          <w14:textFill>
            <w14:solidFill>
              <w14:schemeClr w14:val="tx1"/>
            </w14:solidFill>
          </w14:textFill>
        </w:rPr>
        <w:t>二、竞争性谈判文件</w:t>
      </w:r>
      <w:r>
        <w:rPr>
          <w:rFonts w:hint="eastAsia" w:ascii="黑体" w:hAnsi="黑体"/>
          <w:color w:val="000000" w:themeColor="text1"/>
          <w:szCs w:val="32"/>
          <w14:textFill>
            <w14:solidFill>
              <w14:schemeClr w14:val="tx1"/>
            </w14:solidFill>
          </w14:textFill>
        </w:rPr>
        <w:tab/>
      </w:r>
      <w:r>
        <w:rPr>
          <w:rFonts w:hint="eastAsia" w:ascii="黑体" w:hAnsi="黑体"/>
          <w:color w:val="000000" w:themeColor="text1"/>
          <w:szCs w:val="32"/>
          <w14:textFill>
            <w14:solidFill>
              <w14:schemeClr w14:val="tx1"/>
            </w14:solidFill>
          </w14:textFill>
        </w:rPr>
        <w:fldChar w:fldCharType="end"/>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_Toc105062284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6</w:t>
      </w:r>
      <w:r>
        <w:rPr>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fldChar w:fldCharType="end"/>
      </w:r>
    </w:p>
    <w:p>
      <w:pPr>
        <w:pStyle w:val="30"/>
        <w:tabs>
          <w:tab w:val="right" w:leader="dot" w:pos="9412"/>
        </w:tabs>
        <w:ind w:left="1120"/>
        <w:rPr>
          <w:rFonts w:ascii="黑体" w:hAnsi="黑体"/>
          <w:color w:val="000000" w:themeColor="text1"/>
          <w:szCs w:val="32"/>
          <w14:textFill>
            <w14:solidFill>
              <w14:schemeClr w14:val="tx1"/>
            </w14:solidFill>
          </w14:textFill>
        </w:rPr>
      </w:pPr>
      <w:r>
        <w:fldChar w:fldCharType="begin"/>
      </w:r>
      <w:r>
        <w:instrText xml:space="preserve"> HYPERLINK \l "_Toc15121" </w:instrText>
      </w:r>
      <w:r>
        <w:fldChar w:fldCharType="separate"/>
      </w:r>
      <w:r>
        <w:rPr>
          <w:rFonts w:hint="eastAsia" w:ascii="黑体" w:hAnsi="黑体"/>
          <w:color w:val="000000" w:themeColor="text1"/>
          <w:szCs w:val="32"/>
          <w14:textFill>
            <w14:solidFill>
              <w14:schemeClr w14:val="tx1"/>
            </w14:solidFill>
          </w14:textFill>
        </w:rPr>
        <w:t>三、谈判要求</w:t>
      </w:r>
      <w:r>
        <w:rPr>
          <w:rFonts w:hint="eastAsia" w:ascii="黑体" w:hAnsi="黑体"/>
          <w:color w:val="000000" w:themeColor="text1"/>
          <w:szCs w:val="32"/>
          <w14:textFill>
            <w14:solidFill>
              <w14:schemeClr w14:val="tx1"/>
            </w14:solidFill>
          </w14:textFill>
        </w:rPr>
        <w:tab/>
      </w:r>
      <w:r>
        <w:rPr>
          <w:rFonts w:hint="eastAsia" w:ascii="黑体" w:hAnsi="黑体"/>
          <w:color w:val="000000" w:themeColor="text1"/>
          <w:szCs w:val="32"/>
          <w14:textFill>
            <w14:solidFill>
              <w14:schemeClr w14:val="tx1"/>
            </w14:solidFill>
          </w14:textFill>
        </w:rPr>
        <w:fldChar w:fldCharType="end"/>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_Toc105062284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6</w:t>
      </w:r>
      <w:r>
        <w:rPr>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fldChar w:fldCharType="end"/>
      </w:r>
    </w:p>
    <w:p>
      <w:pPr>
        <w:pStyle w:val="30"/>
        <w:tabs>
          <w:tab w:val="right" w:leader="dot" w:pos="9412"/>
        </w:tabs>
        <w:ind w:left="1120"/>
        <w:rPr>
          <w:rFonts w:ascii="黑体" w:hAnsi="黑体"/>
          <w:color w:val="000000" w:themeColor="text1"/>
          <w:szCs w:val="32"/>
          <w14:textFill>
            <w14:solidFill>
              <w14:schemeClr w14:val="tx1"/>
            </w14:solidFill>
          </w14:textFill>
        </w:rPr>
      </w:pPr>
      <w:r>
        <w:fldChar w:fldCharType="begin"/>
      </w:r>
      <w:r>
        <w:instrText xml:space="preserve"> HYPERLINK \l "_Toc4683" </w:instrText>
      </w:r>
      <w:r>
        <w:fldChar w:fldCharType="separate"/>
      </w:r>
      <w:r>
        <w:rPr>
          <w:rFonts w:hint="eastAsia" w:ascii="黑体" w:hAnsi="黑体"/>
          <w:color w:val="000000" w:themeColor="text1"/>
          <w:szCs w:val="32"/>
          <w14:textFill>
            <w14:solidFill>
              <w14:schemeClr w14:val="tx1"/>
            </w14:solidFill>
          </w14:textFill>
        </w:rPr>
        <w:t>四、谈判程序</w:t>
      </w:r>
      <w:r>
        <w:rPr>
          <w:rFonts w:hint="eastAsia" w:ascii="黑体" w:hAnsi="黑体"/>
          <w:color w:val="000000" w:themeColor="text1"/>
          <w:szCs w:val="32"/>
          <w14:textFill>
            <w14:solidFill>
              <w14:schemeClr w14:val="tx1"/>
            </w14:solidFill>
          </w14:textFill>
        </w:rPr>
        <w:tab/>
      </w:r>
      <w:r>
        <w:rPr>
          <w:rFonts w:hint="eastAsia" w:ascii="黑体" w:hAnsi="黑体"/>
          <w:color w:val="000000" w:themeColor="text1"/>
          <w:szCs w:val="32"/>
          <w14:textFill>
            <w14:solidFill>
              <w14:schemeClr w14:val="tx1"/>
            </w14:solidFill>
          </w14:textFill>
        </w:rPr>
        <w:fldChar w:fldCharType="end"/>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_Toc105062284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9</w:t>
      </w:r>
      <w:r>
        <w:rPr>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fldChar w:fldCharType="end"/>
      </w:r>
    </w:p>
    <w:p>
      <w:pPr>
        <w:pStyle w:val="30"/>
        <w:tabs>
          <w:tab w:val="right" w:leader="dot" w:pos="9412"/>
        </w:tabs>
        <w:ind w:left="1120"/>
        <w:rPr>
          <w:rFonts w:ascii="黑体" w:hAnsi="黑体"/>
          <w:color w:val="000000" w:themeColor="text1"/>
          <w:szCs w:val="32"/>
          <w14:textFill>
            <w14:solidFill>
              <w14:schemeClr w14:val="tx1"/>
            </w14:solidFill>
          </w14:textFill>
        </w:rPr>
      </w:pPr>
      <w:r>
        <w:fldChar w:fldCharType="begin"/>
      </w:r>
      <w:r>
        <w:instrText xml:space="preserve"> HYPERLINK \l "_Toc20197" </w:instrText>
      </w:r>
      <w:r>
        <w:fldChar w:fldCharType="separate"/>
      </w:r>
      <w:r>
        <w:rPr>
          <w:rFonts w:hint="eastAsia" w:ascii="黑体" w:hAnsi="黑体"/>
          <w:color w:val="000000" w:themeColor="text1"/>
          <w:szCs w:val="32"/>
          <w14:textFill>
            <w14:solidFill>
              <w14:schemeClr w14:val="tx1"/>
            </w14:solidFill>
          </w14:textFill>
        </w:rPr>
        <w:t>五、评审依据</w:t>
      </w:r>
      <w:r>
        <w:rPr>
          <w:rFonts w:hint="eastAsia" w:ascii="黑体" w:hAnsi="黑体"/>
          <w:color w:val="000000" w:themeColor="text1"/>
          <w:szCs w:val="32"/>
          <w14:textFill>
            <w14:solidFill>
              <w14:schemeClr w14:val="tx1"/>
            </w14:solidFill>
          </w14:textFill>
        </w:rPr>
        <w:tab/>
      </w:r>
      <w:r>
        <w:rPr>
          <w:rFonts w:hint="eastAsia" w:ascii="黑体" w:hAnsi="黑体"/>
          <w:color w:val="000000" w:themeColor="text1"/>
          <w:szCs w:val="32"/>
          <w14:textFill>
            <w14:solidFill>
              <w14:schemeClr w14:val="tx1"/>
            </w14:solidFill>
          </w14:textFill>
        </w:rPr>
        <w:fldChar w:fldCharType="end"/>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_Toc105062284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13</w:t>
      </w:r>
      <w:r>
        <w:rPr>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fldChar w:fldCharType="end"/>
      </w:r>
    </w:p>
    <w:p>
      <w:pPr>
        <w:pStyle w:val="30"/>
        <w:tabs>
          <w:tab w:val="right" w:leader="dot" w:pos="9412"/>
        </w:tabs>
        <w:ind w:left="1120"/>
        <w:rPr>
          <w:rFonts w:ascii="黑体" w:hAnsi="黑体"/>
          <w:color w:val="000000" w:themeColor="text1"/>
          <w:szCs w:val="32"/>
          <w14:textFill>
            <w14:solidFill>
              <w14:schemeClr w14:val="tx1"/>
            </w14:solidFill>
          </w14:textFill>
        </w:rPr>
      </w:pPr>
      <w:r>
        <w:fldChar w:fldCharType="begin"/>
      </w:r>
      <w:r>
        <w:instrText xml:space="preserve"> HYPERLINK \l "_Toc30577" </w:instrText>
      </w:r>
      <w:r>
        <w:fldChar w:fldCharType="separate"/>
      </w:r>
      <w:r>
        <w:rPr>
          <w:rFonts w:hint="eastAsia" w:ascii="黑体" w:hAnsi="黑体"/>
          <w:color w:val="000000" w:themeColor="text1"/>
          <w:szCs w:val="32"/>
          <w14:textFill>
            <w14:solidFill>
              <w14:schemeClr w14:val="tx1"/>
            </w14:solidFill>
          </w14:textFill>
        </w:rPr>
        <w:t>六、成交原则</w:t>
      </w:r>
      <w:r>
        <w:rPr>
          <w:rFonts w:hint="eastAsia" w:ascii="黑体" w:hAnsi="黑体"/>
          <w:color w:val="000000" w:themeColor="text1"/>
          <w:szCs w:val="32"/>
          <w14:textFill>
            <w14:solidFill>
              <w14:schemeClr w14:val="tx1"/>
            </w14:solidFill>
          </w14:textFill>
        </w:rPr>
        <w:tab/>
      </w:r>
      <w:r>
        <w:rPr>
          <w:rFonts w:hint="eastAsia" w:ascii="黑体" w:hAnsi="黑体"/>
          <w:color w:val="000000" w:themeColor="text1"/>
          <w:szCs w:val="32"/>
          <w14:textFill>
            <w14:solidFill>
              <w14:schemeClr w14:val="tx1"/>
            </w14:solidFill>
          </w14:textFill>
        </w:rPr>
        <w:fldChar w:fldCharType="end"/>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_Toc105062284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13</w:t>
      </w:r>
      <w:r>
        <w:rPr>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fldChar w:fldCharType="end"/>
      </w:r>
    </w:p>
    <w:p>
      <w:pPr>
        <w:pStyle w:val="30"/>
        <w:tabs>
          <w:tab w:val="right" w:leader="dot" w:pos="9412"/>
        </w:tabs>
        <w:ind w:left="1120"/>
        <w:rPr>
          <w:rFonts w:ascii="黑体" w:hAnsi="黑体"/>
          <w:color w:val="000000" w:themeColor="text1"/>
          <w:szCs w:val="32"/>
          <w14:textFill>
            <w14:solidFill>
              <w14:schemeClr w14:val="tx1"/>
            </w14:solidFill>
          </w14:textFill>
        </w:rPr>
      </w:pPr>
      <w:r>
        <w:fldChar w:fldCharType="begin"/>
      </w:r>
      <w:r>
        <w:instrText xml:space="preserve"> HYPERLINK \l "_Toc13104" </w:instrText>
      </w:r>
      <w:r>
        <w:fldChar w:fldCharType="separate"/>
      </w:r>
      <w:r>
        <w:rPr>
          <w:rFonts w:hint="eastAsia" w:ascii="黑体" w:hAnsi="黑体"/>
          <w:color w:val="000000" w:themeColor="text1"/>
          <w:szCs w:val="32"/>
          <w14:textFill>
            <w14:solidFill>
              <w14:schemeClr w14:val="tx1"/>
            </w14:solidFill>
          </w14:textFill>
        </w:rPr>
        <w:t>七、成交通知</w:t>
      </w:r>
      <w:r>
        <w:rPr>
          <w:rFonts w:hint="eastAsia" w:ascii="黑体" w:hAnsi="黑体"/>
          <w:color w:val="000000" w:themeColor="text1"/>
          <w:szCs w:val="32"/>
          <w14:textFill>
            <w14:solidFill>
              <w14:schemeClr w14:val="tx1"/>
            </w14:solidFill>
          </w14:textFill>
        </w:rPr>
        <w:tab/>
      </w:r>
      <w:r>
        <w:rPr>
          <w:rFonts w:hint="eastAsia" w:ascii="黑体" w:hAnsi="黑体"/>
          <w:color w:val="000000" w:themeColor="text1"/>
          <w:szCs w:val="32"/>
          <w14:textFill>
            <w14:solidFill>
              <w14:schemeClr w14:val="tx1"/>
            </w14:solidFill>
          </w14:textFill>
        </w:rPr>
        <w:fldChar w:fldCharType="end"/>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_Toc105062284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15</w:t>
      </w:r>
      <w:r>
        <w:rPr>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fldChar w:fldCharType="end"/>
      </w:r>
    </w:p>
    <w:p>
      <w:pPr>
        <w:pStyle w:val="30"/>
        <w:tabs>
          <w:tab w:val="right" w:leader="dot" w:pos="9412"/>
        </w:tabs>
        <w:ind w:left="1120"/>
        <w:rPr>
          <w:rFonts w:ascii="黑体" w:hAnsi="黑体"/>
          <w:color w:val="000000" w:themeColor="text1"/>
          <w:szCs w:val="32"/>
          <w14:textFill>
            <w14:solidFill>
              <w14:schemeClr w14:val="tx1"/>
            </w14:solidFill>
          </w14:textFill>
        </w:rPr>
      </w:pPr>
      <w:r>
        <w:fldChar w:fldCharType="begin"/>
      </w:r>
      <w:r>
        <w:instrText xml:space="preserve"> HYPERLINK \l "_Toc11896" </w:instrText>
      </w:r>
      <w:r>
        <w:fldChar w:fldCharType="separate"/>
      </w:r>
      <w:r>
        <w:rPr>
          <w:rFonts w:hint="eastAsia" w:ascii="黑体" w:hAnsi="黑体"/>
          <w:color w:val="000000" w:themeColor="text1"/>
          <w:szCs w:val="32"/>
          <w14:textFill>
            <w14:solidFill>
              <w14:schemeClr w14:val="tx1"/>
            </w14:solidFill>
          </w14:textFill>
        </w:rPr>
        <w:t>八、关于质疑和投诉</w:t>
      </w:r>
      <w:r>
        <w:rPr>
          <w:rFonts w:hint="eastAsia" w:ascii="黑体" w:hAnsi="黑体"/>
          <w:color w:val="000000" w:themeColor="text1"/>
          <w:szCs w:val="32"/>
          <w14:textFill>
            <w14:solidFill>
              <w14:schemeClr w14:val="tx1"/>
            </w14:solidFill>
          </w14:textFill>
        </w:rPr>
        <w:tab/>
      </w:r>
      <w:r>
        <w:rPr>
          <w:rFonts w:hint="eastAsia" w:ascii="黑体" w:hAnsi="黑体"/>
          <w:color w:val="000000" w:themeColor="text1"/>
          <w:szCs w:val="32"/>
          <w14:textFill>
            <w14:solidFill>
              <w14:schemeClr w14:val="tx1"/>
            </w14:solidFill>
          </w14:textFill>
        </w:rPr>
        <w:fldChar w:fldCharType="end"/>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_Toc105062284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16</w:t>
      </w:r>
      <w:r>
        <w:rPr>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fldChar w:fldCharType="end"/>
      </w:r>
    </w:p>
    <w:p>
      <w:pPr>
        <w:pStyle w:val="30"/>
        <w:tabs>
          <w:tab w:val="right" w:leader="dot" w:pos="9412"/>
        </w:tabs>
        <w:ind w:left="1120"/>
        <w:rPr>
          <w:rFonts w:ascii="黑体" w:hAnsi="黑体"/>
          <w:color w:val="000000" w:themeColor="text1"/>
          <w:szCs w:val="32"/>
          <w14:textFill>
            <w14:solidFill>
              <w14:schemeClr w14:val="tx1"/>
            </w14:solidFill>
          </w14:textFill>
        </w:rPr>
      </w:pPr>
      <w:r>
        <w:fldChar w:fldCharType="begin"/>
      </w:r>
      <w:r>
        <w:instrText xml:space="preserve"> HYPERLINK \l "_Toc1285" </w:instrText>
      </w:r>
      <w:r>
        <w:fldChar w:fldCharType="separate"/>
      </w:r>
      <w:r>
        <w:rPr>
          <w:rFonts w:hint="eastAsia" w:ascii="黑体" w:hAnsi="黑体"/>
          <w:color w:val="000000" w:themeColor="text1"/>
          <w:szCs w:val="32"/>
          <w14:textFill>
            <w14:solidFill>
              <w14:schemeClr w14:val="tx1"/>
            </w14:solidFill>
          </w14:textFill>
        </w:rPr>
        <w:t>九、签订合同</w:t>
      </w:r>
      <w:r>
        <w:rPr>
          <w:rFonts w:hint="eastAsia" w:ascii="黑体" w:hAnsi="黑体"/>
          <w:color w:val="000000" w:themeColor="text1"/>
          <w:szCs w:val="32"/>
          <w14:textFill>
            <w14:solidFill>
              <w14:schemeClr w14:val="tx1"/>
            </w14:solidFill>
          </w14:textFill>
        </w:rPr>
        <w:tab/>
      </w:r>
      <w:r>
        <w:rPr>
          <w:rFonts w:hint="eastAsia" w:ascii="黑体" w:hAnsi="黑体"/>
          <w:color w:val="000000" w:themeColor="text1"/>
          <w:szCs w:val="32"/>
          <w14:textFill>
            <w14:solidFill>
              <w14:schemeClr w14:val="tx1"/>
            </w14:solidFill>
          </w14:textFill>
        </w:rPr>
        <w:fldChar w:fldCharType="end"/>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_Toc105062284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18</w:t>
      </w:r>
      <w:r>
        <w:rPr>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fldChar w:fldCharType="end"/>
      </w:r>
    </w:p>
    <w:p>
      <w:pPr>
        <w:pStyle w:val="30"/>
        <w:tabs>
          <w:tab w:val="right" w:leader="dot" w:pos="9412"/>
        </w:tabs>
        <w:ind w:left="1120"/>
        <w:rPr>
          <w:rFonts w:ascii="黑体" w:hAnsi="黑体"/>
          <w:color w:val="000000" w:themeColor="text1"/>
          <w:szCs w:val="32"/>
          <w14:textFill>
            <w14:solidFill>
              <w14:schemeClr w14:val="tx1"/>
            </w14:solidFill>
          </w14:textFill>
        </w:rPr>
      </w:pPr>
      <w:r>
        <w:fldChar w:fldCharType="begin"/>
      </w:r>
      <w:r>
        <w:instrText xml:space="preserve"> HYPERLINK \l "_Toc27747" </w:instrText>
      </w:r>
      <w:r>
        <w:fldChar w:fldCharType="separate"/>
      </w:r>
      <w:r>
        <w:rPr>
          <w:rFonts w:hint="eastAsia" w:ascii="黑体" w:hAnsi="黑体"/>
          <w:color w:val="000000" w:themeColor="text1"/>
          <w:szCs w:val="32"/>
          <w14:textFill>
            <w14:solidFill>
              <w14:schemeClr w14:val="tx1"/>
            </w14:solidFill>
          </w14:textFill>
        </w:rPr>
        <w:t>十、政府采购信用融资</w:t>
      </w:r>
      <w:r>
        <w:rPr>
          <w:rFonts w:hint="eastAsia" w:ascii="黑体" w:hAnsi="黑体"/>
          <w:color w:val="000000" w:themeColor="text1"/>
          <w:szCs w:val="32"/>
          <w14:textFill>
            <w14:solidFill>
              <w14:schemeClr w14:val="tx1"/>
            </w14:solidFill>
          </w14:textFill>
        </w:rPr>
        <w:tab/>
      </w:r>
      <w:r>
        <w:rPr>
          <w:rFonts w:hint="eastAsia" w:ascii="黑体" w:hAnsi="黑体"/>
          <w:color w:val="000000" w:themeColor="text1"/>
          <w:szCs w:val="32"/>
          <w14:textFill>
            <w14:solidFill>
              <w14:schemeClr w14:val="tx1"/>
            </w14:solidFill>
          </w14:textFill>
        </w:rPr>
        <w:fldChar w:fldCharType="end"/>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_Toc105062284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18</w:t>
      </w:r>
      <w:r>
        <w:rPr>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fldChar w:fldCharType="end"/>
      </w:r>
    </w:p>
    <w:p>
      <w:pPr>
        <w:pStyle w:val="45"/>
        <w:tabs>
          <w:tab w:val="right" w:leader="dot" w:pos="9412"/>
        </w:tabs>
        <w:ind w:left="560"/>
        <w:rPr>
          <w:rFonts w:ascii="黑体" w:hAnsi="黑体"/>
          <w:color w:val="000000" w:themeColor="text1"/>
          <w:szCs w:val="32"/>
          <w14:textFill>
            <w14:solidFill>
              <w14:schemeClr w14:val="tx1"/>
            </w14:solidFill>
          </w14:textFill>
        </w:rPr>
      </w:pPr>
      <w:r>
        <w:fldChar w:fldCharType="begin"/>
      </w:r>
      <w:r>
        <w:instrText xml:space="preserve"> HYPERLINK \l "_Toc26791" </w:instrText>
      </w:r>
      <w:r>
        <w:fldChar w:fldCharType="separate"/>
      </w:r>
      <w:r>
        <w:rPr>
          <w:rFonts w:hint="eastAsia" w:ascii="黑体" w:hAnsi="黑体"/>
          <w:color w:val="000000" w:themeColor="text1"/>
          <w:szCs w:val="32"/>
          <w14:textFill>
            <w14:solidFill>
              <w14:schemeClr w14:val="tx1"/>
            </w14:solidFill>
          </w14:textFill>
        </w:rPr>
        <w:t>第三篇  谈判项目技术需求</w:t>
      </w:r>
      <w:r>
        <w:rPr>
          <w:rFonts w:hint="eastAsia" w:ascii="黑体" w:hAnsi="黑体"/>
          <w:color w:val="000000" w:themeColor="text1"/>
          <w:szCs w:val="32"/>
          <w14:textFill>
            <w14:solidFill>
              <w14:schemeClr w14:val="tx1"/>
            </w14:solidFill>
          </w14:textFill>
        </w:rPr>
        <w:tab/>
      </w:r>
      <w:r>
        <w:rPr>
          <w:rFonts w:hint="eastAsia" w:ascii="黑体" w:hAnsi="黑体"/>
          <w:color w:val="000000" w:themeColor="text1"/>
          <w:szCs w:val="32"/>
          <w14:textFill>
            <w14:solidFill>
              <w14:schemeClr w14:val="tx1"/>
            </w14:solidFill>
          </w14:textFill>
        </w:rPr>
        <w:fldChar w:fldCharType="end"/>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_Toc105062284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19</w:t>
      </w:r>
      <w:r>
        <w:rPr>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fldChar w:fldCharType="end"/>
      </w:r>
    </w:p>
    <w:p>
      <w:pPr>
        <w:pStyle w:val="30"/>
        <w:tabs>
          <w:tab w:val="right" w:leader="dot" w:pos="9412"/>
        </w:tabs>
        <w:ind w:left="1120"/>
        <w:rPr>
          <w:rFonts w:ascii="黑体" w:hAnsi="黑体"/>
          <w:color w:val="000000" w:themeColor="text1"/>
          <w:szCs w:val="32"/>
          <w14:textFill>
            <w14:solidFill>
              <w14:schemeClr w14:val="tx1"/>
            </w14:solidFill>
          </w14:textFill>
        </w:rPr>
      </w:pPr>
      <w:r>
        <w:fldChar w:fldCharType="begin"/>
      </w:r>
      <w:r>
        <w:instrText xml:space="preserve"> HYPERLINK \l "_Toc17009" </w:instrText>
      </w:r>
      <w:r>
        <w:fldChar w:fldCharType="separate"/>
      </w:r>
      <w:r>
        <w:rPr>
          <w:rFonts w:hint="eastAsia" w:ascii="黑体" w:hAnsi="黑体"/>
          <w:color w:val="000000" w:themeColor="text1"/>
          <w:szCs w:val="32"/>
          <w14:textFill>
            <w14:solidFill>
              <w14:schemeClr w14:val="tx1"/>
            </w14:solidFill>
          </w14:textFill>
        </w:rPr>
        <w:t>一、项目一览表</w:t>
      </w:r>
      <w:r>
        <w:rPr>
          <w:rFonts w:hint="eastAsia" w:ascii="黑体" w:hAnsi="黑体"/>
          <w:color w:val="000000" w:themeColor="text1"/>
          <w:szCs w:val="32"/>
          <w14:textFill>
            <w14:solidFill>
              <w14:schemeClr w14:val="tx1"/>
            </w14:solidFill>
          </w14:textFill>
        </w:rPr>
        <w:tab/>
      </w:r>
      <w:r>
        <w:rPr>
          <w:rFonts w:hint="eastAsia" w:ascii="黑体" w:hAnsi="黑体"/>
          <w:color w:val="000000" w:themeColor="text1"/>
          <w:szCs w:val="32"/>
          <w14:textFill>
            <w14:solidFill>
              <w14:schemeClr w14:val="tx1"/>
            </w14:solidFill>
          </w14:textFill>
        </w:rPr>
        <w:fldChar w:fldCharType="end"/>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_Toc105062284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19</w:t>
      </w:r>
      <w:r>
        <w:rPr>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fldChar w:fldCharType="end"/>
      </w:r>
    </w:p>
    <w:p>
      <w:pPr>
        <w:pStyle w:val="30"/>
        <w:tabs>
          <w:tab w:val="right" w:leader="dot" w:pos="9412"/>
        </w:tabs>
        <w:ind w:left="1120"/>
        <w:rPr>
          <w:rFonts w:ascii="黑体" w:hAnsi="黑体"/>
          <w:color w:val="000000" w:themeColor="text1"/>
          <w:szCs w:val="32"/>
          <w14:textFill>
            <w14:solidFill>
              <w14:schemeClr w14:val="tx1"/>
            </w14:solidFill>
          </w14:textFill>
        </w:rPr>
      </w:pPr>
      <w:r>
        <w:fldChar w:fldCharType="begin"/>
      </w:r>
      <w:r>
        <w:instrText xml:space="preserve"> HYPERLINK \l "_Toc22591" </w:instrText>
      </w:r>
      <w:r>
        <w:fldChar w:fldCharType="separate"/>
      </w:r>
      <w:r>
        <w:rPr>
          <w:rFonts w:hint="eastAsia" w:ascii="黑体" w:hAnsi="黑体"/>
          <w:color w:val="000000" w:themeColor="text1"/>
          <w:szCs w:val="32"/>
          <w14:textFill>
            <w14:solidFill>
              <w14:schemeClr w14:val="tx1"/>
            </w14:solidFill>
          </w14:textFill>
        </w:rPr>
        <w:t>二、 招标项目技术需求</w:t>
      </w:r>
      <w:r>
        <w:rPr>
          <w:rFonts w:hint="eastAsia" w:ascii="黑体" w:hAnsi="黑体"/>
          <w:color w:val="000000" w:themeColor="text1"/>
          <w:szCs w:val="32"/>
          <w14:textFill>
            <w14:solidFill>
              <w14:schemeClr w14:val="tx1"/>
            </w14:solidFill>
          </w14:textFill>
        </w:rPr>
        <w:tab/>
      </w:r>
      <w:r>
        <w:rPr>
          <w:rFonts w:hint="eastAsia" w:ascii="黑体" w:hAnsi="黑体"/>
          <w:color w:val="000000" w:themeColor="text1"/>
          <w:szCs w:val="32"/>
          <w14:textFill>
            <w14:solidFill>
              <w14:schemeClr w14:val="tx1"/>
            </w14:solidFill>
          </w14:textFill>
        </w:rPr>
        <w:fldChar w:fldCharType="end"/>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_Toc105062284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19</w:t>
      </w:r>
      <w:r>
        <w:rPr>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fldChar w:fldCharType="end"/>
      </w:r>
    </w:p>
    <w:p>
      <w:pPr>
        <w:pStyle w:val="45"/>
        <w:tabs>
          <w:tab w:val="right" w:leader="dot" w:pos="9412"/>
        </w:tabs>
        <w:ind w:left="560"/>
        <w:rPr>
          <w:rFonts w:ascii="黑体" w:hAnsi="黑体"/>
          <w:color w:val="000000" w:themeColor="text1"/>
          <w:szCs w:val="32"/>
          <w14:textFill>
            <w14:solidFill>
              <w14:schemeClr w14:val="tx1"/>
            </w14:solidFill>
          </w14:textFill>
        </w:rPr>
      </w:pPr>
      <w:r>
        <w:fldChar w:fldCharType="begin"/>
      </w:r>
      <w:r>
        <w:instrText xml:space="preserve"> HYPERLINK \l "_Toc16517" </w:instrText>
      </w:r>
      <w:r>
        <w:fldChar w:fldCharType="separate"/>
      </w:r>
      <w:r>
        <w:rPr>
          <w:rFonts w:hint="eastAsia" w:ascii="黑体" w:hAnsi="黑体"/>
          <w:color w:val="000000" w:themeColor="text1"/>
          <w:szCs w:val="32"/>
          <w14:textFill>
            <w14:solidFill>
              <w14:schemeClr w14:val="tx1"/>
            </w14:solidFill>
          </w14:textFill>
        </w:rPr>
        <w:t>第四篇  谈判项目服务需求</w:t>
      </w:r>
      <w:r>
        <w:rPr>
          <w:rFonts w:hint="eastAsia" w:ascii="黑体" w:hAnsi="黑体"/>
          <w:color w:val="000000" w:themeColor="text1"/>
          <w:szCs w:val="32"/>
          <w14:textFill>
            <w14:solidFill>
              <w14:schemeClr w14:val="tx1"/>
            </w14:solidFill>
          </w14:textFill>
        </w:rPr>
        <w:tab/>
      </w:r>
      <w:r>
        <w:rPr>
          <w:rFonts w:hint="eastAsia" w:ascii="黑体" w:hAnsi="黑体"/>
          <w:color w:val="000000" w:themeColor="text1"/>
          <w:szCs w:val="32"/>
          <w14:textFill>
            <w14:solidFill>
              <w14:schemeClr w14:val="tx1"/>
            </w14:solidFill>
          </w14:textFill>
        </w:rPr>
        <w:fldChar w:fldCharType="end"/>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_Toc105062284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22</w:t>
      </w:r>
      <w:r>
        <w:rPr>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fldChar w:fldCharType="end"/>
      </w:r>
    </w:p>
    <w:p>
      <w:pPr>
        <w:pStyle w:val="30"/>
        <w:tabs>
          <w:tab w:val="right" w:leader="dot" w:pos="9412"/>
        </w:tabs>
        <w:ind w:left="1120"/>
        <w:rPr>
          <w:rFonts w:ascii="黑体" w:hAnsi="黑体"/>
          <w:color w:val="000000" w:themeColor="text1"/>
          <w:szCs w:val="32"/>
          <w14:textFill>
            <w14:solidFill>
              <w14:schemeClr w14:val="tx1"/>
            </w14:solidFill>
          </w14:textFill>
        </w:rPr>
      </w:pPr>
      <w:r>
        <w:fldChar w:fldCharType="begin"/>
      </w:r>
      <w:r>
        <w:instrText xml:space="preserve"> HYPERLINK \l "_Toc4374" </w:instrText>
      </w:r>
      <w:r>
        <w:fldChar w:fldCharType="separate"/>
      </w:r>
      <w:r>
        <w:rPr>
          <w:rFonts w:hint="eastAsia" w:ascii="黑体" w:hAnsi="黑体"/>
          <w:color w:val="000000" w:themeColor="text1"/>
          <w:szCs w:val="32"/>
          <w14:textFill>
            <w14:solidFill>
              <w14:schemeClr w14:val="tx1"/>
            </w14:solidFill>
          </w14:textFill>
        </w:rPr>
        <w:t>一、交货时间、地点及验收方式</w:t>
      </w:r>
      <w:r>
        <w:rPr>
          <w:rFonts w:hint="eastAsia" w:ascii="黑体" w:hAnsi="黑体"/>
          <w:color w:val="000000" w:themeColor="text1"/>
          <w:szCs w:val="32"/>
          <w14:textFill>
            <w14:solidFill>
              <w14:schemeClr w14:val="tx1"/>
            </w14:solidFill>
          </w14:textFill>
        </w:rPr>
        <w:tab/>
      </w:r>
      <w:r>
        <w:rPr>
          <w:rFonts w:hint="eastAsia" w:ascii="黑体" w:hAnsi="黑体"/>
          <w:color w:val="000000" w:themeColor="text1"/>
          <w:szCs w:val="32"/>
          <w14:textFill>
            <w14:solidFill>
              <w14:schemeClr w14:val="tx1"/>
            </w14:solidFill>
          </w14:textFill>
        </w:rPr>
        <w:fldChar w:fldCharType="end"/>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_Toc105062284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22</w:t>
      </w:r>
      <w:r>
        <w:rPr>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fldChar w:fldCharType="end"/>
      </w:r>
    </w:p>
    <w:p>
      <w:pPr>
        <w:pStyle w:val="30"/>
        <w:tabs>
          <w:tab w:val="right" w:leader="dot" w:pos="9412"/>
        </w:tabs>
        <w:ind w:left="1120"/>
        <w:rPr>
          <w:rFonts w:ascii="黑体" w:hAnsi="黑体"/>
          <w:color w:val="000000" w:themeColor="text1"/>
          <w:szCs w:val="32"/>
          <w14:textFill>
            <w14:solidFill>
              <w14:schemeClr w14:val="tx1"/>
            </w14:solidFill>
          </w14:textFill>
        </w:rPr>
      </w:pPr>
      <w:r>
        <w:fldChar w:fldCharType="begin"/>
      </w:r>
      <w:r>
        <w:instrText xml:space="preserve"> HYPERLINK \l "_Toc12266" </w:instrText>
      </w:r>
      <w:r>
        <w:fldChar w:fldCharType="separate"/>
      </w:r>
      <w:r>
        <w:rPr>
          <w:rFonts w:hint="eastAsia" w:ascii="黑体" w:hAnsi="黑体"/>
          <w:color w:val="000000" w:themeColor="text1"/>
          <w:szCs w:val="32"/>
          <w14:textFill>
            <w14:solidFill>
              <w14:schemeClr w14:val="tx1"/>
            </w14:solidFill>
          </w14:textFill>
        </w:rPr>
        <w:t>二、报价要求</w:t>
      </w:r>
      <w:r>
        <w:rPr>
          <w:rFonts w:hint="eastAsia" w:ascii="黑体" w:hAnsi="黑体"/>
          <w:color w:val="000000" w:themeColor="text1"/>
          <w:szCs w:val="32"/>
          <w14:textFill>
            <w14:solidFill>
              <w14:schemeClr w14:val="tx1"/>
            </w14:solidFill>
          </w14:textFill>
        </w:rPr>
        <w:tab/>
      </w:r>
      <w:r>
        <w:rPr>
          <w:rFonts w:hint="eastAsia" w:ascii="黑体" w:hAnsi="黑体"/>
          <w:color w:val="000000" w:themeColor="text1"/>
          <w:szCs w:val="32"/>
          <w14:textFill>
            <w14:solidFill>
              <w14:schemeClr w14:val="tx1"/>
            </w14:solidFill>
          </w14:textFill>
        </w:rPr>
        <w:fldChar w:fldCharType="end"/>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_Toc105062284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22</w:t>
      </w:r>
      <w:r>
        <w:rPr>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fldChar w:fldCharType="end"/>
      </w:r>
    </w:p>
    <w:p>
      <w:pPr>
        <w:pStyle w:val="30"/>
        <w:tabs>
          <w:tab w:val="right" w:leader="dot" w:pos="9412"/>
        </w:tabs>
        <w:ind w:left="1120"/>
        <w:rPr>
          <w:rFonts w:ascii="黑体" w:hAnsi="黑体"/>
          <w:color w:val="000000" w:themeColor="text1"/>
          <w:szCs w:val="32"/>
          <w14:textFill>
            <w14:solidFill>
              <w14:schemeClr w14:val="tx1"/>
            </w14:solidFill>
          </w14:textFill>
        </w:rPr>
      </w:pPr>
      <w:r>
        <w:fldChar w:fldCharType="begin"/>
      </w:r>
      <w:r>
        <w:instrText xml:space="preserve"> HYPERLINK \l "_Toc23500" </w:instrText>
      </w:r>
      <w:r>
        <w:fldChar w:fldCharType="separate"/>
      </w:r>
      <w:r>
        <w:rPr>
          <w:rFonts w:hint="eastAsia" w:ascii="黑体" w:hAnsi="黑体"/>
          <w:color w:val="000000" w:themeColor="text1"/>
          <w:szCs w:val="32"/>
          <w14:textFill>
            <w14:solidFill>
              <w14:schemeClr w14:val="tx1"/>
            </w14:solidFill>
          </w14:textFill>
        </w:rPr>
        <w:t>三、质量保证及售后服务</w:t>
      </w:r>
      <w:r>
        <w:rPr>
          <w:rFonts w:hint="eastAsia" w:ascii="黑体" w:hAnsi="黑体"/>
          <w:color w:val="000000" w:themeColor="text1"/>
          <w:szCs w:val="32"/>
          <w14:textFill>
            <w14:solidFill>
              <w14:schemeClr w14:val="tx1"/>
            </w14:solidFill>
          </w14:textFill>
        </w:rPr>
        <w:tab/>
      </w:r>
      <w:r>
        <w:rPr>
          <w:rFonts w:hint="eastAsia" w:ascii="黑体" w:hAnsi="黑体"/>
          <w:color w:val="000000" w:themeColor="text1"/>
          <w:szCs w:val="32"/>
          <w14:textFill>
            <w14:solidFill>
              <w14:schemeClr w14:val="tx1"/>
            </w14:solidFill>
          </w14:textFill>
        </w:rPr>
        <w:fldChar w:fldCharType="end"/>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_Toc105062284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23</w:t>
      </w:r>
      <w:r>
        <w:rPr>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fldChar w:fldCharType="end"/>
      </w:r>
    </w:p>
    <w:p>
      <w:pPr>
        <w:pStyle w:val="30"/>
        <w:tabs>
          <w:tab w:val="right" w:leader="dot" w:pos="9412"/>
        </w:tabs>
        <w:ind w:left="1120"/>
        <w:rPr>
          <w:rFonts w:ascii="黑体" w:hAnsi="黑体"/>
          <w:color w:val="000000" w:themeColor="text1"/>
          <w:szCs w:val="32"/>
          <w14:textFill>
            <w14:solidFill>
              <w14:schemeClr w14:val="tx1"/>
            </w14:solidFill>
          </w14:textFill>
        </w:rPr>
      </w:pPr>
      <w:r>
        <w:fldChar w:fldCharType="begin"/>
      </w:r>
      <w:r>
        <w:instrText xml:space="preserve"> HYPERLINK \l "_Toc20792" </w:instrText>
      </w:r>
      <w:r>
        <w:fldChar w:fldCharType="separate"/>
      </w:r>
      <w:r>
        <w:rPr>
          <w:rFonts w:hint="eastAsia" w:ascii="黑体" w:hAnsi="黑体"/>
          <w:color w:val="000000" w:themeColor="text1"/>
          <w:szCs w:val="32"/>
          <w14:textFill>
            <w14:solidFill>
              <w14:schemeClr w14:val="tx1"/>
            </w14:solidFill>
          </w14:textFill>
        </w:rPr>
        <w:t>四、付款方式</w:t>
      </w:r>
      <w:r>
        <w:rPr>
          <w:rFonts w:hint="eastAsia" w:ascii="黑体" w:hAnsi="黑体"/>
          <w:color w:val="000000" w:themeColor="text1"/>
          <w:szCs w:val="32"/>
          <w14:textFill>
            <w14:solidFill>
              <w14:schemeClr w14:val="tx1"/>
            </w14:solidFill>
          </w14:textFill>
        </w:rPr>
        <w:tab/>
      </w:r>
      <w:r>
        <w:rPr>
          <w:rFonts w:hint="eastAsia" w:ascii="黑体" w:hAnsi="黑体"/>
          <w:color w:val="000000" w:themeColor="text1"/>
          <w:szCs w:val="32"/>
          <w14:textFill>
            <w14:solidFill>
              <w14:schemeClr w14:val="tx1"/>
            </w14:solidFill>
          </w14:textFill>
        </w:rPr>
        <w:fldChar w:fldCharType="end"/>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_Toc105062284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24</w:t>
      </w:r>
      <w:r>
        <w:rPr>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fldChar w:fldCharType="end"/>
      </w:r>
    </w:p>
    <w:p>
      <w:pPr>
        <w:pStyle w:val="30"/>
        <w:tabs>
          <w:tab w:val="right" w:leader="dot" w:pos="9412"/>
        </w:tabs>
        <w:ind w:left="1120"/>
        <w:rPr>
          <w:color w:val="000000" w:themeColor="text1"/>
          <w:sz w:val="24"/>
          <w:szCs w:val="24"/>
          <w14:textFill>
            <w14:solidFill>
              <w14:schemeClr w14:val="tx1"/>
            </w14:solidFill>
          </w14:textFill>
        </w:rPr>
      </w:pPr>
      <w:r>
        <w:fldChar w:fldCharType="begin"/>
      </w:r>
      <w:r>
        <w:instrText xml:space="preserve"> HYPERLINK \l "_Toc3882" </w:instrText>
      </w:r>
      <w:r>
        <w:fldChar w:fldCharType="separate"/>
      </w:r>
      <w:r>
        <w:rPr>
          <w:rFonts w:hint="eastAsia" w:ascii="黑体" w:hAnsi="黑体"/>
          <w:color w:val="000000" w:themeColor="text1"/>
          <w:szCs w:val="32"/>
          <w14:textFill>
            <w14:solidFill>
              <w14:schemeClr w14:val="tx1"/>
            </w14:solidFill>
          </w14:textFill>
        </w:rPr>
        <w:t>五、知识产权</w:t>
      </w:r>
      <w:r>
        <w:rPr>
          <w:rFonts w:hint="eastAsia" w:ascii="黑体" w:hAnsi="黑体"/>
          <w:color w:val="000000" w:themeColor="text1"/>
          <w:szCs w:val="32"/>
          <w14:textFill>
            <w14:solidFill>
              <w14:schemeClr w14:val="tx1"/>
            </w14:solidFill>
          </w14:textFill>
        </w:rPr>
        <w:tab/>
      </w:r>
      <w:r>
        <w:rPr>
          <w:rFonts w:hint="eastAsia" w:ascii="黑体" w:hAnsi="黑体"/>
          <w:color w:val="000000" w:themeColor="text1"/>
          <w:szCs w:val="32"/>
          <w14:textFill>
            <w14:solidFill>
              <w14:schemeClr w14:val="tx1"/>
            </w14:solidFill>
          </w14:textFill>
        </w:rPr>
        <w:fldChar w:fldCharType="end"/>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_Toc105062284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24</w:t>
      </w:r>
      <w:r>
        <w:rPr>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fldChar w:fldCharType="end"/>
      </w:r>
    </w:p>
    <w:p>
      <w:pPr>
        <w:pStyle w:val="30"/>
        <w:tabs>
          <w:tab w:val="right" w:leader="dot" w:pos="9412"/>
        </w:tabs>
        <w:ind w:left="1120"/>
        <w:rPr>
          <w:color w:val="000000" w:themeColor="text1"/>
          <w:sz w:val="24"/>
          <w:szCs w:val="24"/>
          <w14:textFill>
            <w14:solidFill>
              <w14:schemeClr w14:val="tx1"/>
            </w14:solidFill>
          </w14:textFill>
        </w:rPr>
      </w:pPr>
      <w:r>
        <w:fldChar w:fldCharType="begin"/>
      </w:r>
      <w:r>
        <w:instrText xml:space="preserve"> HYPERLINK \l "_Toc3882" </w:instrText>
      </w:r>
      <w:r>
        <w:fldChar w:fldCharType="separate"/>
      </w:r>
      <w:r>
        <w:rPr>
          <w:rFonts w:hint="eastAsia" w:ascii="黑体" w:hAnsi="黑体"/>
          <w:color w:val="000000" w:themeColor="text1"/>
          <w:szCs w:val="32"/>
          <w14:textFill>
            <w14:solidFill>
              <w14:schemeClr w14:val="tx1"/>
            </w14:solidFill>
          </w14:textFill>
        </w:rPr>
        <w:t>六、培训</w:t>
      </w:r>
      <w:r>
        <w:rPr>
          <w:rFonts w:hint="eastAsia" w:ascii="黑体" w:hAnsi="黑体"/>
          <w:color w:val="000000" w:themeColor="text1"/>
          <w:szCs w:val="32"/>
          <w14:textFill>
            <w14:solidFill>
              <w14:schemeClr w14:val="tx1"/>
            </w14:solidFill>
          </w14:textFill>
        </w:rPr>
        <w:tab/>
      </w:r>
      <w:r>
        <w:rPr>
          <w:rFonts w:hint="eastAsia" w:ascii="黑体" w:hAnsi="黑体"/>
          <w:color w:val="000000" w:themeColor="text1"/>
          <w:szCs w:val="32"/>
          <w14:textFill>
            <w14:solidFill>
              <w14:schemeClr w14:val="tx1"/>
            </w14:solidFill>
          </w14:textFill>
        </w:rPr>
        <w:fldChar w:fldCharType="end"/>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_Toc105062284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24</w:t>
      </w:r>
      <w:r>
        <w:rPr>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fldChar w:fldCharType="end"/>
      </w:r>
    </w:p>
    <w:p>
      <w:pPr>
        <w:pStyle w:val="30"/>
        <w:tabs>
          <w:tab w:val="right" w:leader="dot" w:pos="9412"/>
        </w:tabs>
        <w:ind w:left="1120"/>
        <w:rPr>
          <w:rFonts w:ascii="黑体" w:hAnsi="黑体"/>
          <w:color w:val="000000" w:themeColor="text1"/>
          <w:szCs w:val="32"/>
          <w14:textFill>
            <w14:solidFill>
              <w14:schemeClr w14:val="tx1"/>
            </w14:solidFill>
          </w14:textFill>
        </w:rPr>
      </w:pPr>
      <w:r>
        <w:fldChar w:fldCharType="begin"/>
      </w:r>
      <w:r>
        <w:instrText xml:space="preserve"> HYPERLINK \l "_Toc7781" </w:instrText>
      </w:r>
      <w:r>
        <w:fldChar w:fldCharType="separate"/>
      </w:r>
      <w:r>
        <w:rPr>
          <w:rFonts w:hint="eastAsia" w:ascii="黑体" w:hAnsi="黑体"/>
          <w:color w:val="000000" w:themeColor="text1"/>
          <w:szCs w:val="32"/>
          <w14:textFill>
            <w14:solidFill>
              <w14:schemeClr w14:val="tx1"/>
            </w14:solidFill>
          </w14:textFill>
        </w:rPr>
        <w:t>七、其他</w:t>
      </w:r>
      <w:r>
        <w:rPr>
          <w:rFonts w:hint="eastAsia" w:ascii="黑体" w:hAnsi="黑体"/>
          <w:color w:val="000000" w:themeColor="text1"/>
          <w:szCs w:val="32"/>
          <w14:textFill>
            <w14:solidFill>
              <w14:schemeClr w14:val="tx1"/>
            </w14:solidFill>
          </w14:textFill>
        </w:rPr>
        <w:tab/>
      </w:r>
      <w:r>
        <w:rPr>
          <w:rFonts w:hint="eastAsia" w:ascii="黑体" w:hAnsi="黑体"/>
          <w:color w:val="000000" w:themeColor="text1"/>
          <w:szCs w:val="32"/>
          <w14:textFill>
            <w14:solidFill>
              <w14:schemeClr w14:val="tx1"/>
            </w14:solidFill>
          </w14:textFill>
        </w:rPr>
        <w:fldChar w:fldCharType="end"/>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_Toc105062284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25</w:t>
      </w:r>
      <w:r>
        <w:rPr>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fldChar w:fldCharType="end"/>
      </w:r>
    </w:p>
    <w:p>
      <w:pPr>
        <w:pStyle w:val="45"/>
        <w:tabs>
          <w:tab w:val="right" w:leader="dot" w:pos="9412"/>
        </w:tabs>
        <w:ind w:left="560"/>
        <w:rPr>
          <w:rFonts w:ascii="黑体" w:hAnsi="黑体"/>
          <w:color w:val="000000" w:themeColor="text1"/>
          <w:szCs w:val="32"/>
          <w14:textFill>
            <w14:solidFill>
              <w14:schemeClr w14:val="tx1"/>
            </w14:solidFill>
          </w14:textFill>
        </w:rPr>
      </w:pPr>
      <w:r>
        <w:fldChar w:fldCharType="begin"/>
      </w:r>
      <w:r>
        <w:instrText xml:space="preserve"> HYPERLINK \l "_Toc27249" </w:instrText>
      </w:r>
      <w:r>
        <w:fldChar w:fldCharType="separate"/>
      </w:r>
      <w:r>
        <w:rPr>
          <w:rFonts w:hint="eastAsia" w:ascii="黑体" w:hAnsi="黑体"/>
          <w:color w:val="000000" w:themeColor="text1"/>
          <w:szCs w:val="32"/>
          <w14:textFill>
            <w14:solidFill>
              <w14:schemeClr w14:val="tx1"/>
            </w14:solidFill>
          </w14:textFill>
        </w:rPr>
        <w:t>第五篇  合同草案条款</w:t>
      </w:r>
      <w:r>
        <w:rPr>
          <w:rFonts w:hint="eastAsia" w:ascii="黑体" w:hAnsi="黑体"/>
          <w:color w:val="000000" w:themeColor="text1"/>
          <w:szCs w:val="32"/>
          <w14:textFill>
            <w14:solidFill>
              <w14:schemeClr w14:val="tx1"/>
            </w14:solidFill>
          </w14:textFill>
        </w:rPr>
        <w:tab/>
      </w:r>
      <w:r>
        <w:rPr>
          <w:rFonts w:hint="eastAsia" w:ascii="黑体" w:hAnsi="黑体"/>
          <w:color w:val="000000" w:themeColor="text1"/>
          <w:szCs w:val="32"/>
          <w14:textFill>
            <w14:solidFill>
              <w14:schemeClr w14:val="tx1"/>
            </w14:solidFill>
          </w14:textFill>
        </w:rPr>
        <w:fldChar w:fldCharType="end"/>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_Toc105062284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26</w:t>
      </w:r>
      <w:r>
        <w:rPr>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fldChar w:fldCharType="end"/>
      </w:r>
    </w:p>
    <w:p>
      <w:pPr>
        <w:pStyle w:val="45"/>
        <w:tabs>
          <w:tab w:val="right" w:leader="dot" w:pos="9412"/>
        </w:tabs>
        <w:ind w:left="560"/>
        <w:rPr>
          <w:rFonts w:ascii="黑体" w:hAnsi="黑体"/>
          <w:color w:val="000000" w:themeColor="text1"/>
          <w:szCs w:val="32"/>
          <w14:textFill>
            <w14:solidFill>
              <w14:schemeClr w14:val="tx1"/>
            </w14:solidFill>
          </w14:textFill>
        </w:rPr>
      </w:pPr>
      <w:r>
        <w:fldChar w:fldCharType="begin"/>
      </w:r>
      <w:r>
        <w:instrText xml:space="preserve"> HYPERLINK \l "_Toc23105" </w:instrText>
      </w:r>
      <w:r>
        <w:fldChar w:fldCharType="separate"/>
      </w:r>
      <w:r>
        <w:rPr>
          <w:rFonts w:hint="eastAsia" w:ascii="黑体" w:hAnsi="黑体"/>
          <w:color w:val="000000" w:themeColor="text1"/>
          <w:szCs w:val="32"/>
          <w14:textFill>
            <w14:solidFill>
              <w14:schemeClr w14:val="tx1"/>
            </w14:solidFill>
          </w14:textFill>
        </w:rPr>
        <w:t>第六篇  响应文件格式要求</w:t>
      </w:r>
      <w:r>
        <w:rPr>
          <w:rFonts w:hint="eastAsia" w:ascii="黑体" w:hAnsi="黑体"/>
          <w:color w:val="000000" w:themeColor="text1"/>
          <w:szCs w:val="32"/>
          <w14:textFill>
            <w14:solidFill>
              <w14:schemeClr w14:val="tx1"/>
            </w14:solidFill>
          </w14:textFill>
        </w:rPr>
        <w:tab/>
      </w:r>
      <w:r>
        <w:rPr>
          <w:rFonts w:hint="eastAsia" w:ascii="黑体" w:hAnsi="黑体"/>
          <w:color w:val="000000" w:themeColor="text1"/>
          <w:szCs w:val="32"/>
          <w14:textFill>
            <w14:solidFill>
              <w14:schemeClr w14:val="tx1"/>
            </w14:solidFill>
          </w14:textFill>
        </w:rPr>
        <w:fldChar w:fldCharType="end"/>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_Toc105062284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36</w:t>
      </w:r>
      <w:r>
        <w:rPr>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fldChar w:fldCharType="end"/>
      </w:r>
    </w:p>
    <w:p>
      <w:pPr>
        <w:pStyle w:val="30"/>
        <w:tabs>
          <w:tab w:val="right" w:leader="dot" w:pos="9412"/>
        </w:tabs>
        <w:ind w:left="1120"/>
        <w:rPr>
          <w:rFonts w:ascii="黑体" w:hAnsi="黑体"/>
          <w:color w:val="000000" w:themeColor="text1"/>
          <w:szCs w:val="32"/>
          <w14:textFill>
            <w14:solidFill>
              <w14:schemeClr w14:val="tx1"/>
            </w14:solidFill>
          </w14:textFill>
        </w:rPr>
      </w:pPr>
      <w:r>
        <w:fldChar w:fldCharType="begin"/>
      </w:r>
      <w:r>
        <w:instrText xml:space="preserve"> HYPERLINK \l "_Toc2918" </w:instrText>
      </w:r>
      <w:r>
        <w:fldChar w:fldCharType="separate"/>
      </w:r>
      <w:r>
        <w:rPr>
          <w:rFonts w:hint="eastAsia" w:ascii="黑体" w:hAnsi="黑体"/>
          <w:color w:val="000000" w:themeColor="text1"/>
          <w:szCs w:val="32"/>
          <w14:textFill>
            <w14:solidFill>
              <w14:schemeClr w14:val="tx1"/>
            </w14:solidFill>
          </w14:textFill>
        </w:rPr>
        <w:t>一、经济部分</w:t>
      </w:r>
      <w:r>
        <w:rPr>
          <w:rFonts w:hint="eastAsia" w:ascii="黑体" w:hAnsi="黑体"/>
          <w:color w:val="000000" w:themeColor="text1"/>
          <w:szCs w:val="32"/>
          <w14:textFill>
            <w14:solidFill>
              <w14:schemeClr w14:val="tx1"/>
            </w14:solidFill>
          </w14:textFill>
        </w:rPr>
        <w:tab/>
      </w:r>
      <w:r>
        <w:rPr>
          <w:rFonts w:hint="eastAsia" w:ascii="黑体" w:hAnsi="黑体"/>
          <w:color w:val="000000" w:themeColor="text1"/>
          <w:szCs w:val="32"/>
          <w14:textFill>
            <w14:solidFill>
              <w14:schemeClr w14:val="tx1"/>
            </w14:solidFill>
          </w14:textFill>
        </w:rPr>
        <w:fldChar w:fldCharType="end"/>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_Toc105062284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36</w:t>
      </w:r>
      <w:r>
        <w:rPr>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fldChar w:fldCharType="end"/>
      </w:r>
    </w:p>
    <w:p>
      <w:pPr>
        <w:pStyle w:val="30"/>
        <w:tabs>
          <w:tab w:val="right" w:leader="dot" w:pos="9412"/>
        </w:tabs>
        <w:ind w:left="1120"/>
        <w:rPr>
          <w:color w:val="000000" w:themeColor="text1"/>
          <w14:textFill>
            <w14:solidFill>
              <w14:schemeClr w14:val="tx1"/>
            </w14:solidFill>
          </w14:textFill>
        </w:rPr>
      </w:pPr>
      <w:r>
        <w:fldChar w:fldCharType="begin"/>
      </w:r>
      <w:r>
        <w:instrText xml:space="preserve"> HYPERLINK \l "_Toc16622" </w:instrText>
      </w:r>
      <w:r>
        <w:fldChar w:fldCharType="separate"/>
      </w:r>
      <w:r>
        <w:rPr>
          <w:rFonts w:hint="eastAsia" w:ascii="黑体" w:hAnsi="黑体"/>
          <w:color w:val="000000" w:themeColor="text1"/>
          <w:szCs w:val="32"/>
          <w14:textFill>
            <w14:solidFill>
              <w14:schemeClr w14:val="tx1"/>
            </w14:solidFill>
          </w14:textFill>
        </w:rPr>
        <w:t>二、技术部分</w:t>
      </w:r>
      <w:r>
        <w:rPr>
          <w:rFonts w:hint="eastAsia" w:ascii="黑体" w:hAnsi="黑体"/>
          <w:color w:val="000000" w:themeColor="text1"/>
          <w:szCs w:val="32"/>
          <w14:textFill>
            <w14:solidFill>
              <w14:schemeClr w14:val="tx1"/>
            </w14:solidFill>
          </w14:textFill>
        </w:rPr>
        <w:tab/>
      </w:r>
      <w:r>
        <w:rPr>
          <w:rFonts w:hint="eastAsia" w:ascii="黑体" w:hAnsi="黑体"/>
          <w:color w:val="000000" w:themeColor="text1"/>
          <w:szCs w:val="32"/>
          <w14:textFill>
            <w14:solidFill>
              <w14:schemeClr w14:val="tx1"/>
            </w14:solidFill>
          </w14:textFill>
        </w:rPr>
        <w:fldChar w:fldCharType="end"/>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_Toc105062284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41</w:t>
      </w:r>
      <w:r>
        <w:rPr>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fldChar w:fldCharType="end"/>
      </w:r>
    </w:p>
    <w:p>
      <w:pPr>
        <w:pStyle w:val="30"/>
        <w:tabs>
          <w:tab w:val="right" w:leader="dot" w:pos="9412"/>
        </w:tabs>
        <w:ind w:left="1120"/>
        <w:rPr>
          <w:rFonts w:ascii="黑体" w:hAnsi="黑体"/>
          <w:color w:val="000000" w:themeColor="text1"/>
          <w:szCs w:val="32"/>
          <w14:textFill>
            <w14:solidFill>
              <w14:schemeClr w14:val="tx1"/>
            </w14:solidFill>
          </w14:textFill>
        </w:rPr>
      </w:pPr>
      <w:r>
        <w:fldChar w:fldCharType="begin"/>
      </w:r>
      <w:r>
        <w:instrText xml:space="preserve"> HYPERLINK \l "_Toc9567" </w:instrText>
      </w:r>
      <w:r>
        <w:fldChar w:fldCharType="separate"/>
      </w:r>
      <w:r>
        <w:rPr>
          <w:rFonts w:hint="eastAsia" w:ascii="黑体" w:hAnsi="黑体"/>
          <w:color w:val="000000" w:themeColor="text1"/>
          <w:szCs w:val="32"/>
          <w14:textFill>
            <w14:solidFill>
              <w14:schemeClr w14:val="tx1"/>
            </w14:solidFill>
          </w14:textFill>
        </w:rPr>
        <w:t>三、服务部分</w:t>
      </w:r>
      <w:r>
        <w:rPr>
          <w:rFonts w:hint="eastAsia" w:ascii="黑体" w:hAnsi="黑体"/>
          <w:color w:val="000000" w:themeColor="text1"/>
          <w:szCs w:val="32"/>
          <w14:textFill>
            <w14:solidFill>
              <w14:schemeClr w14:val="tx1"/>
            </w14:solidFill>
          </w14:textFill>
        </w:rPr>
        <w:tab/>
      </w:r>
      <w:r>
        <w:rPr>
          <w:rFonts w:hint="eastAsia" w:ascii="黑体" w:hAnsi="黑体"/>
          <w:color w:val="000000" w:themeColor="text1"/>
          <w:szCs w:val="32"/>
          <w14:textFill>
            <w14:solidFill>
              <w14:schemeClr w14:val="tx1"/>
            </w14:solidFill>
          </w14:textFill>
        </w:rPr>
        <w:fldChar w:fldCharType="end"/>
      </w:r>
      <w:r>
        <w:rPr>
          <w:rFonts w:hint="eastAsia" w:ascii="黑体" w:hAnsi="黑体"/>
          <w:color w:val="000000" w:themeColor="text1"/>
          <w:szCs w:val="32"/>
          <w14:textFill>
            <w14:solidFill>
              <w14:schemeClr w14:val="tx1"/>
            </w14:solidFill>
          </w14:textFill>
        </w:rPr>
        <w:t>..</w:t>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_Toc105062284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42</w:t>
      </w:r>
      <w:r>
        <w:rPr>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fldChar w:fldCharType="end"/>
      </w:r>
    </w:p>
    <w:p>
      <w:pPr>
        <w:pStyle w:val="30"/>
        <w:tabs>
          <w:tab w:val="right" w:leader="dot" w:pos="9412"/>
        </w:tabs>
        <w:ind w:left="1120"/>
        <w:rPr>
          <w:rFonts w:ascii="黑体" w:hAnsi="黑体"/>
          <w:color w:val="000000" w:themeColor="text1"/>
          <w:szCs w:val="32"/>
          <w14:textFill>
            <w14:solidFill>
              <w14:schemeClr w14:val="tx1"/>
            </w14:solidFill>
          </w14:textFill>
        </w:rPr>
      </w:pPr>
      <w:r>
        <w:fldChar w:fldCharType="begin"/>
      </w:r>
      <w:r>
        <w:instrText xml:space="preserve"> HYPERLINK \l "_Toc2332" </w:instrText>
      </w:r>
      <w:r>
        <w:fldChar w:fldCharType="separate"/>
      </w:r>
      <w:r>
        <w:rPr>
          <w:rFonts w:hint="eastAsia" w:ascii="黑体" w:hAnsi="黑体"/>
          <w:color w:val="000000" w:themeColor="text1"/>
          <w:szCs w:val="32"/>
          <w14:textFill>
            <w14:solidFill>
              <w14:schemeClr w14:val="tx1"/>
            </w14:solidFill>
          </w14:textFill>
        </w:rPr>
        <w:t>四、资格条件及其他</w:t>
      </w:r>
      <w:r>
        <w:rPr>
          <w:rFonts w:hint="eastAsia" w:ascii="黑体" w:hAnsi="黑体"/>
          <w:color w:val="000000" w:themeColor="text1"/>
          <w:szCs w:val="32"/>
          <w14:textFill>
            <w14:solidFill>
              <w14:schemeClr w14:val="tx1"/>
            </w14:solidFill>
          </w14:textFill>
        </w:rPr>
        <w:tab/>
      </w:r>
      <w:r>
        <w:rPr>
          <w:rFonts w:hint="eastAsia" w:ascii="黑体" w:hAnsi="黑体"/>
          <w:color w:val="000000" w:themeColor="text1"/>
          <w:szCs w:val="32"/>
          <w14:textFill>
            <w14:solidFill>
              <w14:schemeClr w14:val="tx1"/>
            </w14:solidFill>
          </w14:textFill>
        </w:rPr>
        <w:fldChar w:fldCharType="end"/>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_Toc105062284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43</w:t>
      </w:r>
      <w:r>
        <w:rPr>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fldChar w:fldCharType="end"/>
      </w:r>
    </w:p>
    <w:p>
      <w:pPr>
        <w:pStyle w:val="30"/>
        <w:tabs>
          <w:tab w:val="right" w:leader="dot" w:pos="9412"/>
        </w:tabs>
        <w:ind w:left="1120"/>
        <w:rPr>
          <w:color w:val="000000" w:themeColor="text1"/>
          <w14:textFill>
            <w14:solidFill>
              <w14:schemeClr w14:val="tx1"/>
            </w14:solidFill>
          </w14:textFill>
        </w:rPr>
      </w:pPr>
      <w:r>
        <w:fldChar w:fldCharType="begin"/>
      </w:r>
      <w:r>
        <w:instrText xml:space="preserve"> HYPERLINK \l "_Toc2595" </w:instrText>
      </w:r>
      <w:r>
        <w:fldChar w:fldCharType="separate"/>
      </w:r>
      <w:r>
        <w:rPr>
          <w:rFonts w:hint="eastAsia" w:ascii="黑体" w:hAnsi="黑体"/>
          <w:color w:val="000000" w:themeColor="text1"/>
          <w:szCs w:val="32"/>
          <w14:textFill>
            <w14:solidFill>
              <w14:schemeClr w14:val="tx1"/>
            </w14:solidFill>
          </w14:textFill>
        </w:rPr>
        <w:t>五、其他应提供的资料</w:t>
      </w:r>
      <w:r>
        <w:rPr>
          <w:rFonts w:hint="eastAsia" w:ascii="黑体" w:hAnsi="黑体"/>
          <w:color w:val="000000" w:themeColor="text1"/>
          <w:szCs w:val="32"/>
          <w14:textFill>
            <w14:solidFill>
              <w14:schemeClr w14:val="tx1"/>
            </w14:solidFill>
          </w14:textFill>
        </w:rPr>
        <w:tab/>
      </w:r>
      <w:r>
        <w:rPr>
          <w:rFonts w:hint="eastAsia" w:ascii="黑体" w:hAnsi="黑体"/>
          <w:color w:val="000000" w:themeColor="text1"/>
          <w:szCs w:val="32"/>
          <w14:textFill>
            <w14:solidFill>
              <w14:schemeClr w14:val="tx1"/>
            </w14:solidFill>
          </w14:textFill>
        </w:rPr>
        <w:fldChar w:fldCharType="end"/>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_Toc105062284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48</w:t>
      </w:r>
      <w:r>
        <w:rPr>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fldChar w:fldCharType="end"/>
      </w:r>
    </w:p>
    <w:p>
      <w:pPr>
        <w:pStyle w:val="45"/>
        <w:tabs>
          <w:tab w:val="right" w:leader="dot" w:pos="9402"/>
        </w:tabs>
        <w:spacing w:line="360" w:lineRule="exact"/>
        <w:ind w:left="0" w:leftChars="0"/>
        <w:rPr>
          <w:rFonts w:ascii="方正仿宋_GBK" w:eastAsia="方正仿宋_GBK"/>
          <w:color w:val="000000" w:themeColor="text1"/>
          <w:szCs w:val="28"/>
          <w14:textFill>
            <w14:solidFill>
              <w14:schemeClr w14:val="tx1"/>
            </w14:solidFill>
          </w14:textFill>
        </w:rPr>
        <w:sectPr>
          <w:headerReference r:id="rId9" w:type="first"/>
          <w:footerReference r:id="rId12" w:type="first"/>
          <w:headerReference r:id="rId8" w:type="default"/>
          <w:footerReference r:id="rId10" w:type="default"/>
          <w:footerReference r:id="rId11" w:type="even"/>
          <w:pgSz w:w="11907" w:h="16840"/>
          <w:pgMar w:top="1134" w:right="1191" w:bottom="1134" w:left="1304" w:header="851" w:footer="992" w:gutter="0"/>
          <w:pgNumType w:fmt="numberInDash" w:start="1"/>
          <w:cols w:space="720" w:num="1"/>
          <w:docGrid w:linePitch="380" w:charSpace="-5735"/>
        </w:sectPr>
      </w:pPr>
      <w:r>
        <w:rPr>
          <w:rFonts w:hint="eastAsia" w:ascii="方正仿宋_GBK" w:hAnsi="宋体" w:eastAsia="方正仿宋_GBK"/>
          <w:color w:val="000000" w:themeColor="text1"/>
          <w:szCs w:val="28"/>
          <w14:textFill>
            <w14:solidFill>
              <w14:schemeClr w14:val="tx1"/>
            </w14:solidFill>
          </w14:textFill>
        </w:rPr>
        <w:fldChar w:fldCharType="end"/>
      </w:r>
    </w:p>
    <w:p>
      <w:pPr>
        <w:pStyle w:val="4"/>
        <w:spacing w:before="0" w:after="0" w:line="560" w:lineRule="exact"/>
        <w:jc w:val="center"/>
        <w:rPr>
          <w:rFonts w:ascii="宋体" w:hAnsi="宋体" w:eastAsia="宋体" w:cs="宋体"/>
          <w:bCs/>
          <w:color w:val="000000" w:themeColor="text1"/>
          <w:szCs w:val="32"/>
          <w14:textFill>
            <w14:solidFill>
              <w14:schemeClr w14:val="tx1"/>
            </w14:solidFill>
          </w14:textFill>
        </w:rPr>
      </w:pPr>
      <w:bookmarkStart w:id="0" w:name="_Toc12024"/>
      <w:bookmarkStart w:id="1" w:name="_Toc12789052"/>
      <w:bookmarkStart w:id="2" w:name="_Toc11641050"/>
      <w:r>
        <w:rPr>
          <w:rFonts w:hint="eastAsia" w:ascii="宋体" w:hAnsi="宋体" w:eastAsia="宋体" w:cs="宋体"/>
          <w:bCs/>
          <w:color w:val="000000" w:themeColor="text1"/>
          <w:szCs w:val="32"/>
          <w14:textFill>
            <w14:solidFill>
              <w14:schemeClr w14:val="tx1"/>
            </w14:solidFill>
          </w14:textFill>
        </w:rPr>
        <w:t>第一篇  竞争性谈判邀请书</w:t>
      </w:r>
      <w:bookmarkEnd w:id="0"/>
      <w:bookmarkEnd w:id="1"/>
      <w:bookmarkEnd w:id="2"/>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 xml:space="preserve">重庆医科大学公共卫生学院对 </w:t>
      </w:r>
      <w:r>
        <w:rPr>
          <w:rFonts w:hint="eastAsia" w:ascii="宋体" w:hAnsi="宋体" w:cs="宋体"/>
          <w:szCs w:val="28"/>
        </w:rPr>
        <w:t>“环境与人群健康研究中心采购人体成分分析仪等设备一批”项</w:t>
      </w:r>
      <w:r>
        <w:rPr>
          <w:rFonts w:hint="eastAsia" w:ascii="宋体" w:hAnsi="宋体" w:cs="宋体"/>
          <w:color w:val="000000" w:themeColor="text1"/>
          <w:szCs w:val="28"/>
          <w14:textFill>
            <w14:solidFill>
              <w14:schemeClr w14:val="tx1"/>
            </w14:solidFill>
          </w14:textFill>
        </w:rPr>
        <w:t>目进行竞争性谈判采购。欢迎有资格的供应商前来参加谈判。</w:t>
      </w:r>
    </w:p>
    <w:p>
      <w:pPr>
        <w:pStyle w:val="5"/>
        <w:spacing w:before="0" w:after="0" w:line="360" w:lineRule="auto"/>
        <w:rPr>
          <w:rFonts w:ascii="宋体" w:hAnsi="宋体" w:cs="宋体"/>
          <w:b w:val="0"/>
          <w:color w:val="000000" w:themeColor="text1"/>
          <w:sz w:val="28"/>
          <w:szCs w:val="28"/>
          <w14:textFill>
            <w14:solidFill>
              <w14:schemeClr w14:val="tx1"/>
            </w14:solidFill>
          </w14:textFill>
        </w:rPr>
      </w:pPr>
      <w:bookmarkStart w:id="3" w:name="_Toc317775175"/>
      <w:bookmarkStart w:id="4" w:name="_Toc1490"/>
      <w:bookmarkStart w:id="5" w:name="_Toc313893526"/>
      <w:r>
        <w:rPr>
          <w:rFonts w:hint="eastAsia" w:ascii="宋体" w:hAnsi="宋体" w:cs="宋体"/>
          <w:b w:val="0"/>
          <w:color w:val="000000" w:themeColor="text1"/>
          <w:sz w:val="28"/>
          <w:szCs w:val="28"/>
          <w14:textFill>
            <w14:solidFill>
              <w14:schemeClr w14:val="tx1"/>
            </w14:solidFill>
          </w14:textFill>
        </w:rPr>
        <w:t>一、竞争性谈判内容</w:t>
      </w:r>
      <w:bookmarkEnd w:id="3"/>
      <w:bookmarkEnd w:id="4"/>
      <w:bookmarkEnd w:id="5"/>
    </w:p>
    <w:tbl>
      <w:tblPr>
        <w:tblStyle w:val="57"/>
        <w:tblpPr w:leftFromText="180" w:rightFromText="180" w:vertAnchor="text" w:tblpXSpec="center" w:tblpY="1"/>
        <w:tblOverlap w:val="never"/>
        <w:tblW w:w="9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7"/>
        <w:gridCol w:w="1142"/>
        <w:gridCol w:w="1419"/>
        <w:gridCol w:w="1477"/>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3397" w:type="dxa"/>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bCs/>
                <w:color w:val="000000" w:themeColor="text1"/>
                <w:kern w:val="0"/>
                <w:szCs w:val="28"/>
                <w14:textFill>
                  <w14:solidFill>
                    <w14:schemeClr w14:val="tx1"/>
                  </w14:solidFill>
                </w14:textFill>
              </w:rPr>
            </w:pPr>
            <w:r>
              <w:rPr>
                <w:rFonts w:hint="eastAsia" w:ascii="宋体" w:hAnsi="宋体" w:cs="宋体"/>
                <w:bCs/>
                <w:color w:val="000000" w:themeColor="text1"/>
                <w:kern w:val="0"/>
                <w:szCs w:val="28"/>
                <w14:textFill>
                  <w14:solidFill>
                    <w14:schemeClr w14:val="tx1"/>
                  </w14:solidFill>
                </w14:textFill>
              </w:rPr>
              <w:t>项目名称</w:t>
            </w:r>
          </w:p>
        </w:tc>
        <w:tc>
          <w:tcPr>
            <w:tcW w:w="1142" w:type="dxa"/>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bCs/>
                <w:color w:val="000000" w:themeColor="text1"/>
                <w:kern w:val="0"/>
                <w:szCs w:val="28"/>
                <w14:textFill>
                  <w14:solidFill>
                    <w14:schemeClr w14:val="tx1"/>
                  </w14:solidFill>
                </w14:textFill>
              </w:rPr>
            </w:pPr>
            <w:r>
              <w:rPr>
                <w:rFonts w:hint="eastAsia" w:ascii="宋体" w:hAnsi="宋体" w:cs="宋体"/>
                <w:bCs/>
                <w:color w:val="000000" w:themeColor="text1"/>
                <w:kern w:val="0"/>
                <w:szCs w:val="28"/>
                <w14:textFill>
                  <w14:solidFill>
                    <w14:schemeClr w14:val="tx1"/>
                  </w14:solidFill>
                </w14:textFill>
              </w:rPr>
              <w:t>数量</w:t>
            </w:r>
          </w:p>
        </w:tc>
        <w:tc>
          <w:tcPr>
            <w:tcW w:w="1419" w:type="dxa"/>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bCs/>
                <w:color w:val="000000" w:themeColor="text1"/>
                <w:kern w:val="0"/>
                <w:szCs w:val="28"/>
                <w14:textFill>
                  <w14:solidFill>
                    <w14:schemeClr w14:val="tx1"/>
                  </w14:solidFill>
                </w14:textFill>
              </w:rPr>
            </w:pPr>
            <w:r>
              <w:rPr>
                <w:rFonts w:hint="eastAsia" w:ascii="宋体" w:hAnsi="宋体" w:cs="宋体"/>
                <w:bCs/>
                <w:color w:val="000000" w:themeColor="text1"/>
                <w:kern w:val="0"/>
                <w:szCs w:val="28"/>
                <w14:textFill>
                  <w14:solidFill>
                    <w14:schemeClr w14:val="tx1"/>
                  </w14:solidFill>
                </w14:textFill>
              </w:rPr>
              <w:t>最高限价（万元）</w:t>
            </w:r>
          </w:p>
        </w:tc>
        <w:tc>
          <w:tcPr>
            <w:tcW w:w="1477" w:type="dxa"/>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bCs/>
                <w:color w:val="000000" w:themeColor="text1"/>
                <w:kern w:val="0"/>
                <w:szCs w:val="28"/>
                <w14:textFill>
                  <w14:solidFill>
                    <w14:schemeClr w14:val="tx1"/>
                  </w14:solidFill>
                </w14:textFill>
              </w:rPr>
            </w:pPr>
            <w:r>
              <w:rPr>
                <w:rFonts w:hint="eastAsia" w:ascii="宋体" w:hAnsi="宋体" w:cs="宋体"/>
                <w:bCs/>
                <w:color w:val="000000" w:themeColor="text1"/>
                <w:kern w:val="0"/>
                <w:szCs w:val="28"/>
                <w14:textFill>
                  <w14:solidFill>
                    <w14:schemeClr w14:val="tx1"/>
                  </w14:solidFill>
                </w14:textFill>
              </w:rPr>
              <w:t>保证金</w:t>
            </w:r>
          </w:p>
          <w:p>
            <w:pPr>
              <w:spacing w:line="360" w:lineRule="auto"/>
              <w:jc w:val="center"/>
              <w:rPr>
                <w:rFonts w:ascii="宋体" w:hAnsi="宋体" w:cs="宋体"/>
                <w:bCs/>
                <w:color w:val="000000" w:themeColor="text1"/>
                <w:kern w:val="0"/>
                <w:szCs w:val="28"/>
                <w14:textFill>
                  <w14:solidFill>
                    <w14:schemeClr w14:val="tx1"/>
                  </w14:solidFill>
                </w14:textFill>
              </w:rPr>
            </w:pPr>
            <w:r>
              <w:rPr>
                <w:rFonts w:hint="eastAsia" w:ascii="宋体" w:hAnsi="宋体" w:cs="宋体"/>
                <w:bCs/>
                <w:color w:val="000000" w:themeColor="text1"/>
                <w:kern w:val="0"/>
                <w:szCs w:val="28"/>
                <w14:textFill>
                  <w14:solidFill>
                    <w14:schemeClr w14:val="tx1"/>
                  </w14:solidFill>
                </w14:textFill>
              </w:rPr>
              <w:t>（万元）</w:t>
            </w:r>
          </w:p>
        </w:tc>
        <w:tc>
          <w:tcPr>
            <w:tcW w:w="2092"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bCs/>
                <w:color w:val="000000" w:themeColor="text1"/>
                <w:kern w:val="0"/>
                <w:szCs w:val="28"/>
                <w14:textFill>
                  <w14:solidFill>
                    <w14:schemeClr w14:val="tx1"/>
                  </w14:solidFill>
                </w14:textFill>
              </w:rPr>
            </w:pPr>
            <w:r>
              <w:rPr>
                <w:rFonts w:hint="eastAsia" w:ascii="宋体" w:hAnsi="宋体" w:cs="宋体"/>
                <w:bCs/>
                <w:color w:val="000000" w:themeColor="text1"/>
                <w:kern w:val="0"/>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33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8"/>
                <w14:textFill>
                  <w14:solidFill>
                    <w14:schemeClr w14:val="tx1"/>
                  </w14:solidFill>
                </w14:textFill>
              </w:rPr>
            </w:pPr>
            <w:bookmarkStart w:id="6" w:name="_Hlk344477914"/>
            <w:r>
              <w:rPr>
                <w:rFonts w:hint="eastAsia" w:ascii="宋体" w:hAnsi="宋体" w:cs="宋体"/>
                <w:color w:val="000000" w:themeColor="text1"/>
                <w:szCs w:val="28"/>
                <w:shd w:val="clear" w:color="auto" w:fill="FFFFFF" w:themeFill="background1"/>
                <w14:textFill>
                  <w14:solidFill>
                    <w14:schemeClr w14:val="tx1"/>
                  </w14:solidFill>
                </w14:textFill>
              </w:rPr>
              <w:t>环境与人群健康研究中心采购人体成分分析仪等设备一批</w:t>
            </w:r>
          </w:p>
        </w:tc>
        <w:tc>
          <w:tcPr>
            <w:tcW w:w="11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一批</w:t>
            </w:r>
          </w:p>
        </w:tc>
        <w:tc>
          <w:tcPr>
            <w:tcW w:w="14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8"/>
                <w:highlight w:val="none"/>
                <w14:textFill>
                  <w14:solidFill>
                    <w14:schemeClr w14:val="tx1"/>
                  </w14:solidFill>
                </w14:textFill>
              </w:rPr>
            </w:pPr>
            <w:r>
              <w:rPr>
                <w:rFonts w:ascii="宋体" w:hAnsi="宋体" w:cs="宋体"/>
                <w:color w:val="000000" w:themeColor="text1"/>
                <w:szCs w:val="28"/>
                <w:highlight w:val="none"/>
                <w14:textFill>
                  <w14:solidFill>
                    <w14:schemeClr w14:val="tx1"/>
                  </w14:solidFill>
                </w14:textFill>
              </w:rPr>
              <w:t>8.5</w:t>
            </w:r>
          </w:p>
        </w:tc>
        <w:tc>
          <w:tcPr>
            <w:tcW w:w="1477"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000000" w:themeColor="text1"/>
                <w:szCs w:val="28"/>
                <w:highlight w:val="none"/>
                <w14:textFill>
                  <w14:solidFill>
                    <w14:schemeClr w14:val="tx1"/>
                  </w14:solidFill>
                </w14:textFill>
              </w:rPr>
            </w:pPr>
            <w:r>
              <w:rPr>
                <w:rFonts w:hint="eastAsia" w:ascii="宋体" w:hAnsi="宋体" w:cs="宋体"/>
                <w:color w:val="000000" w:themeColor="text1"/>
                <w:szCs w:val="28"/>
                <w:highlight w:val="none"/>
                <w14:textFill>
                  <w14:solidFill>
                    <w14:schemeClr w14:val="tx1"/>
                  </w14:solidFill>
                </w14:textFill>
              </w:rPr>
              <w:t>0.17</w:t>
            </w:r>
          </w:p>
        </w:tc>
        <w:tc>
          <w:tcPr>
            <w:tcW w:w="2092"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000000" w:themeColor="text1"/>
                <w:szCs w:val="28"/>
                <w14:textFill>
                  <w14:solidFill>
                    <w14:schemeClr w14:val="tx1"/>
                  </w14:solidFill>
                </w14:textFill>
              </w:rPr>
            </w:pPr>
          </w:p>
        </w:tc>
      </w:tr>
      <w:bookmarkEnd w:id="6"/>
    </w:tbl>
    <w:p>
      <w:pPr>
        <w:pStyle w:val="5"/>
        <w:spacing w:before="0" w:after="0" w:line="360" w:lineRule="auto"/>
        <w:rPr>
          <w:rFonts w:ascii="宋体" w:hAnsi="宋体" w:cs="宋体"/>
          <w:b w:val="0"/>
          <w:color w:val="000000" w:themeColor="text1"/>
          <w:sz w:val="28"/>
          <w:szCs w:val="28"/>
          <w14:textFill>
            <w14:solidFill>
              <w14:schemeClr w14:val="tx1"/>
            </w14:solidFill>
          </w14:textFill>
        </w:rPr>
      </w:pPr>
      <w:bookmarkStart w:id="7" w:name="_Toc20278"/>
      <w:bookmarkStart w:id="8" w:name="_Toc373860293"/>
      <w:bookmarkStart w:id="9" w:name="_Toc317775178"/>
      <w:r>
        <w:rPr>
          <w:rFonts w:hint="eastAsia" w:ascii="宋体" w:hAnsi="宋体" w:cs="宋体"/>
          <w:b w:val="0"/>
          <w:color w:val="000000" w:themeColor="text1"/>
          <w:sz w:val="28"/>
          <w:szCs w:val="28"/>
          <w14:textFill>
            <w14:solidFill>
              <w14:schemeClr w14:val="tx1"/>
            </w14:solidFill>
          </w14:textFill>
        </w:rPr>
        <w:t>二、资金来源</w:t>
      </w:r>
      <w:bookmarkEnd w:id="7"/>
    </w:p>
    <w:p>
      <w:pPr>
        <w:pStyle w:val="5"/>
        <w:spacing w:before="0" w:after="0" w:line="360" w:lineRule="auto"/>
        <w:ind w:firstLine="560" w:firstLineChars="200"/>
        <w:rPr>
          <w:rFonts w:ascii="宋体" w:hAnsi="宋体" w:cs="宋体"/>
          <w:b w:val="0"/>
          <w:color w:val="000000" w:themeColor="text1"/>
          <w:sz w:val="28"/>
          <w:szCs w:val="28"/>
          <w14:textFill>
            <w14:solidFill>
              <w14:schemeClr w14:val="tx1"/>
            </w14:solidFill>
          </w14:textFill>
        </w:rPr>
      </w:pPr>
      <w:bookmarkStart w:id="10" w:name="_Toc19486"/>
      <w:r>
        <w:rPr>
          <w:rFonts w:hint="eastAsia" w:ascii="宋体" w:hAnsi="宋体" w:cs="宋体"/>
          <w:b w:val="0"/>
          <w:color w:val="000000" w:themeColor="text1"/>
          <w:sz w:val="28"/>
          <w:szCs w:val="28"/>
          <w14:textFill>
            <w14:solidFill>
              <w14:schemeClr w14:val="tx1"/>
            </w14:solidFill>
          </w14:textFill>
        </w:rPr>
        <w:t>学校自筹，资金已到位。</w:t>
      </w:r>
      <w:bookmarkEnd w:id="10"/>
    </w:p>
    <w:p>
      <w:pPr>
        <w:pStyle w:val="5"/>
        <w:spacing w:before="0" w:after="0" w:line="360" w:lineRule="auto"/>
        <w:rPr>
          <w:rFonts w:ascii="宋体" w:hAnsi="宋体" w:cs="宋体"/>
          <w:b w:val="0"/>
          <w:color w:val="000000" w:themeColor="text1"/>
          <w:sz w:val="28"/>
          <w:szCs w:val="28"/>
          <w14:textFill>
            <w14:solidFill>
              <w14:schemeClr w14:val="tx1"/>
            </w14:solidFill>
          </w14:textFill>
        </w:rPr>
      </w:pPr>
      <w:bookmarkStart w:id="11" w:name="_Toc16732"/>
      <w:r>
        <w:rPr>
          <w:rFonts w:hint="eastAsia" w:ascii="宋体" w:hAnsi="宋体" w:cs="宋体"/>
          <w:b w:val="0"/>
          <w:color w:val="000000" w:themeColor="text1"/>
          <w:sz w:val="28"/>
          <w:szCs w:val="28"/>
          <w14:textFill>
            <w14:solidFill>
              <w14:schemeClr w14:val="tx1"/>
            </w14:solidFill>
          </w14:textFill>
        </w:rPr>
        <w:t>三、谈判资格</w:t>
      </w:r>
      <w:bookmarkEnd w:id="11"/>
    </w:p>
    <w:p>
      <w:pPr>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谈判供应商是指向采购人提供货物、工程或者服务的法人、其他组织或者自然人。以下简称供应商。合格的供应商应符合政府采购法第二十二条规定的基本条件。</w:t>
      </w:r>
    </w:p>
    <w:p>
      <w:pPr>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（一）一般资格条件</w:t>
      </w:r>
    </w:p>
    <w:p>
      <w:pPr>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1.具有独立承担民事责任的能力；</w:t>
      </w:r>
    </w:p>
    <w:p>
      <w:pPr>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2.具有良好的商业信誉和健全的财务会计制度；</w:t>
      </w:r>
    </w:p>
    <w:p>
      <w:pPr>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3.具有履行合同所必需的设备和专业技术能力；</w:t>
      </w:r>
    </w:p>
    <w:p>
      <w:pPr>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4.有依法缴纳税收和社会保障资金的良好记录；</w:t>
      </w:r>
    </w:p>
    <w:p>
      <w:pPr>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5.参加政府采购活动前三年内，在经营活动中没有重大违法记录；</w:t>
      </w:r>
    </w:p>
    <w:p>
      <w:pPr>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6.法律、行政法规规定的其他条件。</w:t>
      </w:r>
    </w:p>
    <w:p>
      <w:pPr>
        <w:pStyle w:val="5"/>
        <w:spacing w:before="0" w:after="0" w:line="360" w:lineRule="auto"/>
        <w:rPr>
          <w:rFonts w:ascii="宋体" w:hAnsi="宋体" w:cs="宋体"/>
          <w:b w:val="0"/>
          <w:color w:val="000000" w:themeColor="text1"/>
          <w:sz w:val="28"/>
          <w:szCs w:val="28"/>
          <w14:textFill>
            <w14:solidFill>
              <w14:schemeClr w14:val="tx1"/>
            </w14:solidFill>
          </w14:textFill>
        </w:rPr>
      </w:pPr>
      <w:bookmarkStart w:id="12" w:name="_Toc30774"/>
      <w:r>
        <w:rPr>
          <w:rFonts w:hint="eastAsia" w:ascii="宋体" w:hAnsi="宋体" w:cs="宋体"/>
          <w:b w:val="0"/>
          <w:color w:val="000000" w:themeColor="text1"/>
          <w:sz w:val="28"/>
          <w:szCs w:val="28"/>
          <w14:textFill>
            <w14:solidFill>
              <w14:schemeClr w14:val="tx1"/>
            </w14:solidFill>
          </w14:textFill>
        </w:rPr>
        <w:t>四、谈判有关说明</w:t>
      </w:r>
      <w:bookmarkEnd w:id="8"/>
      <w:bookmarkEnd w:id="12"/>
    </w:p>
    <w:p>
      <w:pPr>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（一）凡有意参加谈判的供应商，请于公告发布之日</w:t>
      </w:r>
      <w:r>
        <w:rPr>
          <w:rFonts w:hint="eastAsia" w:ascii="宋体" w:hAnsi="宋体" w:cs="宋体"/>
          <w:color w:val="000000" w:themeColor="text1"/>
          <w:szCs w:val="28"/>
          <w:highlight w:val="none"/>
          <w14:textFill>
            <w14:solidFill>
              <w14:schemeClr w14:val="tx1"/>
            </w14:solidFill>
          </w14:textFill>
        </w:rPr>
        <w:t>（2023年9月</w:t>
      </w:r>
      <w:r>
        <w:rPr>
          <w:rFonts w:ascii="宋体" w:hAnsi="宋体" w:cs="宋体"/>
          <w:color w:val="000000" w:themeColor="text1"/>
          <w:szCs w:val="28"/>
          <w:highlight w:val="none"/>
          <w14:textFill>
            <w14:solidFill>
              <w14:schemeClr w14:val="tx1"/>
            </w14:solidFill>
          </w14:textFill>
        </w:rPr>
        <w:t>12</w:t>
      </w:r>
      <w:r>
        <w:rPr>
          <w:rFonts w:hint="eastAsia" w:ascii="宋体" w:hAnsi="宋体" w:cs="宋体"/>
          <w:color w:val="000000" w:themeColor="text1"/>
          <w:szCs w:val="28"/>
          <w:highlight w:val="none"/>
          <w14:textFill>
            <w14:solidFill>
              <w14:schemeClr w14:val="tx1"/>
            </w14:solidFill>
          </w14:textFill>
        </w:rPr>
        <w:t>日）起至提交首次响应文件截止时间之前，在重庆医科大学校园网上（主页-服务大厅-招投标信息）</w:t>
      </w:r>
      <w:r>
        <w:rPr>
          <w:rFonts w:hint="eastAsia" w:ascii="宋体" w:hAnsi="宋体" w:cs="宋体"/>
          <w:color w:val="000000" w:themeColor="text1"/>
          <w:szCs w:val="28"/>
          <w14:textFill>
            <w14:solidFill>
              <w14:schemeClr w14:val="tx1"/>
            </w14:solidFill>
          </w14:textFill>
        </w:rPr>
        <w:t>下载本项目竞争性谈判文件以及图纸、补遗等谈判前公布的所有项目资料，无论供应商下载与否，均视为已知晓所有谈判实质性要求内容。</w:t>
      </w:r>
    </w:p>
    <w:p>
      <w:pPr>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（二）报名方式：</w:t>
      </w:r>
    </w:p>
    <w:p>
      <w:pPr>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1.报名期限：</w:t>
      </w:r>
      <w:r>
        <w:rPr>
          <w:rFonts w:hint="eastAsia" w:ascii="宋体" w:hAnsi="宋体" w:cs="宋体"/>
          <w:color w:val="000000" w:themeColor="text1"/>
          <w:szCs w:val="28"/>
          <w:highlight w:val="none"/>
          <w14:textFill>
            <w14:solidFill>
              <w14:schemeClr w14:val="tx1"/>
            </w14:solidFill>
          </w14:textFill>
        </w:rPr>
        <w:t xml:space="preserve"> 2023年9月</w:t>
      </w:r>
      <w:r>
        <w:rPr>
          <w:rFonts w:ascii="宋体" w:hAnsi="宋体" w:cs="宋体"/>
          <w:color w:val="000000" w:themeColor="text1"/>
          <w:szCs w:val="28"/>
          <w:highlight w:val="none"/>
          <w14:textFill>
            <w14:solidFill>
              <w14:schemeClr w14:val="tx1"/>
            </w14:solidFill>
          </w14:textFill>
        </w:rPr>
        <w:t>12</w:t>
      </w:r>
      <w:r>
        <w:rPr>
          <w:rFonts w:hint="eastAsia" w:ascii="宋体" w:hAnsi="宋体" w:cs="宋体"/>
          <w:color w:val="000000" w:themeColor="text1"/>
          <w:szCs w:val="28"/>
          <w:highlight w:val="none"/>
          <w14:textFill>
            <w14:solidFill>
              <w14:schemeClr w14:val="tx1"/>
            </w14:solidFill>
          </w14:textFill>
        </w:rPr>
        <w:t>日9：00时至2023年9月1</w:t>
      </w:r>
      <w:r>
        <w:rPr>
          <w:rFonts w:ascii="宋体" w:hAnsi="宋体" w:cs="宋体"/>
          <w:color w:val="000000" w:themeColor="text1"/>
          <w:szCs w:val="28"/>
          <w:highlight w:val="none"/>
          <w14:textFill>
            <w14:solidFill>
              <w14:schemeClr w14:val="tx1"/>
            </w14:solidFill>
          </w14:textFill>
        </w:rPr>
        <w:t>7</w:t>
      </w:r>
      <w:r>
        <w:rPr>
          <w:rFonts w:hint="eastAsia" w:ascii="宋体" w:hAnsi="宋体" w:cs="宋体"/>
          <w:color w:val="000000" w:themeColor="text1"/>
          <w:szCs w:val="28"/>
          <w:highlight w:val="none"/>
          <w14:textFill>
            <w14:solidFill>
              <w14:schemeClr w14:val="tx1"/>
            </w14:solidFill>
          </w14:textFill>
        </w:rPr>
        <w:t>日17:00时</w:t>
      </w:r>
      <w:r>
        <w:rPr>
          <w:rFonts w:hint="eastAsia" w:ascii="宋体" w:hAnsi="宋体" w:cs="宋体"/>
          <w:color w:val="000000" w:themeColor="text1"/>
          <w:szCs w:val="28"/>
          <w14:textFill>
            <w14:solidFill>
              <w14:schemeClr w14:val="tx1"/>
            </w14:solidFill>
          </w14:textFill>
        </w:rPr>
        <w:t>（法定公休日、法定节假日除外）</w:t>
      </w:r>
    </w:p>
    <w:p>
      <w:pPr>
        <w:spacing w:line="360" w:lineRule="auto"/>
        <w:ind w:firstLine="560" w:firstLineChars="200"/>
        <w:rPr>
          <w:rFonts w:ascii="宋体" w:hAnsi="宋体" w:cs="宋体"/>
          <w:color w:val="000000" w:themeColor="text1"/>
          <w:szCs w:val="28"/>
          <w:highlight w:val="yellow"/>
          <w14:textFill>
            <w14:solidFill>
              <w14:schemeClr w14:val="tx1"/>
            </w14:solidFill>
          </w14:textFill>
        </w:rPr>
      </w:pPr>
      <w:r>
        <w:rPr>
          <w:rFonts w:hint="eastAsia" w:ascii="宋体" w:hAnsi="宋体" w:cs="宋体"/>
          <w:color w:val="000000" w:themeColor="text1"/>
          <w:szCs w:val="28"/>
          <w14:textFill>
            <w14:solidFill>
              <w14:schemeClr w14:val="tx1"/>
            </w14:solidFill>
          </w14:textFill>
        </w:rPr>
        <w:t>2.在报名期内，请务必将投标保证金汇款凭证（注明采购计划编号、采购项目名称及所参与合同包号）、单位名称，需进校投标人员的名字、身份证号码、车牌号、电话号码，在报名截止时间前发送至1175902234@qq.com。只有在规定时间内发送了报名信息的供应商的响应文件才被接收</w:t>
      </w:r>
      <w:r>
        <w:rPr>
          <w:rFonts w:hint="eastAsia" w:ascii="宋体" w:hAnsi="宋体" w:cs="宋体"/>
          <w:color w:val="000000" w:themeColor="text1"/>
          <w:szCs w:val="28"/>
          <w:highlight w:val="none"/>
          <w14:textFill>
            <w14:solidFill>
              <w14:schemeClr w14:val="tx1"/>
            </w14:solidFill>
          </w14:textFill>
        </w:rPr>
        <w:t>。</w:t>
      </w:r>
    </w:p>
    <w:p>
      <w:pPr>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3.收到报名信息后，我校将为其办理进校备案，只有办理了备案的人员才能进入学校。</w:t>
      </w:r>
    </w:p>
    <w:p>
      <w:pPr>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（三）供应商须满足以下三种要件，其响应文件才被接受：</w:t>
      </w:r>
    </w:p>
    <w:p>
      <w:pPr>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1.按时递交了响应文件；</w:t>
      </w:r>
    </w:p>
    <w:p>
      <w:pPr>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2.按时报名签到；</w:t>
      </w:r>
    </w:p>
    <w:p>
      <w:pPr>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3.缴纳了“环境与人群健康研究中心采购人体成分分析仪等设备一批”项目保证金</w:t>
      </w:r>
    </w:p>
    <w:p>
      <w:pPr>
        <w:spacing w:line="360" w:lineRule="auto"/>
        <w:rPr>
          <w:rFonts w:ascii="黑体" w:hAnsi="黑体"/>
          <w:color w:val="000000" w:themeColor="text1"/>
          <w:szCs w:val="28"/>
          <w:highlight w:val="none"/>
          <w14:textFill>
            <w14:solidFill>
              <w14:schemeClr w14:val="tx1"/>
            </w14:solidFill>
          </w14:textFill>
        </w:rPr>
      </w:pPr>
      <w:r>
        <w:rPr>
          <w:rFonts w:hint="eastAsia" w:ascii="宋体" w:hAnsi="宋体" w:cs="宋体"/>
          <w:color w:val="000000" w:themeColor="text1"/>
          <w:szCs w:val="28"/>
          <w14:textFill>
            <w14:solidFill>
              <w14:schemeClr w14:val="tx1"/>
            </w14:solidFill>
          </w14:textFill>
        </w:rPr>
        <w:t>（四）谈判地点：</w:t>
      </w:r>
      <w:r>
        <w:rPr>
          <w:rFonts w:hint="eastAsia" w:ascii="宋体" w:hAnsi="宋体" w:cs="宋体"/>
          <w:szCs w:val="28"/>
        </w:rPr>
        <w:t>重庆医科大学缙云校区</w:t>
      </w:r>
      <w:r>
        <w:rPr>
          <w:rFonts w:hint="eastAsia" w:ascii="宋体" w:hAnsi="宋体" w:cs="宋体"/>
          <w:szCs w:val="28"/>
          <w:highlight w:val="none"/>
        </w:rPr>
        <w:t>兰苑</w:t>
      </w:r>
      <w:r>
        <w:rPr>
          <w:rFonts w:ascii="宋体" w:hAnsi="宋体" w:cs="宋体"/>
          <w:szCs w:val="28"/>
          <w:highlight w:val="none"/>
        </w:rPr>
        <w:t>L1-</w:t>
      </w:r>
      <w:r>
        <w:rPr>
          <w:rFonts w:ascii="宋体" w:hAnsi="宋体"/>
          <w:szCs w:val="28"/>
          <w:highlight w:val="none"/>
        </w:rPr>
        <w:t>1312</w:t>
      </w:r>
      <w:r>
        <w:rPr>
          <w:rFonts w:hint="eastAsia" w:ascii="宋体" w:hAnsi="宋体"/>
          <w:szCs w:val="28"/>
          <w:highlight w:val="none"/>
        </w:rPr>
        <w:t>会议室</w:t>
      </w:r>
    </w:p>
    <w:p>
      <w:pPr>
        <w:spacing w:line="360" w:lineRule="auto"/>
        <w:rPr>
          <w:rFonts w:ascii="宋体" w:hAnsi="宋体" w:cs="宋体"/>
          <w:color w:val="000000" w:themeColor="text1"/>
          <w:szCs w:val="28"/>
          <w:highlight w:val="none"/>
          <w14:textFill>
            <w14:solidFill>
              <w14:schemeClr w14:val="tx1"/>
            </w14:solidFill>
          </w14:textFill>
        </w:rPr>
      </w:pPr>
      <w:r>
        <w:rPr>
          <w:rFonts w:hint="eastAsia" w:ascii="宋体" w:hAnsi="宋体" w:cs="宋体"/>
          <w:color w:val="000000" w:themeColor="text1"/>
          <w:szCs w:val="28"/>
          <w:highlight w:val="none"/>
          <w14:textFill>
            <w14:solidFill>
              <w14:schemeClr w14:val="tx1"/>
            </w14:solidFill>
          </w14:textFill>
        </w:rPr>
        <w:t>（五）提交响应文件开始时间：2023年9月1</w:t>
      </w:r>
      <w:r>
        <w:rPr>
          <w:rFonts w:ascii="宋体" w:hAnsi="宋体" w:cs="宋体"/>
          <w:color w:val="000000" w:themeColor="text1"/>
          <w:szCs w:val="28"/>
          <w:highlight w:val="none"/>
          <w14:textFill>
            <w14:solidFill>
              <w14:schemeClr w14:val="tx1"/>
            </w14:solidFill>
          </w14:textFill>
        </w:rPr>
        <w:t>8</w:t>
      </w:r>
      <w:r>
        <w:rPr>
          <w:rFonts w:hint="eastAsia" w:ascii="宋体" w:hAnsi="宋体" w:cs="宋体"/>
          <w:color w:val="000000" w:themeColor="text1"/>
          <w:szCs w:val="28"/>
          <w:highlight w:val="none"/>
          <w14:textFill>
            <w14:solidFill>
              <w14:schemeClr w14:val="tx1"/>
            </w14:solidFill>
          </w14:textFill>
        </w:rPr>
        <w:t>日北京时间下午</w:t>
      </w:r>
      <w:r>
        <w:rPr>
          <w:rFonts w:ascii="宋体" w:hAnsi="宋体" w:cs="宋体"/>
          <w:color w:val="000000" w:themeColor="text1"/>
          <w:szCs w:val="28"/>
          <w:highlight w:val="none"/>
          <w14:textFill>
            <w14:solidFill>
              <w14:schemeClr w14:val="tx1"/>
            </w14:solidFill>
          </w14:textFill>
        </w:rPr>
        <w:t>13</w:t>
      </w:r>
      <w:r>
        <w:rPr>
          <w:rFonts w:hint="eastAsia" w:ascii="宋体" w:hAnsi="宋体" w:cs="宋体"/>
          <w:color w:val="000000" w:themeColor="text1"/>
          <w:szCs w:val="28"/>
          <w:highlight w:val="none"/>
          <w14:textFill>
            <w14:solidFill>
              <w14:schemeClr w14:val="tx1"/>
            </w14:solidFill>
          </w14:textFill>
        </w:rPr>
        <w:t>:</w:t>
      </w:r>
      <w:r>
        <w:rPr>
          <w:rFonts w:ascii="宋体" w:hAnsi="宋体" w:cs="宋体"/>
          <w:color w:val="000000" w:themeColor="text1"/>
          <w:szCs w:val="28"/>
          <w:highlight w:val="none"/>
          <w14:textFill>
            <w14:solidFill>
              <w14:schemeClr w14:val="tx1"/>
            </w14:solidFill>
          </w14:textFill>
        </w:rPr>
        <w:t>3</w:t>
      </w:r>
      <w:r>
        <w:rPr>
          <w:rFonts w:hint="eastAsia" w:ascii="宋体" w:hAnsi="宋体" w:cs="宋体"/>
          <w:color w:val="000000" w:themeColor="text1"/>
          <w:szCs w:val="28"/>
          <w:highlight w:val="none"/>
          <w14:textFill>
            <w14:solidFill>
              <w14:schemeClr w14:val="tx1"/>
            </w14:solidFill>
          </w14:textFill>
        </w:rPr>
        <w:t>0</w:t>
      </w:r>
    </w:p>
    <w:p>
      <w:pPr>
        <w:spacing w:line="360" w:lineRule="auto"/>
        <w:rPr>
          <w:rFonts w:ascii="宋体" w:hAnsi="宋体" w:cs="宋体"/>
          <w:color w:val="000000" w:themeColor="text1"/>
          <w:szCs w:val="28"/>
          <w:highlight w:val="none"/>
          <w14:textFill>
            <w14:solidFill>
              <w14:schemeClr w14:val="tx1"/>
            </w14:solidFill>
          </w14:textFill>
        </w:rPr>
      </w:pPr>
      <w:r>
        <w:rPr>
          <w:rFonts w:hint="eastAsia" w:ascii="宋体" w:hAnsi="宋体" w:cs="宋体"/>
          <w:color w:val="000000" w:themeColor="text1"/>
          <w:szCs w:val="28"/>
          <w:highlight w:val="none"/>
          <w14:textFill>
            <w14:solidFill>
              <w14:schemeClr w14:val="tx1"/>
            </w14:solidFill>
          </w14:textFill>
        </w:rPr>
        <w:t xml:space="preserve">（六）提交响应文件截止时间: </w:t>
      </w:r>
      <w:bookmarkStart w:id="13" w:name="OLE_LINK3"/>
      <w:r>
        <w:rPr>
          <w:rFonts w:hint="eastAsia" w:ascii="宋体" w:hAnsi="宋体" w:cs="宋体"/>
          <w:color w:val="000000" w:themeColor="text1"/>
          <w:szCs w:val="28"/>
          <w:highlight w:val="none"/>
          <w14:textFill>
            <w14:solidFill>
              <w14:schemeClr w14:val="tx1"/>
            </w14:solidFill>
          </w14:textFill>
        </w:rPr>
        <w:t>2023年9月1</w:t>
      </w:r>
      <w:r>
        <w:rPr>
          <w:rFonts w:ascii="宋体" w:hAnsi="宋体" w:cs="宋体"/>
          <w:color w:val="000000" w:themeColor="text1"/>
          <w:szCs w:val="28"/>
          <w:highlight w:val="none"/>
          <w14:textFill>
            <w14:solidFill>
              <w14:schemeClr w14:val="tx1"/>
            </w14:solidFill>
          </w14:textFill>
        </w:rPr>
        <w:t>8</w:t>
      </w:r>
      <w:r>
        <w:rPr>
          <w:rFonts w:hint="eastAsia" w:ascii="宋体" w:hAnsi="宋体" w:cs="宋体"/>
          <w:color w:val="000000" w:themeColor="text1"/>
          <w:szCs w:val="28"/>
          <w:highlight w:val="none"/>
          <w14:textFill>
            <w14:solidFill>
              <w14:schemeClr w14:val="tx1"/>
            </w14:solidFill>
          </w14:textFill>
        </w:rPr>
        <w:t>日北京时间下午</w:t>
      </w:r>
      <w:r>
        <w:rPr>
          <w:rFonts w:ascii="宋体" w:hAnsi="宋体" w:cs="宋体"/>
          <w:color w:val="000000" w:themeColor="text1"/>
          <w:szCs w:val="28"/>
          <w:highlight w:val="none"/>
          <w14:textFill>
            <w14:solidFill>
              <w14:schemeClr w14:val="tx1"/>
            </w14:solidFill>
          </w14:textFill>
        </w:rPr>
        <w:t>14</w:t>
      </w:r>
      <w:r>
        <w:rPr>
          <w:rFonts w:hint="eastAsia" w:ascii="宋体" w:hAnsi="宋体" w:cs="宋体"/>
          <w:color w:val="000000" w:themeColor="text1"/>
          <w:szCs w:val="28"/>
          <w:highlight w:val="none"/>
          <w14:textFill>
            <w14:solidFill>
              <w14:schemeClr w14:val="tx1"/>
            </w14:solidFill>
          </w14:textFill>
        </w:rPr>
        <w:t>:00</w:t>
      </w:r>
      <w:bookmarkEnd w:id="13"/>
    </w:p>
    <w:p>
      <w:pPr>
        <w:spacing w:line="360" w:lineRule="auto"/>
        <w:rPr>
          <w:rFonts w:ascii="宋体" w:hAnsi="宋体" w:cs="宋体"/>
          <w:color w:val="000000" w:themeColor="text1"/>
          <w:szCs w:val="28"/>
          <w:highlight w:val="none"/>
          <w14:textFill>
            <w14:solidFill>
              <w14:schemeClr w14:val="tx1"/>
            </w14:solidFill>
          </w14:textFill>
        </w:rPr>
      </w:pPr>
      <w:r>
        <w:rPr>
          <w:rFonts w:hint="eastAsia" w:ascii="宋体" w:hAnsi="宋体" w:cs="宋体"/>
          <w:color w:val="000000" w:themeColor="text1"/>
          <w:szCs w:val="28"/>
          <w:highlight w:val="none"/>
          <w14:textFill>
            <w14:solidFill>
              <w14:schemeClr w14:val="tx1"/>
            </w14:solidFill>
          </w14:textFill>
        </w:rPr>
        <w:t>（七）谈判开始时间：2023年9月1</w:t>
      </w:r>
      <w:r>
        <w:rPr>
          <w:rFonts w:ascii="宋体" w:hAnsi="宋体" w:cs="宋体"/>
          <w:color w:val="000000" w:themeColor="text1"/>
          <w:szCs w:val="28"/>
          <w:highlight w:val="none"/>
          <w14:textFill>
            <w14:solidFill>
              <w14:schemeClr w14:val="tx1"/>
            </w14:solidFill>
          </w14:textFill>
        </w:rPr>
        <w:t>8</w:t>
      </w:r>
      <w:r>
        <w:rPr>
          <w:rFonts w:hint="eastAsia" w:ascii="宋体" w:hAnsi="宋体" w:cs="宋体"/>
          <w:color w:val="000000" w:themeColor="text1"/>
          <w:szCs w:val="28"/>
          <w:highlight w:val="none"/>
          <w14:textFill>
            <w14:solidFill>
              <w14:schemeClr w14:val="tx1"/>
            </w14:solidFill>
          </w14:textFill>
        </w:rPr>
        <w:t>日北京时间下午</w:t>
      </w:r>
      <w:r>
        <w:rPr>
          <w:rFonts w:ascii="宋体" w:hAnsi="宋体" w:cs="宋体"/>
          <w:color w:val="000000" w:themeColor="text1"/>
          <w:szCs w:val="28"/>
          <w:highlight w:val="none"/>
          <w14:textFill>
            <w14:solidFill>
              <w14:schemeClr w14:val="tx1"/>
            </w14:solidFill>
          </w14:textFill>
        </w:rPr>
        <w:t>14</w:t>
      </w:r>
      <w:r>
        <w:rPr>
          <w:rFonts w:hint="eastAsia" w:ascii="宋体" w:hAnsi="宋体" w:cs="宋体"/>
          <w:color w:val="000000" w:themeColor="text1"/>
          <w:szCs w:val="28"/>
          <w:highlight w:val="none"/>
          <w14:textFill>
            <w14:solidFill>
              <w14:schemeClr w14:val="tx1"/>
            </w14:solidFill>
          </w14:textFill>
        </w:rPr>
        <w:t>:00</w:t>
      </w:r>
    </w:p>
    <w:bookmarkEnd w:id="9"/>
    <w:p>
      <w:pPr>
        <w:spacing w:line="360" w:lineRule="auto"/>
        <w:rPr>
          <w:rFonts w:ascii="宋体" w:hAnsi="宋体" w:cs="宋体"/>
          <w:color w:val="000000" w:themeColor="text1"/>
          <w:szCs w:val="28"/>
          <w14:textFill>
            <w14:solidFill>
              <w14:schemeClr w14:val="tx1"/>
            </w14:solidFill>
          </w14:textFill>
        </w:rPr>
      </w:pPr>
      <w:bookmarkStart w:id="14" w:name="_Toc521053053"/>
      <w:bookmarkStart w:id="15" w:name="_Toc373860294"/>
      <w:bookmarkStart w:id="16" w:name="_Toc525047161"/>
      <w:r>
        <w:rPr>
          <w:rFonts w:hint="eastAsia" w:ascii="宋体" w:hAnsi="宋体" w:cs="宋体"/>
          <w:color w:val="000000" w:themeColor="text1"/>
          <w:szCs w:val="28"/>
          <w14:textFill>
            <w14:solidFill>
              <w14:schemeClr w14:val="tx1"/>
            </w14:solidFill>
          </w14:textFill>
        </w:rPr>
        <w:t>五、保证金</w:t>
      </w:r>
      <w:bookmarkEnd w:id="14"/>
      <w:bookmarkEnd w:id="15"/>
      <w:bookmarkEnd w:id="16"/>
    </w:p>
    <w:p>
      <w:pPr>
        <w:snapToGrid w:val="0"/>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 xml:space="preserve">（一）缴纳保证金方式 </w:t>
      </w:r>
    </w:p>
    <w:p>
      <w:pPr>
        <w:snapToGrid w:val="0"/>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1、按《重庆市财政局关于进一步规范投标报名及保证金缴纳的通知》的规定，具体缴纳方式如下：</w:t>
      </w:r>
    </w:p>
    <w:p>
      <w:pPr>
        <w:snapToGrid w:val="0"/>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 xml:space="preserve">  分项目单次递交的供应商，须按本项目规定的保证金数额进行缴纳，由供应商从其基本账户将保证金汇至重庆医科大学的账号上，同时在进账凭证上明确“环境与人群健康研究中心采购人体成分分析仪等设备一批”的采购计划编号，保证金的到账截止时间为谈判当天上午8:30。</w:t>
      </w:r>
    </w:p>
    <w:p>
      <w:pPr>
        <w:snapToGrid w:val="0"/>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2、供应商须在投标前前往学校财务处（第二教学楼110室）凭汇款凭证（原件或复印件）领取投标保证金的单据，以备投标时查验。</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递交保证金账户</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户  名：重庆医科大学</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开户行：中国建设银行股份有限公司重庆高新区分行</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账  号：5000 1033 6000 5000 8726</w:t>
      </w:r>
    </w:p>
    <w:p>
      <w:pPr>
        <w:snapToGrid w:val="0"/>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3、供应商也可以通过微信公众号缴纳投标保证金，并在备注栏中注明拟投标的采购计划编号及项目名称。微信公众号缴纳步骤如下：关注“重庆医科大学财务处”公众号--服务大厅--校外服务平台--缴投标保证金。通过微信公众号缴纳保证金的供应商，需自行打印由学校财务处开具的投标保证金电子票据，以备投标时查验。保证金的到账截止时间为谈判当天上午8:30。</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财务处联系电话：023-68486151  </w:t>
      </w:r>
    </w:p>
    <w:p>
      <w:pPr>
        <w:snapToGrid w:val="0"/>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4、缴纳保证金注意事项：</w:t>
      </w:r>
    </w:p>
    <w:p>
      <w:pPr>
        <w:snapToGrid w:val="0"/>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（1）供应商必须在付款凭证备注栏中注明“环境与人群健康研究中心采购人体成分分析仪等设备一批”的采购计划编号；</w:t>
      </w:r>
    </w:p>
    <w:p>
      <w:pPr>
        <w:snapToGrid w:val="0"/>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（2）各供应商在银行转账（电汇）时，须充分考虑银行转账（电汇）的时间差风险，如同城转账、异地转账或汇款、跨行转账或电汇的时间要求。</w:t>
      </w:r>
    </w:p>
    <w:p>
      <w:pPr>
        <w:snapToGrid w:val="0"/>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（3）各供应商在递交保证金时，到款账户为上述指定的保证金专用账户。来款账户必须为本公司基本账户，否则，投标无效。</w:t>
      </w:r>
    </w:p>
    <w:p>
      <w:pPr>
        <w:snapToGrid w:val="0"/>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（4）投标查验时，请出具由学校财务处开具的投标保证金电子票据。</w:t>
      </w:r>
    </w:p>
    <w:p>
      <w:pPr>
        <w:snapToGrid w:val="0"/>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5、保证金数额不超过采购预算的2%。</w:t>
      </w:r>
    </w:p>
    <w:p>
      <w:pPr>
        <w:snapToGrid w:val="0"/>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（二）保证金退还方式</w:t>
      </w:r>
    </w:p>
    <w:p>
      <w:pPr>
        <w:snapToGrid w:val="0"/>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1、分项目单次递交的保证金</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1.1分项目单次递交的未成交供应商的保证金，在成交通知书发放后，由投标公司持投标保证金收据到重庆医科大学公共卫生学院办理退款手续。</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1.2成交供应商的保证金，在成交供应商与采购人签订合同后，由投标公司持投标保证金收据、合同到重庆医科大学公共卫生学院办理退款手续。</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1.3保证金退还办理时间为每周四下午2:30时到5:00时。</w:t>
      </w:r>
    </w:p>
    <w:p>
      <w:pPr>
        <w:snapToGrid w:val="0"/>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六、采购项目需落实的政府采购政策</w:t>
      </w:r>
    </w:p>
    <w:p>
      <w:pPr>
        <w:snapToGrid w:val="0"/>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（二）按照《财政部 工业和信息化部关于印发&lt;政府采购促进中小企业发展暂行办法&gt;的通知》（财库〔2011〕181号）的规定，落实促进中小企业发展政策。</w:t>
      </w:r>
    </w:p>
    <w:p>
      <w:pPr>
        <w:snapToGrid w:val="0"/>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（三）按照《财政部、司法部关于政府采购支持监狱企业发展有关问题的通知》（财库〔2014〕68号）的规定，落实支持监狱企业发展政策。</w:t>
      </w:r>
    </w:p>
    <w:p>
      <w:pPr>
        <w:snapToGrid w:val="0"/>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（四）按照《三部门联合发布关于促进残疾人就业政府采购政策的通知》（财库〔2017〕 141号）的规定，落实支持残疾人福利性单位发展政策。</w:t>
      </w:r>
    </w:p>
    <w:p>
      <w:pPr>
        <w:snapToGrid w:val="0"/>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七、其它有关规定</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1、法定代表人为同一个人的两个及两个以上法人，母公司、全资子公司及其控股公司，都不得在同一分包的货物采购中同时参与谈判，否则均为无效谈判。</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2、单个分包为单一货物的，一个制造商对同一品牌同一规格型号的货物，仅能委托一个代理商参加该分包的谈判，否则为无效谈判。</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3、同一分包的货物，制造商参与谈判的，不得再委托代理商参与谈判，否则为无效谈判。</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4、为采购项目提供整体设计、规范编制或者项目管理、监理、检测等服务的供应商，不得再参加该采购项目的其他采购活动。</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5、本项目在响应文件提交截止时间前发布的竞争性谈判文件及补遗文件（如果有）一律在</w:t>
      </w:r>
      <w:r>
        <w:rPr>
          <w:rFonts w:hint="eastAsia" w:ascii="宋体" w:hAnsi="宋体" w:cs="宋体"/>
          <w:color w:val="000000" w:themeColor="text1"/>
          <w:szCs w:val="28"/>
          <w:highlight w:val="none"/>
          <w14:textFill>
            <w14:solidFill>
              <w14:schemeClr w14:val="tx1"/>
            </w14:solidFill>
          </w14:textFill>
        </w:rPr>
        <w:t>重庆医科大学校园网上（主页-服务大厅-招投标信息）</w:t>
      </w:r>
      <w:r>
        <w:rPr>
          <w:rFonts w:hint="eastAsia" w:ascii="宋体" w:hAnsi="宋体" w:cs="宋体"/>
          <w:color w:val="000000" w:themeColor="text1"/>
          <w:szCs w:val="28"/>
          <w14:textFill>
            <w14:solidFill>
              <w14:schemeClr w14:val="tx1"/>
            </w14:solidFill>
          </w14:textFill>
        </w:rPr>
        <w:t>上发布，请各供应商注意下载；无论供应商下载与否，均视同供应商已知晓本项目竞争性谈判文件、补遗文件（如果有）的内容。</w:t>
      </w:r>
    </w:p>
    <w:p>
      <w:pPr>
        <w:pStyle w:val="2"/>
        <w:spacing w:line="360" w:lineRule="auto"/>
        <w:ind w:firstLine="560" w:firstLineChars="200"/>
        <w:jc w:val="both"/>
      </w:pPr>
      <w:r>
        <w:rPr>
          <w:rFonts w:hint="eastAsia" w:ascii="宋体" w:hAnsi="宋体" w:cs="宋体"/>
          <w:color w:val="000000" w:themeColor="text1"/>
          <w:sz w:val="28"/>
          <w:szCs w:val="28"/>
          <w14:textFill>
            <w14:solidFill>
              <w14:schemeClr w14:val="tx1"/>
            </w14:solidFill>
          </w14:textFill>
        </w:rPr>
        <w:t>6、</w:t>
      </w:r>
      <w:r>
        <w:rPr>
          <w:rFonts w:hint="eastAsia" w:ascii="宋体" w:hAnsi="宋体" w:cs="宋体"/>
          <w:color w:val="000000" w:themeColor="text1"/>
          <w:szCs w:val="28"/>
          <w14:textFill>
            <w14:solidFill>
              <w14:schemeClr w14:val="tx1"/>
            </w14:solidFill>
          </w14:textFill>
        </w:rPr>
        <w:t>超过响应文件截止时间递交的响应文件，恕不接收。</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7、本项目不接受联合体参与谈判。</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8、谈判费用：无论谈判结果如何，供应商参与本项目谈判的所有费用均应由供应商自行承担。</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9、列入失信被执行人、重大税收违法案件当事人名单、政府采购严重违法失信行为记录名单等及其他不符合《中华人民共和国政府采购法》第二十二条规定条件的供应商，将拒绝其参与政府采购活动。</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9.1 供应商可通过信用中国网站（www.creditchina.gov.cn）查询以下内容</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9.1.1“失信被执行人”；</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9.1.2“重大税收违法案件当事人名单”；</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9.1.3“政府采购严重违法失信行为记录名单”</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八、联系方式</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采购人：重庆医科大学</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联系人：陈洁老师</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电  话：15723111416</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传  真：（023）68485008</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sectPr>
          <w:footerReference r:id="rId13" w:type="default"/>
          <w:pgSz w:w="11907" w:h="16840"/>
          <w:pgMar w:top="1418" w:right="1304" w:bottom="1134" w:left="1304" w:header="964" w:footer="992" w:gutter="0"/>
          <w:pgNumType w:fmt="numberInDash" w:start="1"/>
          <w:cols w:space="720" w:num="1"/>
          <w:docGrid w:linePitch="312" w:charSpace="0"/>
        </w:sectPr>
      </w:pPr>
      <w:r>
        <w:rPr>
          <w:rFonts w:hint="eastAsia" w:ascii="宋体" w:hAnsi="宋体" w:cs="宋体"/>
          <w:color w:val="000000" w:themeColor="text1"/>
          <w:szCs w:val="28"/>
          <w14:textFill>
            <w14:solidFill>
              <w14:schemeClr w14:val="tx1"/>
            </w14:solidFill>
          </w14:textFill>
        </w:rPr>
        <w:t>地  址： 重庆市沙坪坝区虎溪街道大学城中路61号重庆医科大学缙云校区兰苑L1-13</w:t>
      </w:r>
      <w:r>
        <w:rPr>
          <w:rFonts w:ascii="宋体" w:hAnsi="宋体" w:cs="宋体"/>
          <w:color w:val="000000" w:themeColor="text1"/>
          <w:szCs w:val="28"/>
          <w14:textFill>
            <w14:solidFill>
              <w14:schemeClr w14:val="tx1"/>
            </w14:solidFill>
          </w14:textFill>
        </w:rPr>
        <w:t>10</w:t>
      </w:r>
    </w:p>
    <w:p>
      <w:pPr>
        <w:pStyle w:val="4"/>
        <w:spacing w:before="0" w:after="0" w:line="360" w:lineRule="auto"/>
        <w:jc w:val="center"/>
        <w:rPr>
          <w:rFonts w:ascii="宋体" w:hAnsi="宋体" w:eastAsia="宋体" w:cs="宋体"/>
          <w:bCs/>
          <w:color w:val="000000" w:themeColor="text1"/>
          <w:szCs w:val="32"/>
          <w14:textFill>
            <w14:solidFill>
              <w14:schemeClr w14:val="tx1"/>
            </w14:solidFill>
          </w14:textFill>
        </w:rPr>
      </w:pPr>
      <w:bookmarkStart w:id="17" w:name="_Toc16537"/>
      <w:bookmarkStart w:id="18" w:name="_Toc102227313"/>
      <w:r>
        <w:rPr>
          <w:rFonts w:hint="eastAsia" w:ascii="宋体" w:hAnsi="宋体" w:eastAsia="宋体" w:cs="宋体"/>
          <w:bCs/>
          <w:color w:val="000000" w:themeColor="text1"/>
          <w:szCs w:val="32"/>
          <w14:textFill>
            <w14:solidFill>
              <w14:schemeClr w14:val="tx1"/>
            </w14:solidFill>
          </w14:textFill>
        </w:rPr>
        <w:t>第二篇  供应商须知</w:t>
      </w:r>
      <w:bookmarkEnd w:id="17"/>
      <w:bookmarkEnd w:id="18"/>
    </w:p>
    <w:p>
      <w:pPr>
        <w:rPr>
          <w:rFonts w:ascii="宋体" w:hAnsi="宋体" w:cs="宋体"/>
          <w:b/>
          <w:bCs/>
          <w:color w:val="000000" w:themeColor="text1"/>
          <w14:textFill>
            <w14:solidFill>
              <w14:schemeClr w14:val="tx1"/>
            </w14:solidFill>
          </w14:textFill>
        </w:rPr>
      </w:pPr>
    </w:p>
    <w:p>
      <w:pPr>
        <w:pStyle w:val="5"/>
        <w:spacing w:before="0" w:after="0" w:line="360" w:lineRule="auto"/>
        <w:rPr>
          <w:rFonts w:ascii="宋体" w:hAnsi="宋体" w:cs="宋体"/>
          <w:b w:val="0"/>
          <w:color w:val="000000" w:themeColor="text1"/>
          <w:sz w:val="28"/>
          <w:szCs w:val="28"/>
          <w14:textFill>
            <w14:solidFill>
              <w14:schemeClr w14:val="tx1"/>
            </w14:solidFill>
          </w14:textFill>
        </w:rPr>
      </w:pPr>
      <w:bookmarkStart w:id="19" w:name="_Toc342913389"/>
      <w:bookmarkStart w:id="20" w:name="_Toc20105"/>
      <w:r>
        <w:rPr>
          <w:rFonts w:hint="eastAsia" w:ascii="宋体" w:hAnsi="宋体" w:cs="宋体"/>
          <w:b w:val="0"/>
          <w:color w:val="000000" w:themeColor="text1"/>
          <w:sz w:val="28"/>
          <w:szCs w:val="28"/>
          <w14:textFill>
            <w14:solidFill>
              <w14:schemeClr w14:val="tx1"/>
            </w14:solidFill>
          </w14:textFill>
        </w:rPr>
        <w:t>一、谈判费用</w:t>
      </w:r>
      <w:bookmarkEnd w:id="19"/>
      <w:bookmarkEnd w:id="20"/>
    </w:p>
    <w:p>
      <w:pPr>
        <w:pStyle w:val="91"/>
        <w:spacing w:line="360" w:lineRule="auto"/>
        <w:ind w:firstLine="560" w:firstLineChars="200"/>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参与谈判的供应商应承担其编制响应文件与递交响应文件所涉及的一切费用，不论谈判结果如何，采购人和采购代理机构在任何情况下无义务也无责任承担这些费用。</w:t>
      </w:r>
    </w:p>
    <w:p>
      <w:pPr>
        <w:pStyle w:val="5"/>
        <w:tabs>
          <w:tab w:val="left" w:pos="2640"/>
        </w:tabs>
        <w:spacing w:before="0" w:after="0" w:line="360" w:lineRule="auto"/>
        <w:rPr>
          <w:rFonts w:ascii="宋体" w:hAnsi="宋体" w:cs="宋体"/>
          <w:b w:val="0"/>
          <w:color w:val="000000" w:themeColor="text1"/>
          <w:sz w:val="28"/>
          <w:szCs w:val="28"/>
          <w14:textFill>
            <w14:solidFill>
              <w14:schemeClr w14:val="tx1"/>
            </w14:solidFill>
          </w14:textFill>
        </w:rPr>
      </w:pPr>
      <w:bookmarkStart w:id="21" w:name="_Toc342913391"/>
      <w:bookmarkStart w:id="22" w:name="_Toc9632"/>
      <w:r>
        <w:rPr>
          <w:rFonts w:hint="eastAsia" w:ascii="宋体" w:hAnsi="宋体" w:cs="宋体"/>
          <w:b w:val="0"/>
          <w:color w:val="000000" w:themeColor="text1"/>
          <w:sz w:val="28"/>
          <w:szCs w:val="28"/>
          <w14:textFill>
            <w14:solidFill>
              <w14:schemeClr w14:val="tx1"/>
            </w14:solidFill>
          </w14:textFill>
        </w:rPr>
        <w:t>二、竞争性谈判文件</w:t>
      </w:r>
      <w:bookmarkEnd w:id="21"/>
      <w:bookmarkEnd w:id="22"/>
      <w:r>
        <w:rPr>
          <w:rFonts w:hint="eastAsia" w:ascii="宋体" w:hAnsi="宋体" w:cs="宋体"/>
          <w:b w:val="0"/>
          <w:color w:val="000000" w:themeColor="text1"/>
          <w:sz w:val="28"/>
          <w:szCs w:val="28"/>
          <w14:textFill>
            <w14:solidFill>
              <w14:schemeClr w14:val="tx1"/>
            </w14:solidFill>
          </w14:textFill>
        </w:rPr>
        <w:tab/>
      </w:r>
    </w:p>
    <w:p>
      <w:pPr>
        <w:snapToGrid w:val="0"/>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（一）竞争性谈判文件由竞争性谈判邀请书、供应商须知、谈判项目技术需求、谈判项目服务需求、合同草案条款、响应文件格式要求六部分组成。</w:t>
      </w:r>
    </w:p>
    <w:p>
      <w:pPr>
        <w:snapToGrid w:val="0"/>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（二）采购人（或采购代理机构）所作的一切有效的书面通知、修改及补充，都是竞争性谈判文件不可分割的部分。</w:t>
      </w:r>
    </w:p>
    <w:p>
      <w:pPr>
        <w:snapToGrid w:val="0"/>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（三）</w:t>
      </w:r>
      <w:bookmarkStart w:id="23" w:name="_Toc318159349"/>
      <w:bookmarkStart w:id="24" w:name="_Toc318166429"/>
      <w:bookmarkStart w:id="25" w:name="_Toc318159160"/>
      <w:bookmarkStart w:id="26" w:name="_Toc318159780"/>
      <w:r>
        <w:rPr>
          <w:rFonts w:hint="eastAsia" w:ascii="宋体" w:hAnsi="宋体" w:cs="宋体"/>
          <w:color w:val="000000" w:themeColor="text1"/>
          <w:szCs w:val="28"/>
          <w14:textFill>
            <w14:solidFill>
              <w14:schemeClr w14:val="tx1"/>
            </w14:solidFill>
          </w14:textFill>
        </w:rPr>
        <w:t>本竞争性谈判文件中，谈判小组根据与供应商谈判情况可能实质性变动的内容为竞争性谈判文件第三、四、五篇全部内容。</w:t>
      </w:r>
    </w:p>
    <w:bookmarkEnd w:id="23"/>
    <w:bookmarkEnd w:id="24"/>
    <w:bookmarkEnd w:id="25"/>
    <w:bookmarkEnd w:id="26"/>
    <w:p>
      <w:pPr>
        <w:pStyle w:val="5"/>
        <w:spacing w:before="0" w:after="0" w:line="360" w:lineRule="auto"/>
        <w:rPr>
          <w:rFonts w:ascii="宋体" w:hAnsi="宋体" w:cs="宋体"/>
          <w:b w:val="0"/>
          <w:color w:val="000000" w:themeColor="text1"/>
          <w:sz w:val="28"/>
          <w:szCs w:val="28"/>
          <w14:textFill>
            <w14:solidFill>
              <w14:schemeClr w14:val="tx1"/>
            </w14:solidFill>
          </w14:textFill>
        </w:rPr>
      </w:pPr>
      <w:bookmarkStart w:id="27" w:name="_Toc102227318"/>
      <w:bookmarkStart w:id="28" w:name="_Toc15121"/>
      <w:bookmarkStart w:id="29" w:name="_Toc179714297"/>
      <w:bookmarkStart w:id="30" w:name="_Toc342913392"/>
      <w:r>
        <w:rPr>
          <w:rFonts w:hint="eastAsia" w:ascii="宋体" w:hAnsi="宋体" w:cs="宋体"/>
          <w:b w:val="0"/>
          <w:color w:val="000000" w:themeColor="text1"/>
          <w:sz w:val="28"/>
          <w:szCs w:val="28"/>
          <w14:textFill>
            <w14:solidFill>
              <w14:schemeClr w14:val="tx1"/>
            </w14:solidFill>
          </w14:textFill>
        </w:rPr>
        <w:t>三、谈判要求</w:t>
      </w:r>
      <w:bookmarkEnd w:id="27"/>
      <w:bookmarkEnd w:id="28"/>
      <w:bookmarkEnd w:id="29"/>
      <w:bookmarkEnd w:id="30"/>
    </w:p>
    <w:p>
      <w:pPr>
        <w:snapToGrid w:val="0"/>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（一）响应文件</w:t>
      </w:r>
    </w:p>
    <w:p>
      <w:pPr>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供应商应当按照竞争性谈判文件的要求编制响应文件，并对竞争性谈判文件提出的要求和条件作出实质性响应，响应文件原则上采用软面订本。</w:t>
      </w:r>
    </w:p>
    <w:p>
      <w:pPr>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1.响应文件组成</w:t>
      </w:r>
    </w:p>
    <w:p>
      <w:pPr>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响应文件由第六篇“响应文件格式要求”规定的部分和供应商所作的一切有效补充、修改和承诺等文件组成，供应商应按照第六篇“响应文件格式”规定进行编写和装订，也可在基本格式基础上对表格进行扩展，未规定格式的由供应商自定格式。</w:t>
      </w:r>
    </w:p>
    <w:p>
      <w:pPr>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3.谈判有效期：响应文件及有关承诺文件有效期为谈判开始时间起90天。</w:t>
      </w:r>
    </w:p>
    <w:p>
      <w:pPr>
        <w:snapToGrid w:val="0"/>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（二）保证金：</w:t>
      </w:r>
    </w:p>
    <w:p>
      <w:pPr>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1.供应商提交保证金金额和方式详见“</w:t>
      </w:r>
      <w:r>
        <w:rPr>
          <w:rFonts w:hint="eastAsia" w:ascii="宋体" w:hAnsi="宋体" w:cs="宋体"/>
          <w:color w:val="000000" w:themeColor="text1"/>
          <w:szCs w:val="28"/>
          <w:u w:val="single"/>
          <w14:textFill>
            <w14:solidFill>
              <w14:schemeClr w14:val="tx1"/>
            </w14:solidFill>
          </w14:textFill>
        </w:rPr>
        <w:t>第一篇  五、保证金”</w:t>
      </w:r>
      <w:r>
        <w:rPr>
          <w:rFonts w:hint="eastAsia" w:ascii="宋体" w:hAnsi="宋体" w:cs="宋体"/>
          <w:color w:val="000000" w:themeColor="text1"/>
          <w:szCs w:val="28"/>
          <w14:textFill>
            <w14:solidFill>
              <w14:schemeClr w14:val="tx1"/>
            </w14:solidFill>
          </w14:textFill>
        </w:rPr>
        <w:t>；</w:t>
      </w:r>
    </w:p>
    <w:p>
      <w:pPr>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2.发生以下情况之一者，保证金不予退还：</w:t>
      </w:r>
    </w:p>
    <w:p>
      <w:pPr>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2.1供应商在提交响应文件截止时间后撤回响应文件的；</w:t>
      </w:r>
    </w:p>
    <w:p>
      <w:pPr>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2.2供应商在响应文件中提供虚假材料的；</w:t>
      </w:r>
    </w:p>
    <w:p>
      <w:pPr>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2.3除因不可抗力或竞争性谈判文件认可的情形以外，成交供应商不与采购人签订合同的；</w:t>
      </w:r>
    </w:p>
    <w:p>
      <w:pPr>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2.4供应商与采购人、其他供应商或者采购代理机构恶意串通的；</w:t>
      </w:r>
    </w:p>
    <w:p>
      <w:pPr>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2.5成交供应商不按规定的时间或拒绝按成交状态签订合同（即不按照采购文件确定的合同文本以及采购标的、规格型号、采购金额、采购数量、技术和服务要求等事项签订政府采购合同的）。</w:t>
      </w:r>
    </w:p>
    <w:p>
      <w:pPr>
        <w:snapToGrid w:val="0"/>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（三）修正错误</w:t>
      </w:r>
    </w:p>
    <w:p>
      <w:pPr>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若供应商所递交的响应文件或最后报价中的价格出现大写金额和小写金额不一致的错误，以大写金额修正为准。</w:t>
      </w:r>
    </w:p>
    <w:p>
      <w:pPr>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谈判小组按上述修正错误的原则及方法修正供应商的报价，供应商同意并签字确认后，修正后的报价对供应商具有约束作用。如果供应商不接受修正后的价格，将失去成为成交供应商的资格。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（四）报价要求</w:t>
      </w:r>
    </w:p>
    <w:p>
      <w:pPr>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1. 本次报价须为人民币报价。若为进口设备，其投标报价为含税价,包含（但不限于）：产品价、运输费（含装卸费）、外贸服务费（其中包含外贸代理费、报关、银行、货运仓储、商检、保险等所有外贸费用）、投标人需自行考虑政策原因影响，所导致增加的税款，该税款由投标人自行承担、安装调试费、培训费等货到重庆医科大学采购人指定地点的所有费用</w:t>
      </w:r>
    </w:p>
    <w:p>
      <w:pPr>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2. 本次报价须为人民币报价。若为国产设备,报价包含：产品价、运输费（含装卸费）、保险费、安装调试费、税费、培训费等货到重庆医科大学采购人指定地点的所有费用。</w:t>
      </w:r>
    </w:p>
    <w:p>
      <w:pPr>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3. 因成交供应商自身原因造成漏报、少报皆由其自行承担责任，采购人不再补偿。（采购文件服务需求有报价要求的以服务需求的为准）。</w:t>
      </w:r>
    </w:p>
    <w:p>
      <w:pPr>
        <w:snapToGrid w:val="0"/>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（五）提交响应文件的份数和签署</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1.响应文件一式四份，其中正本一份，副本二份，电子文档一份（电子文档内容应与纸质文件正本一致，如不一致以纸质文件正本为准。推荐采用光盘或U盘为电子文档载体）；副本可为正本的复印件，应与正本一致，如出现不一致情况以正本为准。</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2.在响应文件正本中，竞争性谈判文件第六篇响应文件格式中规定签字、盖章的地方必须按其规定签字、盖章。</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3.若供应商对响应文件的错处作必要修改，则应在修改处加盖供应商公章或由法定代表人或法定代表人授权代表签字确认。</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4.电报、电话、传真形式的响应文件概不接受。</w:t>
      </w:r>
    </w:p>
    <w:p>
      <w:pPr>
        <w:snapToGrid w:val="0"/>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（六）响应文件的递交</w:t>
      </w:r>
    </w:p>
    <w:p>
      <w:pPr>
        <w:pStyle w:val="31"/>
        <w:spacing w:line="360" w:lineRule="auto"/>
        <w:ind w:firstLine="560" w:firstLineChars="200"/>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1.响应文件的密封与标记</w:t>
      </w:r>
    </w:p>
    <w:p>
      <w:pPr>
        <w:pStyle w:val="31"/>
        <w:spacing w:line="360" w:lineRule="auto"/>
        <w:ind w:firstLine="560" w:firstLineChars="200"/>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1.1响应文件的正本、副本以及电子文档均应密封送达谈判地点，应在封套上注明项目名称、供应商名称。若正本、副本以及电子文档分别进行密封的，还应在封套上注明“正本”、“副本”、“电子文档”字样。</w:t>
      </w:r>
    </w:p>
    <w:p>
      <w:pPr>
        <w:pStyle w:val="31"/>
        <w:spacing w:line="360" w:lineRule="auto"/>
        <w:ind w:firstLine="560" w:firstLineChars="200"/>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1.2封套的封口处应加盖供应商公章或由法定代表人授权代表签字。</w:t>
      </w:r>
    </w:p>
    <w:p>
      <w:pPr>
        <w:pStyle w:val="31"/>
        <w:spacing w:line="360" w:lineRule="auto"/>
        <w:ind w:firstLine="560" w:firstLineChars="200"/>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2.如果响应文件通过邮寄递交，供应商应将响应文件用内、外两层封套密封。</w:t>
      </w:r>
    </w:p>
    <w:p>
      <w:pPr>
        <w:pStyle w:val="31"/>
        <w:spacing w:line="360" w:lineRule="auto"/>
        <w:ind w:firstLine="560" w:firstLineChars="200"/>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2.1内层封套的封装与标记同 “1.”款规定。</w:t>
      </w:r>
    </w:p>
    <w:p>
      <w:pPr>
        <w:pStyle w:val="31"/>
        <w:spacing w:line="360" w:lineRule="auto"/>
        <w:ind w:firstLine="560" w:firstLineChars="200"/>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2.2外层封套装入“1.”款所述全部内封资料，并注明谈判项目编号、项目名称、采购代理机构名称及地址。同时应写明供应商的名称、地址，以便将迟交的响应文件原封退还。</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3.如果未按上述规定进行密封和标记，采购代理机构对响应文件误投、丢失或提前拆封不负责任。</w:t>
      </w:r>
    </w:p>
    <w:p>
      <w:pPr>
        <w:snapToGrid w:val="0"/>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（七）响应文件语言：简体中文</w:t>
      </w:r>
    </w:p>
    <w:p>
      <w:pPr>
        <w:snapToGrid w:val="0"/>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（八）供应商参与人员</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各供应商应当派1-2名代表参与谈判，至少1人应为法定代表人或具有法定代表人授权委托书的授权代表。</w:t>
      </w:r>
    </w:p>
    <w:p>
      <w:pPr>
        <w:snapToGrid w:val="0"/>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（九）无效谈判</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供应商发生以下条款情况之一者，视为无效谈判，其响应文件将被拒绝：</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1.供应商不符合规定的基本资格条件或特定资格条件的；</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2.供应商未按谈判文件规定购买谈判文件的；</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3.供应商的法定代表人或其授权代表未参加谈判；</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4.供应商未在保证金到账截止时间前提交足额保证金的；</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5.供应商所提交的响应文件不按规定签字、盖章的；</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6.供应商的最后报价超过采购预算或最高限价的；</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7.供应商响应文件内容有与国家现行法律法规相违背的内容，或附有采购人无法接受条件的。</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8.单位负责人为同一人或者存在直接控股、管理关系的不同供应商，参加同一合同项（分包）下政府采购活动的；</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9.为采购项目提供整体设计、规范编制或者项目管理、监理、检测等服务的供应商再参加该采购项目的其他采购活动的；</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10.同一合同项（分包）下的货物，制造商参与谈判的，再委托代理商参与谈判的.</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11.供应商以联合体形式参与谈判。</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12.供应商如会上不能解答谈判文件的技术问题，视为无效谈判。</w:t>
      </w:r>
    </w:p>
    <w:p>
      <w:pPr>
        <w:pStyle w:val="5"/>
        <w:spacing w:before="0" w:after="0" w:line="360" w:lineRule="auto"/>
        <w:rPr>
          <w:rFonts w:ascii="宋体" w:hAnsi="宋体" w:cs="宋体"/>
          <w:b w:val="0"/>
          <w:color w:val="000000" w:themeColor="text1"/>
          <w:sz w:val="28"/>
          <w:szCs w:val="28"/>
          <w14:textFill>
            <w14:solidFill>
              <w14:schemeClr w14:val="tx1"/>
            </w14:solidFill>
          </w14:textFill>
        </w:rPr>
      </w:pPr>
      <w:bookmarkStart w:id="31" w:name="_Toc179714298"/>
      <w:bookmarkStart w:id="32" w:name="_Toc4683"/>
      <w:bookmarkStart w:id="33" w:name="_Toc342913393"/>
      <w:bookmarkStart w:id="34" w:name="_Toc102227319"/>
      <w:r>
        <w:rPr>
          <w:rFonts w:hint="eastAsia" w:ascii="宋体" w:hAnsi="宋体" w:cs="宋体"/>
          <w:b w:val="0"/>
          <w:color w:val="000000" w:themeColor="text1"/>
          <w:sz w:val="28"/>
          <w:szCs w:val="28"/>
          <w14:textFill>
            <w14:solidFill>
              <w14:schemeClr w14:val="tx1"/>
            </w14:solidFill>
          </w14:textFill>
        </w:rPr>
        <w:t>四、谈判程序</w:t>
      </w:r>
      <w:bookmarkEnd w:id="31"/>
      <w:bookmarkEnd w:id="32"/>
      <w:bookmarkEnd w:id="33"/>
      <w:bookmarkEnd w:id="34"/>
    </w:p>
    <w:p>
      <w:pPr>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（一）谈判按竞争性谈判文件规定的时间和地点进行。供应商须有法定代表人或其授权代表参加并签到。</w:t>
      </w:r>
    </w:p>
    <w:p>
      <w:pPr>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 xml:space="preserve">（二）竞争性谈判以抽签的形式确定谈判顺序，由本项目谈判小组分别与各供应商进行谈判。在正式谈判前，对各供应商的资格条件、响应文件的有效性、完整性和响应程度进行审查，各供应商只有在完全符合谈判要求的前提下，才能参与正式谈判，审查的内容如下： </w:t>
      </w:r>
    </w:p>
    <w:p>
      <w:pPr>
        <w:snapToGrid w:val="0"/>
        <w:spacing w:line="360" w:lineRule="auto"/>
        <w:ind w:firstLine="560" w:firstLineChars="200"/>
        <w:rPr>
          <w:rFonts w:ascii="宋体" w:hAnsi="宋体" w:cs="宋体"/>
          <w:color w:val="000000" w:themeColor="text1"/>
          <w:kern w:val="0"/>
          <w:szCs w:val="28"/>
          <w14:textFill>
            <w14:solidFill>
              <w14:schemeClr w14:val="tx1"/>
            </w14:solidFill>
          </w14:textFill>
        </w:rPr>
      </w:pPr>
      <w:r>
        <w:rPr>
          <w:rFonts w:hint="eastAsia" w:ascii="宋体" w:hAnsi="宋体" w:cs="宋体"/>
          <w:color w:val="000000" w:themeColor="text1"/>
          <w:kern w:val="0"/>
          <w:szCs w:val="28"/>
          <w14:textFill>
            <w14:solidFill>
              <w14:schemeClr w14:val="tx1"/>
            </w14:solidFill>
          </w14:textFill>
        </w:rPr>
        <w:t>1.资格性检查。依据法律法规和竞争性谈判文件的规定，对响应文件中的资格证明、保证金等进行审查，以确定供应商是否具备谈判资格。资格性检查资料表如下：</w:t>
      </w:r>
    </w:p>
    <w:tbl>
      <w:tblPr>
        <w:tblStyle w:val="57"/>
        <w:tblpPr w:leftFromText="180" w:rightFromText="180" w:vertAnchor="text" w:tblpXSpec="center" w:tblpY="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67"/>
        <w:gridCol w:w="2268"/>
        <w:gridCol w:w="5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60" w:lineRule="auto"/>
              <w:jc w:val="center"/>
              <w:rPr>
                <w:rFonts w:ascii="宋体" w:hAnsi="宋体" w:cs="宋体"/>
                <w:color w:val="000000" w:themeColor="text1"/>
                <w:kern w:val="0"/>
                <w:szCs w:val="28"/>
                <w14:textFill>
                  <w14:solidFill>
                    <w14:schemeClr w14:val="tx1"/>
                  </w14:solidFill>
                </w14:textFill>
              </w:rPr>
            </w:pPr>
            <w:r>
              <w:rPr>
                <w:rFonts w:hint="eastAsia" w:ascii="宋体" w:hAnsi="宋体" w:cs="宋体"/>
                <w:color w:val="000000" w:themeColor="text1"/>
                <w:kern w:val="0"/>
                <w:szCs w:val="28"/>
                <w14:textFill>
                  <w14:solidFill>
                    <w14:schemeClr w14:val="tx1"/>
                  </w14:solidFill>
                </w14:textFill>
              </w:rPr>
              <w:t>序号</w:t>
            </w:r>
          </w:p>
        </w:tc>
        <w:tc>
          <w:tcPr>
            <w:tcW w:w="2835" w:type="dxa"/>
            <w:gridSpan w:val="2"/>
            <w:vAlign w:val="center"/>
          </w:tcPr>
          <w:p>
            <w:pPr>
              <w:spacing w:line="360" w:lineRule="auto"/>
              <w:jc w:val="center"/>
              <w:rPr>
                <w:rFonts w:ascii="宋体" w:hAnsi="宋体" w:cs="宋体"/>
                <w:color w:val="000000" w:themeColor="text1"/>
                <w:kern w:val="0"/>
                <w:szCs w:val="28"/>
                <w14:textFill>
                  <w14:solidFill>
                    <w14:schemeClr w14:val="tx1"/>
                  </w14:solidFill>
                </w14:textFill>
              </w:rPr>
            </w:pPr>
            <w:r>
              <w:rPr>
                <w:rFonts w:hint="eastAsia" w:ascii="宋体" w:hAnsi="宋体" w:cs="宋体"/>
                <w:color w:val="000000" w:themeColor="text1"/>
                <w:kern w:val="0"/>
                <w:szCs w:val="28"/>
                <w14:textFill>
                  <w14:solidFill>
                    <w14:schemeClr w14:val="tx1"/>
                  </w14:solidFill>
                </w14:textFill>
              </w:rPr>
              <w:t>检查因素</w:t>
            </w:r>
          </w:p>
        </w:tc>
        <w:tc>
          <w:tcPr>
            <w:tcW w:w="5976" w:type="dxa"/>
            <w:vAlign w:val="center"/>
          </w:tcPr>
          <w:p>
            <w:pPr>
              <w:spacing w:line="360" w:lineRule="auto"/>
              <w:jc w:val="center"/>
              <w:rPr>
                <w:rFonts w:ascii="宋体" w:hAnsi="宋体" w:cs="宋体"/>
                <w:color w:val="000000" w:themeColor="text1"/>
                <w:kern w:val="0"/>
                <w:szCs w:val="28"/>
                <w14:textFill>
                  <w14:solidFill>
                    <w14:schemeClr w14:val="tx1"/>
                  </w14:solidFill>
                </w14:textFill>
              </w:rPr>
            </w:pPr>
            <w:r>
              <w:rPr>
                <w:rFonts w:hint="eastAsia" w:ascii="宋体" w:hAnsi="宋体" w:cs="宋体"/>
                <w:color w:val="000000" w:themeColor="text1"/>
                <w:kern w:val="0"/>
                <w:szCs w:val="28"/>
                <w14:textFill>
                  <w14:solidFill>
                    <w14:schemeClr w14:val="tx1"/>
                  </w14:solidFill>
                </w14:textFill>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spacing w:line="360" w:lineRule="auto"/>
              <w:jc w:val="center"/>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1</w:t>
            </w:r>
          </w:p>
        </w:tc>
        <w:tc>
          <w:tcPr>
            <w:tcW w:w="567" w:type="dxa"/>
            <w:vMerge w:val="restart"/>
            <w:vAlign w:val="center"/>
          </w:tcPr>
          <w:p>
            <w:pPr>
              <w:spacing w:line="360" w:lineRule="auto"/>
              <w:jc w:val="center"/>
              <w:rPr>
                <w:rFonts w:ascii="宋体" w:hAnsi="宋体" w:cs="宋体"/>
                <w:color w:val="000000" w:themeColor="text1"/>
                <w:szCs w:val="28"/>
                <w:lang w:val="zh-CN"/>
                <w14:textFill>
                  <w14:solidFill>
                    <w14:schemeClr w14:val="tx1"/>
                  </w14:solidFill>
                </w14:textFill>
              </w:rPr>
            </w:pPr>
            <w:r>
              <w:rPr>
                <w:rFonts w:hint="eastAsia" w:ascii="宋体" w:hAnsi="宋体" w:cs="宋体"/>
                <w:color w:val="000000" w:themeColor="text1"/>
                <w:szCs w:val="28"/>
                <w:lang w:val="zh-CN"/>
                <w14:textFill>
                  <w14:solidFill>
                    <w14:schemeClr w14:val="tx1"/>
                  </w14:solidFill>
                </w14:textFill>
              </w:rPr>
              <w:t>供</w:t>
            </w:r>
          </w:p>
          <w:p>
            <w:pPr>
              <w:spacing w:line="360" w:lineRule="auto"/>
              <w:jc w:val="center"/>
              <w:rPr>
                <w:rFonts w:ascii="宋体" w:hAnsi="宋体" w:cs="宋体"/>
                <w:color w:val="000000" w:themeColor="text1"/>
                <w:szCs w:val="28"/>
                <w:lang w:val="zh-CN"/>
                <w14:textFill>
                  <w14:solidFill>
                    <w14:schemeClr w14:val="tx1"/>
                  </w14:solidFill>
                </w14:textFill>
              </w:rPr>
            </w:pPr>
            <w:r>
              <w:rPr>
                <w:rFonts w:hint="eastAsia" w:ascii="宋体" w:hAnsi="宋体" w:cs="宋体"/>
                <w:color w:val="000000" w:themeColor="text1"/>
                <w:szCs w:val="28"/>
                <w:lang w:val="zh-CN"/>
                <w14:textFill>
                  <w14:solidFill>
                    <w14:schemeClr w14:val="tx1"/>
                  </w14:solidFill>
                </w14:textFill>
              </w:rPr>
              <w:t>应</w:t>
            </w:r>
          </w:p>
          <w:p>
            <w:pPr>
              <w:spacing w:line="360" w:lineRule="auto"/>
              <w:jc w:val="center"/>
              <w:rPr>
                <w:rFonts w:ascii="宋体" w:hAnsi="宋体" w:cs="宋体"/>
                <w:color w:val="000000" w:themeColor="text1"/>
                <w:szCs w:val="28"/>
                <w:lang w:val="zh-CN"/>
                <w14:textFill>
                  <w14:solidFill>
                    <w14:schemeClr w14:val="tx1"/>
                  </w14:solidFill>
                </w14:textFill>
              </w:rPr>
            </w:pPr>
            <w:r>
              <w:rPr>
                <w:rFonts w:hint="eastAsia" w:ascii="宋体" w:hAnsi="宋体" w:cs="宋体"/>
                <w:color w:val="000000" w:themeColor="text1"/>
                <w:szCs w:val="28"/>
                <w:lang w:val="zh-CN"/>
                <w14:textFill>
                  <w14:solidFill>
                    <w14:schemeClr w14:val="tx1"/>
                  </w14:solidFill>
                </w14:textFill>
              </w:rPr>
              <w:t>商</w:t>
            </w:r>
          </w:p>
          <w:p>
            <w:pPr>
              <w:spacing w:line="360" w:lineRule="auto"/>
              <w:jc w:val="center"/>
              <w:rPr>
                <w:rFonts w:ascii="宋体" w:hAnsi="宋体" w:cs="宋体"/>
                <w:color w:val="000000" w:themeColor="text1"/>
                <w:szCs w:val="28"/>
                <w:lang w:val="zh-CN"/>
                <w14:textFill>
                  <w14:solidFill>
                    <w14:schemeClr w14:val="tx1"/>
                  </w14:solidFill>
                </w14:textFill>
              </w:rPr>
            </w:pPr>
            <w:r>
              <w:rPr>
                <w:rFonts w:hint="eastAsia" w:ascii="宋体" w:hAnsi="宋体" w:cs="宋体"/>
                <w:color w:val="000000" w:themeColor="text1"/>
                <w:szCs w:val="28"/>
                <w:lang w:val="zh-CN"/>
                <w14:textFill>
                  <w14:solidFill>
                    <w14:schemeClr w14:val="tx1"/>
                  </w14:solidFill>
                </w14:textFill>
              </w:rPr>
              <w:t>基</w:t>
            </w:r>
          </w:p>
          <w:p>
            <w:pPr>
              <w:spacing w:line="360" w:lineRule="auto"/>
              <w:jc w:val="center"/>
              <w:rPr>
                <w:rFonts w:ascii="宋体" w:hAnsi="宋体" w:cs="宋体"/>
                <w:color w:val="000000" w:themeColor="text1"/>
                <w:szCs w:val="28"/>
                <w:lang w:val="zh-CN"/>
                <w14:textFill>
                  <w14:solidFill>
                    <w14:schemeClr w14:val="tx1"/>
                  </w14:solidFill>
                </w14:textFill>
              </w:rPr>
            </w:pPr>
            <w:r>
              <w:rPr>
                <w:rFonts w:hint="eastAsia" w:ascii="宋体" w:hAnsi="宋体" w:cs="宋体"/>
                <w:color w:val="000000" w:themeColor="text1"/>
                <w:szCs w:val="28"/>
                <w:lang w:val="zh-CN"/>
                <w14:textFill>
                  <w14:solidFill>
                    <w14:schemeClr w14:val="tx1"/>
                  </w14:solidFill>
                </w14:textFill>
              </w:rPr>
              <w:t>本</w:t>
            </w:r>
          </w:p>
          <w:p>
            <w:pPr>
              <w:spacing w:line="360" w:lineRule="auto"/>
              <w:jc w:val="center"/>
              <w:rPr>
                <w:rFonts w:ascii="宋体" w:hAnsi="宋体" w:cs="宋体"/>
                <w:color w:val="000000" w:themeColor="text1"/>
                <w:szCs w:val="28"/>
                <w:lang w:val="zh-CN"/>
                <w14:textFill>
                  <w14:solidFill>
                    <w14:schemeClr w14:val="tx1"/>
                  </w14:solidFill>
                </w14:textFill>
              </w:rPr>
            </w:pPr>
            <w:r>
              <w:rPr>
                <w:rFonts w:hint="eastAsia" w:ascii="宋体" w:hAnsi="宋体" w:cs="宋体"/>
                <w:color w:val="000000" w:themeColor="text1"/>
                <w:szCs w:val="28"/>
                <w:lang w:val="zh-CN"/>
                <w14:textFill>
                  <w14:solidFill>
                    <w14:schemeClr w14:val="tx1"/>
                  </w14:solidFill>
                </w14:textFill>
              </w:rPr>
              <w:t>资</w:t>
            </w:r>
          </w:p>
          <w:p>
            <w:pPr>
              <w:spacing w:line="360" w:lineRule="auto"/>
              <w:jc w:val="center"/>
              <w:rPr>
                <w:rFonts w:ascii="宋体" w:hAnsi="宋体" w:cs="宋体"/>
                <w:color w:val="000000" w:themeColor="text1"/>
                <w:szCs w:val="28"/>
                <w:lang w:val="zh-CN"/>
                <w14:textFill>
                  <w14:solidFill>
                    <w14:schemeClr w14:val="tx1"/>
                  </w14:solidFill>
                </w14:textFill>
              </w:rPr>
            </w:pPr>
            <w:r>
              <w:rPr>
                <w:rFonts w:hint="eastAsia" w:ascii="宋体" w:hAnsi="宋体" w:cs="宋体"/>
                <w:color w:val="000000" w:themeColor="text1"/>
                <w:szCs w:val="28"/>
                <w:lang w:val="zh-CN"/>
                <w14:textFill>
                  <w14:solidFill>
                    <w14:schemeClr w14:val="tx1"/>
                  </w14:solidFill>
                </w14:textFill>
              </w:rPr>
              <w:t>格</w:t>
            </w:r>
          </w:p>
          <w:p>
            <w:pPr>
              <w:spacing w:line="360" w:lineRule="auto"/>
              <w:jc w:val="center"/>
              <w:rPr>
                <w:rFonts w:ascii="宋体" w:hAnsi="宋体" w:cs="宋体"/>
                <w:color w:val="000000" w:themeColor="text1"/>
                <w:szCs w:val="28"/>
                <w:lang w:val="zh-CN"/>
                <w14:textFill>
                  <w14:solidFill>
                    <w14:schemeClr w14:val="tx1"/>
                  </w14:solidFill>
                </w14:textFill>
              </w:rPr>
            </w:pPr>
            <w:r>
              <w:rPr>
                <w:rFonts w:hint="eastAsia" w:ascii="宋体" w:hAnsi="宋体" w:cs="宋体"/>
                <w:color w:val="000000" w:themeColor="text1"/>
                <w:szCs w:val="28"/>
                <w:lang w:val="zh-CN"/>
                <w14:textFill>
                  <w14:solidFill>
                    <w14:schemeClr w14:val="tx1"/>
                  </w14:solidFill>
                </w14:textFill>
              </w:rPr>
              <w:t>条</w:t>
            </w:r>
          </w:p>
          <w:p>
            <w:pPr>
              <w:spacing w:line="360" w:lineRule="auto"/>
              <w:jc w:val="center"/>
              <w:rPr>
                <w:rFonts w:ascii="宋体" w:hAnsi="宋体" w:cs="宋体"/>
                <w:color w:val="000000" w:themeColor="text1"/>
                <w:szCs w:val="28"/>
                <w:lang w:val="zh-CN"/>
                <w14:textFill>
                  <w14:solidFill>
                    <w14:schemeClr w14:val="tx1"/>
                  </w14:solidFill>
                </w14:textFill>
              </w:rPr>
            </w:pPr>
            <w:r>
              <w:rPr>
                <w:rFonts w:hint="eastAsia" w:ascii="宋体" w:hAnsi="宋体" w:cs="宋体"/>
                <w:color w:val="000000" w:themeColor="text1"/>
                <w:szCs w:val="28"/>
                <w:lang w:val="zh-CN"/>
                <w14:textFill>
                  <w14:solidFill>
                    <w14:schemeClr w14:val="tx1"/>
                  </w14:solidFill>
                </w14:textFill>
              </w:rPr>
              <w:t>件</w:t>
            </w:r>
          </w:p>
        </w:tc>
        <w:tc>
          <w:tcPr>
            <w:tcW w:w="2268" w:type="dxa"/>
            <w:vAlign w:val="center"/>
          </w:tcPr>
          <w:p>
            <w:pPr>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（1）具有独立承担民事责任的能力</w:t>
            </w:r>
          </w:p>
        </w:tc>
        <w:tc>
          <w:tcPr>
            <w:tcW w:w="5976" w:type="dxa"/>
            <w:vAlign w:val="center"/>
          </w:tcPr>
          <w:p>
            <w:pPr>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①供应商法人营业执照（副本）或事业单位法人证书（副本）或个体工商户营业执照或有效的自然人身份证明、组织机构代码证复印件（注</w:t>
            </w:r>
            <w:r>
              <w:rPr>
                <w:rFonts w:hint="eastAsia" w:ascii="宋体" w:hAnsi="宋体" w:cs="宋体"/>
                <w:color w:val="000000" w:themeColor="text1"/>
                <w:kern w:val="0"/>
                <w:szCs w:val="28"/>
                <w14:textFill>
                  <w14:solidFill>
                    <w14:schemeClr w14:val="tx1"/>
                  </w14:solidFill>
                </w14:textFill>
              </w:rPr>
              <w:t>1</w:t>
            </w:r>
            <w:r>
              <w:rPr>
                <w:rFonts w:hint="eastAsia" w:ascii="宋体" w:hAnsi="宋体" w:cs="宋体"/>
                <w:color w:val="000000" w:themeColor="text1"/>
                <w:szCs w:val="28"/>
                <w14:textFill>
                  <w14:solidFill>
                    <w14:schemeClr w14:val="tx1"/>
                  </w14:solidFill>
                </w14:textFill>
              </w:rPr>
              <w:t xml:space="preserve">）； </w:t>
            </w:r>
          </w:p>
          <w:p>
            <w:pPr>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②供应商法定代表人身份证明和法定代表人授权代表委托书。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spacing w:line="360" w:lineRule="auto"/>
              <w:jc w:val="center"/>
              <w:rPr>
                <w:rFonts w:ascii="宋体" w:hAnsi="宋体" w:cs="宋体"/>
                <w:color w:val="000000" w:themeColor="text1"/>
                <w:szCs w:val="28"/>
                <w14:textFill>
                  <w14:solidFill>
                    <w14:schemeClr w14:val="tx1"/>
                  </w14:solidFill>
                </w14:textFill>
              </w:rPr>
            </w:pPr>
          </w:p>
        </w:tc>
        <w:tc>
          <w:tcPr>
            <w:tcW w:w="567" w:type="dxa"/>
            <w:vMerge w:val="continue"/>
            <w:vAlign w:val="center"/>
          </w:tcPr>
          <w:p>
            <w:pPr>
              <w:spacing w:line="360" w:lineRule="auto"/>
              <w:rPr>
                <w:rFonts w:ascii="宋体" w:hAnsi="宋体" w:cs="宋体"/>
                <w:color w:val="000000" w:themeColor="text1"/>
                <w:szCs w:val="28"/>
                <w:lang w:val="zh-CN"/>
                <w14:textFill>
                  <w14:solidFill>
                    <w14:schemeClr w14:val="tx1"/>
                  </w14:solidFill>
                </w14:textFill>
              </w:rPr>
            </w:pPr>
          </w:p>
        </w:tc>
        <w:tc>
          <w:tcPr>
            <w:tcW w:w="2268" w:type="dxa"/>
            <w:vAlign w:val="center"/>
          </w:tcPr>
          <w:p>
            <w:pPr>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lang w:val="zh-CN"/>
                <w14:textFill>
                  <w14:solidFill>
                    <w14:schemeClr w14:val="tx1"/>
                  </w14:solidFill>
                </w14:textFill>
              </w:rPr>
              <w:t>（2）</w:t>
            </w:r>
            <w:r>
              <w:rPr>
                <w:rFonts w:hint="eastAsia" w:ascii="宋体" w:hAnsi="宋体" w:cs="宋体"/>
                <w:color w:val="000000" w:themeColor="text1"/>
                <w:szCs w:val="28"/>
                <w14:textFill>
                  <w14:solidFill>
                    <w14:schemeClr w14:val="tx1"/>
                  </w14:solidFill>
                </w14:textFill>
              </w:rPr>
              <w:t>具有良好的商业信誉和健全的财务会计制度</w:t>
            </w:r>
          </w:p>
        </w:tc>
        <w:tc>
          <w:tcPr>
            <w:tcW w:w="5976" w:type="dxa"/>
            <w:vAlign w:val="center"/>
          </w:tcPr>
          <w:p>
            <w:pPr>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①提供2022年度财务状况报告（表）或其基本开户银行出具的资信证明复印件，本年度新成立或成立不满一年的组织和自然人无法提供财务状况报告（表）的，可提供银行出具的资信证明复印件。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spacing w:line="360" w:lineRule="auto"/>
              <w:jc w:val="center"/>
              <w:rPr>
                <w:rFonts w:ascii="宋体" w:hAnsi="宋体" w:cs="宋体"/>
                <w:color w:val="000000" w:themeColor="text1"/>
                <w:szCs w:val="28"/>
                <w14:textFill>
                  <w14:solidFill>
                    <w14:schemeClr w14:val="tx1"/>
                  </w14:solidFill>
                </w14:textFill>
              </w:rPr>
            </w:pPr>
          </w:p>
        </w:tc>
        <w:tc>
          <w:tcPr>
            <w:tcW w:w="567" w:type="dxa"/>
            <w:vMerge w:val="continue"/>
            <w:vAlign w:val="center"/>
          </w:tcPr>
          <w:p>
            <w:pPr>
              <w:spacing w:line="360" w:lineRule="auto"/>
              <w:rPr>
                <w:rFonts w:ascii="宋体" w:hAnsi="宋体" w:cs="宋体"/>
                <w:color w:val="000000" w:themeColor="text1"/>
                <w:szCs w:val="28"/>
                <w:lang w:val="zh-CN"/>
                <w14:textFill>
                  <w14:solidFill>
                    <w14:schemeClr w14:val="tx1"/>
                  </w14:solidFill>
                </w14:textFill>
              </w:rPr>
            </w:pPr>
          </w:p>
        </w:tc>
        <w:tc>
          <w:tcPr>
            <w:tcW w:w="2268" w:type="dxa"/>
            <w:vAlign w:val="center"/>
          </w:tcPr>
          <w:p>
            <w:pPr>
              <w:spacing w:line="360" w:lineRule="auto"/>
              <w:rPr>
                <w:rFonts w:ascii="宋体" w:hAnsi="宋体" w:cs="宋体"/>
                <w:color w:val="000000" w:themeColor="text1"/>
                <w:szCs w:val="28"/>
                <w:lang w:val="zh-CN"/>
                <w14:textFill>
                  <w14:solidFill>
                    <w14:schemeClr w14:val="tx1"/>
                  </w14:solidFill>
                </w14:textFill>
              </w:rPr>
            </w:pPr>
            <w:r>
              <w:rPr>
                <w:rFonts w:hint="eastAsia" w:ascii="宋体" w:hAnsi="宋体" w:cs="宋体"/>
                <w:color w:val="000000" w:themeColor="text1"/>
                <w:szCs w:val="28"/>
                <w:lang w:val="zh-CN"/>
                <w14:textFill>
                  <w14:solidFill>
                    <w14:schemeClr w14:val="tx1"/>
                  </w14:solidFill>
                </w14:textFill>
              </w:rPr>
              <w:t>（3）具有履行合同所必需的设备和专业技术能力</w:t>
            </w:r>
          </w:p>
        </w:tc>
        <w:tc>
          <w:tcPr>
            <w:tcW w:w="5976" w:type="dxa"/>
            <w:vAlign w:val="center"/>
          </w:tcPr>
          <w:p>
            <w:pPr>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①供应商提供书面声明或相关证明材料（见格式文件）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spacing w:line="360" w:lineRule="auto"/>
              <w:jc w:val="center"/>
              <w:rPr>
                <w:rFonts w:ascii="宋体" w:hAnsi="宋体" w:cs="宋体"/>
                <w:color w:val="000000" w:themeColor="text1"/>
                <w:szCs w:val="28"/>
                <w14:textFill>
                  <w14:solidFill>
                    <w14:schemeClr w14:val="tx1"/>
                  </w14:solidFill>
                </w14:textFill>
              </w:rPr>
            </w:pPr>
          </w:p>
        </w:tc>
        <w:tc>
          <w:tcPr>
            <w:tcW w:w="567" w:type="dxa"/>
            <w:vMerge w:val="continue"/>
            <w:vAlign w:val="center"/>
          </w:tcPr>
          <w:p>
            <w:pPr>
              <w:spacing w:line="360" w:lineRule="auto"/>
              <w:rPr>
                <w:rFonts w:ascii="宋体" w:hAnsi="宋体" w:cs="宋体"/>
                <w:color w:val="000000" w:themeColor="text1"/>
                <w:szCs w:val="28"/>
                <w:lang w:val="zh-CN"/>
                <w14:textFill>
                  <w14:solidFill>
                    <w14:schemeClr w14:val="tx1"/>
                  </w14:solidFill>
                </w14:textFill>
              </w:rPr>
            </w:pPr>
          </w:p>
        </w:tc>
        <w:tc>
          <w:tcPr>
            <w:tcW w:w="2268" w:type="dxa"/>
            <w:vAlign w:val="center"/>
          </w:tcPr>
          <w:p>
            <w:pPr>
              <w:spacing w:line="360" w:lineRule="auto"/>
              <w:rPr>
                <w:rFonts w:ascii="宋体" w:hAnsi="宋体" w:cs="宋体"/>
                <w:color w:val="000000" w:themeColor="text1"/>
                <w:szCs w:val="28"/>
                <w:lang w:val="zh-CN"/>
                <w14:textFill>
                  <w14:solidFill>
                    <w14:schemeClr w14:val="tx1"/>
                  </w14:solidFill>
                </w14:textFill>
              </w:rPr>
            </w:pPr>
            <w:r>
              <w:rPr>
                <w:rFonts w:hint="eastAsia" w:ascii="宋体" w:hAnsi="宋体" w:cs="宋体"/>
                <w:color w:val="000000" w:themeColor="text1"/>
                <w:szCs w:val="28"/>
                <w:lang w:val="zh-CN"/>
                <w14:textFill>
                  <w14:solidFill>
                    <w14:schemeClr w14:val="tx1"/>
                  </w14:solidFill>
                </w14:textFill>
              </w:rPr>
              <w:t>（4）有依法缴纳税收和社会保障金的良好记录</w:t>
            </w:r>
          </w:p>
        </w:tc>
        <w:tc>
          <w:tcPr>
            <w:tcW w:w="5976" w:type="dxa"/>
            <w:vAlign w:val="center"/>
          </w:tcPr>
          <w:p>
            <w:pPr>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①税务登记证（副本）复印件（注</w:t>
            </w:r>
            <w:r>
              <w:rPr>
                <w:rFonts w:hint="eastAsia" w:ascii="宋体" w:hAnsi="宋体" w:cs="宋体"/>
                <w:color w:val="000000" w:themeColor="text1"/>
                <w:kern w:val="0"/>
                <w:szCs w:val="28"/>
                <w14:textFill>
                  <w14:solidFill>
                    <w14:schemeClr w14:val="tx1"/>
                  </w14:solidFill>
                </w14:textFill>
              </w:rPr>
              <w:t>2</w:t>
            </w:r>
            <w:r>
              <w:rPr>
                <w:rFonts w:hint="eastAsia" w:ascii="宋体" w:hAnsi="宋体" w:cs="宋体"/>
                <w:color w:val="000000" w:themeColor="text1"/>
                <w:szCs w:val="28"/>
                <w14:textFill>
                  <w14:solidFill>
                    <w14:schemeClr w14:val="tx1"/>
                  </w14:solidFill>
                </w14:textFill>
              </w:rPr>
              <w:t>）</w:t>
            </w:r>
          </w:p>
          <w:p>
            <w:pPr>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②缴纳社会保障金的证明材料复印件（缴纳社会保障金的证明材料指：社会保险登记证（注2）或缴纳社会保险的凭据（专用收据或社会保险缴纳清单）。</w:t>
            </w:r>
          </w:p>
          <w:p>
            <w:pPr>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③依法免税或不需要缴纳社会保障资金的供应商，应提供相应文件证明其依法免税或不需要缴纳社会保障资金）。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spacing w:line="360" w:lineRule="auto"/>
              <w:jc w:val="center"/>
              <w:rPr>
                <w:rFonts w:ascii="宋体" w:hAnsi="宋体" w:cs="宋体"/>
                <w:color w:val="000000" w:themeColor="text1"/>
                <w:szCs w:val="28"/>
                <w14:textFill>
                  <w14:solidFill>
                    <w14:schemeClr w14:val="tx1"/>
                  </w14:solidFill>
                </w14:textFill>
              </w:rPr>
            </w:pPr>
          </w:p>
        </w:tc>
        <w:tc>
          <w:tcPr>
            <w:tcW w:w="567" w:type="dxa"/>
            <w:vMerge w:val="continue"/>
            <w:vAlign w:val="center"/>
          </w:tcPr>
          <w:p>
            <w:pPr>
              <w:spacing w:line="360" w:lineRule="auto"/>
              <w:rPr>
                <w:rFonts w:ascii="宋体" w:hAnsi="宋体" w:cs="宋体"/>
                <w:color w:val="000000" w:themeColor="text1"/>
                <w:szCs w:val="28"/>
                <w:lang w:val="zh-CN"/>
                <w14:textFill>
                  <w14:solidFill>
                    <w14:schemeClr w14:val="tx1"/>
                  </w14:solidFill>
                </w14:textFill>
              </w:rPr>
            </w:pPr>
          </w:p>
        </w:tc>
        <w:tc>
          <w:tcPr>
            <w:tcW w:w="2268" w:type="dxa"/>
            <w:vAlign w:val="center"/>
          </w:tcPr>
          <w:p>
            <w:pPr>
              <w:spacing w:line="360" w:lineRule="auto"/>
              <w:rPr>
                <w:rFonts w:ascii="宋体" w:hAnsi="宋体" w:cs="宋体"/>
                <w:color w:val="000000" w:themeColor="text1"/>
                <w:szCs w:val="28"/>
                <w:lang w:val="zh-CN"/>
                <w14:textFill>
                  <w14:solidFill>
                    <w14:schemeClr w14:val="tx1"/>
                  </w14:solidFill>
                </w14:textFill>
              </w:rPr>
            </w:pPr>
            <w:r>
              <w:rPr>
                <w:rFonts w:hint="eastAsia" w:ascii="宋体" w:hAnsi="宋体" w:cs="宋体"/>
                <w:color w:val="000000" w:themeColor="text1"/>
                <w:szCs w:val="28"/>
                <w14:textFill>
                  <w14:solidFill>
                    <w14:schemeClr w14:val="tx1"/>
                  </w14:solidFill>
                </w14:textFill>
              </w:rPr>
              <w:t>（5）参加政府采购活动前三年内，在经营活动中没有重大违法记录（注</w:t>
            </w:r>
            <w:r>
              <w:rPr>
                <w:rFonts w:hint="eastAsia" w:ascii="宋体" w:hAnsi="宋体" w:cs="宋体"/>
                <w:color w:val="000000" w:themeColor="text1"/>
                <w:kern w:val="0"/>
                <w:szCs w:val="28"/>
                <w14:textFill>
                  <w14:solidFill>
                    <w14:schemeClr w14:val="tx1"/>
                  </w14:solidFill>
                </w14:textFill>
              </w:rPr>
              <w:t>2</w:t>
            </w:r>
            <w:r>
              <w:rPr>
                <w:rFonts w:hint="eastAsia" w:ascii="宋体" w:hAnsi="宋体" w:cs="宋体"/>
                <w:color w:val="000000" w:themeColor="text1"/>
                <w:szCs w:val="28"/>
                <w14:textFill>
                  <w14:solidFill>
                    <w14:schemeClr w14:val="tx1"/>
                  </w14:solidFill>
                </w14:textFill>
              </w:rPr>
              <w:t>）</w:t>
            </w:r>
          </w:p>
        </w:tc>
        <w:tc>
          <w:tcPr>
            <w:tcW w:w="5976" w:type="dxa"/>
            <w:vAlign w:val="center"/>
          </w:tcPr>
          <w:p>
            <w:pPr>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①供应商提供书面声明（见格式文件）；</w:t>
            </w:r>
          </w:p>
          <w:p>
            <w:pPr>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②采购人或采购代理机构将通过 “信用中国”网站(www.creditchina.gov.cn)、"中国政府采购网"(www.ccgp.gov.cn)等渠道查询供应商信用记录，对列入失信被执行人、重大税收违法案件当事人名单、政府采购严重违法失信行为记录名单的供应商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817" w:type="dxa"/>
            <w:vMerge w:val="continue"/>
            <w:vAlign w:val="center"/>
          </w:tcPr>
          <w:p>
            <w:pPr>
              <w:spacing w:line="360" w:lineRule="auto"/>
              <w:jc w:val="center"/>
              <w:rPr>
                <w:rFonts w:ascii="宋体" w:hAnsi="宋体" w:cs="宋体"/>
                <w:color w:val="000000" w:themeColor="text1"/>
                <w:szCs w:val="28"/>
                <w14:textFill>
                  <w14:solidFill>
                    <w14:schemeClr w14:val="tx1"/>
                  </w14:solidFill>
                </w14:textFill>
              </w:rPr>
            </w:pPr>
          </w:p>
        </w:tc>
        <w:tc>
          <w:tcPr>
            <w:tcW w:w="567" w:type="dxa"/>
            <w:vMerge w:val="continue"/>
            <w:vAlign w:val="center"/>
          </w:tcPr>
          <w:p>
            <w:pPr>
              <w:spacing w:line="360" w:lineRule="auto"/>
              <w:rPr>
                <w:rFonts w:ascii="宋体" w:hAnsi="宋体" w:cs="宋体"/>
                <w:color w:val="000000" w:themeColor="text1"/>
                <w:szCs w:val="28"/>
                <w14:textFill>
                  <w14:solidFill>
                    <w14:schemeClr w14:val="tx1"/>
                  </w14:solidFill>
                </w14:textFill>
              </w:rPr>
            </w:pPr>
          </w:p>
        </w:tc>
        <w:tc>
          <w:tcPr>
            <w:tcW w:w="2268" w:type="dxa"/>
            <w:vAlign w:val="center"/>
          </w:tcPr>
          <w:p>
            <w:pPr>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（6）法律、行政法规规定的其他条件</w:t>
            </w:r>
          </w:p>
        </w:tc>
        <w:tc>
          <w:tcPr>
            <w:tcW w:w="5976" w:type="dxa"/>
            <w:vAlign w:val="center"/>
          </w:tcPr>
          <w:p>
            <w:pPr>
              <w:spacing w:line="360" w:lineRule="auto"/>
              <w:rPr>
                <w:rFonts w:ascii="宋体" w:hAnsi="宋体" w:cs="宋体"/>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60" w:lineRule="auto"/>
              <w:jc w:val="center"/>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2</w:t>
            </w:r>
          </w:p>
        </w:tc>
        <w:tc>
          <w:tcPr>
            <w:tcW w:w="2835" w:type="dxa"/>
            <w:gridSpan w:val="2"/>
            <w:vAlign w:val="center"/>
          </w:tcPr>
          <w:p>
            <w:pPr>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特定资格条件</w:t>
            </w:r>
          </w:p>
        </w:tc>
        <w:tc>
          <w:tcPr>
            <w:tcW w:w="5976" w:type="dxa"/>
            <w:vAlign w:val="center"/>
          </w:tcPr>
          <w:p>
            <w:pPr>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17" w:type="dxa"/>
            <w:vAlign w:val="center"/>
          </w:tcPr>
          <w:p>
            <w:pPr>
              <w:spacing w:line="360" w:lineRule="auto"/>
              <w:jc w:val="center"/>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3</w:t>
            </w:r>
          </w:p>
        </w:tc>
        <w:tc>
          <w:tcPr>
            <w:tcW w:w="2835" w:type="dxa"/>
            <w:gridSpan w:val="2"/>
            <w:vAlign w:val="center"/>
          </w:tcPr>
          <w:p>
            <w:pPr>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保证金</w:t>
            </w:r>
          </w:p>
        </w:tc>
        <w:tc>
          <w:tcPr>
            <w:tcW w:w="5976" w:type="dxa"/>
            <w:vAlign w:val="center"/>
          </w:tcPr>
          <w:p>
            <w:pPr>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按照竞争性谈判文件要求足额缴纳保证金</w:t>
            </w:r>
          </w:p>
        </w:tc>
      </w:tr>
    </w:tbl>
    <w:p>
      <w:pPr>
        <w:snapToGrid w:val="0"/>
        <w:spacing w:line="360" w:lineRule="auto"/>
        <w:ind w:firstLine="560" w:firstLineChars="200"/>
        <w:rPr>
          <w:rFonts w:ascii="宋体" w:hAnsi="宋体" w:cs="宋体"/>
          <w:color w:val="000000" w:themeColor="text1"/>
          <w:kern w:val="0"/>
          <w:szCs w:val="28"/>
          <w14:textFill>
            <w14:solidFill>
              <w14:schemeClr w14:val="tx1"/>
            </w14:solidFill>
          </w14:textFill>
        </w:rPr>
      </w:pPr>
      <w:r>
        <w:rPr>
          <w:rFonts w:hint="eastAsia" w:ascii="宋体" w:hAnsi="宋体" w:cs="宋体"/>
          <w:color w:val="000000" w:themeColor="text1"/>
          <w:kern w:val="0"/>
          <w:szCs w:val="28"/>
          <w14:textFill>
            <w14:solidFill>
              <w14:schemeClr w14:val="tx1"/>
            </w14:solidFill>
          </w14:textFill>
        </w:rPr>
        <w:t>注1：供应商按“多证合一”登记制度办理营业执照的，组织机构代码证、税务登记证（副本）和社会保险登记证以供应商所提供的营业执照（副本）复印件为准。</w:t>
      </w:r>
    </w:p>
    <w:p>
      <w:pPr>
        <w:snapToGrid w:val="0"/>
        <w:spacing w:line="360" w:lineRule="auto"/>
        <w:ind w:firstLine="560" w:firstLineChars="200"/>
        <w:rPr>
          <w:rFonts w:ascii="宋体" w:hAnsi="宋体" w:cs="宋体"/>
          <w:color w:val="000000" w:themeColor="text1"/>
          <w:kern w:val="0"/>
          <w:szCs w:val="28"/>
          <w14:textFill>
            <w14:solidFill>
              <w14:schemeClr w14:val="tx1"/>
            </w14:solidFill>
          </w14:textFill>
        </w:rPr>
      </w:pPr>
      <w:r>
        <w:rPr>
          <w:rFonts w:hint="eastAsia" w:ascii="宋体" w:hAnsi="宋体" w:cs="宋体"/>
          <w:color w:val="000000" w:themeColor="text1"/>
          <w:kern w:val="0"/>
          <w:szCs w:val="28"/>
          <w14:textFill>
            <w14:solidFill>
              <w14:schemeClr w14:val="tx1"/>
            </w14:solidFill>
          </w14:textFill>
        </w:rPr>
        <w:t>注2：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snapToGrid w:val="0"/>
        <w:spacing w:line="360" w:lineRule="auto"/>
        <w:ind w:firstLine="560" w:firstLineChars="200"/>
        <w:rPr>
          <w:rFonts w:ascii="宋体" w:hAnsi="宋体" w:cs="宋体"/>
          <w:color w:val="000000" w:themeColor="text1"/>
          <w:kern w:val="0"/>
          <w:szCs w:val="28"/>
          <w14:textFill>
            <w14:solidFill>
              <w14:schemeClr w14:val="tx1"/>
            </w14:solidFill>
          </w14:textFill>
        </w:rPr>
      </w:pPr>
      <w:r>
        <w:rPr>
          <w:rFonts w:hint="eastAsia" w:ascii="宋体" w:hAnsi="宋体" w:cs="宋体"/>
          <w:color w:val="000000" w:themeColor="text1"/>
          <w:kern w:val="0"/>
          <w:szCs w:val="28"/>
          <w14:textFill>
            <w14:solidFill>
              <w14:schemeClr w14:val="tx1"/>
            </w14:solidFill>
          </w14:textFill>
        </w:rPr>
        <w:t>2.符合性检查。依据竞争性谈判文件的规定，谈判小组从响应文件的有效性、完整性和对竞争性谈判文件的响应程度进行审查，以确定是否对竞争性谈判文件的实质性要求作出响应。符合性检查资料表如下：</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817" w:type="dxa"/>
            <w:vAlign w:val="center"/>
          </w:tcPr>
          <w:p>
            <w:pPr>
              <w:spacing w:line="360" w:lineRule="auto"/>
              <w:jc w:val="center"/>
              <w:rPr>
                <w:rFonts w:ascii="宋体" w:hAnsi="宋体" w:cs="宋体"/>
                <w:color w:val="000000" w:themeColor="text1"/>
                <w:kern w:val="0"/>
                <w:szCs w:val="28"/>
                <w14:textFill>
                  <w14:solidFill>
                    <w14:schemeClr w14:val="tx1"/>
                  </w14:solidFill>
                </w14:textFill>
              </w:rPr>
            </w:pPr>
            <w:r>
              <w:rPr>
                <w:rFonts w:hint="eastAsia" w:ascii="宋体" w:hAnsi="宋体" w:cs="宋体"/>
                <w:color w:val="000000" w:themeColor="text1"/>
                <w:kern w:val="0"/>
                <w:szCs w:val="28"/>
                <w14:textFill>
                  <w14:solidFill>
                    <w14:schemeClr w14:val="tx1"/>
                  </w14:solidFill>
                </w14:textFill>
              </w:rPr>
              <w:t>序号</w:t>
            </w:r>
          </w:p>
        </w:tc>
        <w:tc>
          <w:tcPr>
            <w:tcW w:w="3402" w:type="dxa"/>
            <w:gridSpan w:val="2"/>
            <w:vAlign w:val="center"/>
          </w:tcPr>
          <w:p>
            <w:pPr>
              <w:spacing w:line="360" w:lineRule="auto"/>
              <w:jc w:val="center"/>
              <w:rPr>
                <w:rFonts w:ascii="宋体" w:hAnsi="宋体" w:cs="宋体"/>
                <w:color w:val="000000" w:themeColor="text1"/>
                <w:kern w:val="0"/>
                <w:szCs w:val="28"/>
                <w14:textFill>
                  <w14:solidFill>
                    <w14:schemeClr w14:val="tx1"/>
                  </w14:solidFill>
                </w14:textFill>
              </w:rPr>
            </w:pPr>
            <w:r>
              <w:rPr>
                <w:rFonts w:hint="eastAsia" w:ascii="宋体" w:hAnsi="宋体" w:cs="宋体"/>
                <w:color w:val="000000" w:themeColor="text1"/>
                <w:kern w:val="0"/>
                <w:szCs w:val="28"/>
                <w14:textFill>
                  <w14:solidFill>
                    <w14:schemeClr w14:val="tx1"/>
                  </w14:solidFill>
                </w14:textFill>
              </w:rPr>
              <w:t>评审因素</w:t>
            </w:r>
          </w:p>
        </w:tc>
        <w:tc>
          <w:tcPr>
            <w:tcW w:w="5409" w:type="dxa"/>
            <w:vAlign w:val="center"/>
          </w:tcPr>
          <w:p>
            <w:pPr>
              <w:spacing w:line="360" w:lineRule="auto"/>
              <w:jc w:val="center"/>
              <w:rPr>
                <w:rFonts w:ascii="宋体" w:hAnsi="宋体" w:cs="宋体"/>
                <w:color w:val="000000" w:themeColor="text1"/>
                <w:kern w:val="0"/>
                <w:szCs w:val="28"/>
                <w14:textFill>
                  <w14:solidFill>
                    <w14:schemeClr w14:val="tx1"/>
                  </w14:solidFill>
                </w14:textFill>
              </w:rPr>
            </w:pPr>
            <w:r>
              <w:rPr>
                <w:rFonts w:hint="eastAsia" w:ascii="宋体" w:hAnsi="宋体" w:cs="宋体"/>
                <w:color w:val="000000" w:themeColor="text1"/>
                <w:kern w:val="0"/>
                <w:szCs w:val="28"/>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7" w:type="dxa"/>
            <w:vMerge w:val="restart"/>
            <w:vAlign w:val="center"/>
          </w:tcPr>
          <w:p>
            <w:pPr>
              <w:spacing w:line="360" w:lineRule="auto"/>
              <w:jc w:val="center"/>
              <w:rPr>
                <w:rFonts w:ascii="宋体" w:hAnsi="宋体" w:cs="宋体"/>
                <w:color w:val="000000" w:themeColor="text1"/>
                <w:kern w:val="0"/>
                <w:szCs w:val="28"/>
                <w14:textFill>
                  <w14:solidFill>
                    <w14:schemeClr w14:val="tx1"/>
                  </w14:solidFill>
                </w14:textFill>
              </w:rPr>
            </w:pPr>
            <w:r>
              <w:rPr>
                <w:rFonts w:hint="eastAsia" w:ascii="宋体" w:hAnsi="宋体" w:cs="宋体"/>
                <w:color w:val="000000" w:themeColor="text1"/>
                <w:kern w:val="0"/>
                <w:szCs w:val="28"/>
                <w14:textFill>
                  <w14:solidFill>
                    <w14:schemeClr w14:val="tx1"/>
                  </w14:solidFill>
                </w14:textFill>
              </w:rPr>
              <w:t>1</w:t>
            </w:r>
          </w:p>
        </w:tc>
        <w:tc>
          <w:tcPr>
            <w:tcW w:w="1418" w:type="dxa"/>
            <w:vMerge w:val="restart"/>
            <w:vAlign w:val="center"/>
          </w:tcPr>
          <w:p>
            <w:pPr>
              <w:spacing w:line="360" w:lineRule="auto"/>
              <w:rPr>
                <w:rFonts w:ascii="宋体" w:hAnsi="宋体" w:cs="宋体"/>
                <w:color w:val="000000" w:themeColor="text1"/>
                <w:kern w:val="0"/>
                <w:szCs w:val="28"/>
                <w14:textFill>
                  <w14:solidFill>
                    <w14:schemeClr w14:val="tx1"/>
                  </w14:solidFill>
                </w14:textFill>
              </w:rPr>
            </w:pPr>
            <w:r>
              <w:rPr>
                <w:rFonts w:hint="eastAsia" w:ascii="宋体" w:hAnsi="宋体" w:cs="宋体"/>
                <w:color w:val="000000" w:themeColor="text1"/>
                <w:kern w:val="0"/>
                <w:szCs w:val="28"/>
                <w14:textFill>
                  <w14:solidFill>
                    <w14:schemeClr w14:val="tx1"/>
                  </w14:solidFill>
                </w14:textFill>
              </w:rPr>
              <w:t>有效性审查</w:t>
            </w:r>
          </w:p>
        </w:tc>
        <w:tc>
          <w:tcPr>
            <w:tcW w:w="1984" w:type="dxa"/>
            <w:vAlign w:val="center"/>
          </w:tcPr>
          <w:p>
            <w:pPr>
              <w:spacing w:line="360" w:lineRule="auto"/>
              <w:rPr>
                <w:rFonts w:ascii="宋体" w:hAnsi="宋体" w:cs="宋体"/>
                <w:color w:val="000000" w:themeColor="text1"/>
                <w:kern w:val="0"/>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响应文件签署</w:t>
            </w:r>
          </w:p>
        </w:tc>
        <w:tc>
          <w:tcPr>
            <w:tcW w:w="5409" w:type="dxa"/>
            <w:vAlign w:val="center"/>
          </w:tcPr>
          <w:p>
            <w:pPr>
              <w:spacing w:line="360" w:lineRule="auto"/>
              <w:rPr>
                <w:rFonts w:ascii="宋体" w:hAnsi="宋体" w:cs="宋体"/>
                <w:color w:val="000000" w:themeColor="text1"/>
                <w:kern w:val="0"/>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817" w:type="dxa"/>
            <w:vMerge w:val="continue"/>
            <w:vAlign w:val="center"/>
          </w:tcPr>
          <w:p>
            <w:pPr>
              <w:spacing w:line="360" w:lineRule="auto"/>
              <w:jc w:val="center"/>
              <w:rPr>
                <w:rFonts w:ascii="宋体" w:hAnsi="宋体" w:cs="宋体"/>
                <w:color w:val="000000" w:themeColor="text1"/>
                <w:kern w:val="0"/>
                <w:szCs w:val="28"/>
                <w14:textFill>
                  <w14:solidFill>
                    <w14:schemeClr w14:val="tx1"/>
                  </w14:solidFill>
                </w14:textFill>
              </w:rPr>
            </w:pPr>
          </w:p>
        </w:tc>
        <w:tc>
          <w:tcPr>
            <w:tcW w:w="1418" w:type="dxa"/>
            <w:vMerge w:val="continue"/>
            <w:vAlign w:val="center"/>
          </w:tcPr>
          <w:p>
            <w:pPr>
              <w:spacing w:line="360" w:lineRule="auto"/>
              <w:rPr>
                <w:rFonts w:ascii="宋体" w:hAnsi="宋体" w:cs="宋体"/>
                <w:color w:val="000000" w:themeColor="text1"/>
                <w:kern w:val="0"/>
                <w:szCs w:val="28"/>
                <w14:textFill>
                  <w14:solidFill>
                    <w14:schemeClr w14:val="tx1"/>
                  </w14:solidFill>
                </w14:textFill>
              </w:rPr>
            </w:pPr>
          </w:p>
        </w:tc>
        <w:tc>
          <w:tcPr>
            <w:tcW w:w="1984" w:type="dxa"/>
            <w:vAlign w:val="center"/>
          </w:tcPr>
          <w:p>
            <w:pPr>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法定代表人身份证明及授权委托书</w:t>
            </w:r>
          </w:p>
        </w:tc>
        <w:tc>
          <w:tcPr>
            <w:tcW w:w="5409" w:type="dxa"/>
            <w:vAlign w:val="center"/>
          </w:tcPr>
          <w:p>
            <w:pPr>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法定代表人身份证明及授权委托书有效，符合竞争性谈判文件规定的格式，签字或盖章齐全。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17" w:type="dxa"/>
            <w:vMerge w:val="continue"/>
            <w:vAlign w:val="center"/>
          </w:tcPr>
          <w:p>
            <w:pPr>
              <w:spacing w:line="360" w:lineRule="auto"/>
              <w:jc w:val="center"/>
              <w:rPr>
                <w:rFonts w:ascii="宋体" w:hAnsi="宋体" w:cs="宋体"/>
                <w:color w:val="000000" w:themeColor="text1"/>
                <w:kern w:val="0"/>
                <w:szCs w:val="28"/>
                <w14:textFill>
                  <w14:solidFill>
                    <w14:schemeClr w14:val="tx1"/>
                  </w14:solidFill>
                </w14:textFill>
              </w:rPr>
            </w:pPr>
          </w:p>
        </w:tc>
        <w:tc>
          <w:tcPr>
            <w:tcW w:w="1418" w:type="dxa"/>
            <w:vMerge w:val="continue"/>
            <w:vAlign w:val="center"/>
          </w:tcPr>
          <w:p>
            <w:pPr>
              <w:spacing w:line="360" w:lineRule="auto"/>
              <w:rPr>
                <w:rFonts w:ascii="宋体" w:hAnsi="宋体" w:cs="宋体"/>
                <w:color w:val="000000" w:themeColor="text1"/>
                <w:kern w:val="0"/>
                <w:szCs w:val="28"/>
                <w14:textFill>
                  <w14:solidFill>
                    <w14:schemeClr w14:val="tx1"/>
                  </w14:solidFill>
                </w14:textFill>
              </w:rPr>
            </w:pPr>
          </w:p>
        </w:tc>
        <w:tc>
          <w:tcPr>
            <w:tcW w:w="1984" w:type="dxa"/>
            <w:vAlign w:val="center"/>
          </w:tcPr>
          <w:p>
            <w:pPr>
              <w:spacing w:line="360" w:lineRule="auto"/>
              <w:rPr>
                <w:rFonts w:ascii="宋体" w:hAnsi="宋体" w:cs="宋体"/>
                <w:color w:val="000000" w:themeColor="text1"/>
                <w:szCs w:val="28"/>
                <w:lang w:val="zh-CN"/>
                <w14:textFill>
                  <w14:solidFill>
                    <w14:schemeClr w14:val="tx1"/>
                  </w14:solidFill>
                </w14:textFill>
              </w:rPr>
            </w:pPr>
            <w:r>
              <w:rPr>
                <w:rFonts w:hint="eastAsia" w:ascii="宋体" w:hAnsi="宋体" w:cs="宋体"/>
                <w:color w:val="000000" w:themeColor="text1"/>
                <w:szCs w:val="28"/>
                <w14:textFill>
                  <w14:solidFill>
                    <w14:schemeClr w14:val="tx1"/>
                  </w14:solidFill>
                </w14:textFill>
              </w:rPr>
              <w:t>响应</w:t>
            </w:r>
            <w:r>
              <w:rPr>
                <w:rFonts w:hint="eastAsia" w:ascii="宋体" w:hAnsi="宋体" w:cs="宋体"/>
                <w:color w:val="000000" w:themeColor="text1"/>
                <w:szCs w:val="28"/>
                <w:lang w:val="zh-CN"/>
                <w14:textFill>
                  <w14:solidFill>
                    <w14:schemeClr w14:val="tx1"/>
                  </w14:solidFill>
                </w14:textFill>
              </w:rPr>
              <w:t>方案</w:t>
            </w:r>
          </w:p>
        </w:tc>
        <w:tc>
          <w:tcPr>
            <w:tcW w:w="5409" w:type="dxa"/>
            <w:vAlign w:val="center"/>
          </w:tcPr>
          <w:p>
            <w:pPr>
              <w:spacing w:line="360" w:lineRule="auto"/>
              <w:rPr>
                <w:rFonts w:ascii="宋体" w:hAnsi="宋体" w:cs="宋体"/>
                <w:color w:val="000000" w:themeColor="text1"/>
                <w:kern w:val="0"/>
                <w:szCs w:val="28"/>
                <w14:textFill>
                  <w14:solidFill>
                    <w14:schemeClr w14:val="tx1"/>
                  </w14:solidFill>
                </w14:textFill>
              </w:rPr>
            </w:pPr>
            <w:r>
              <w:rPr>
                <w:rFonts w:hint="eastAsia" w:ascii="宋体" w:hAnsi="宋体" w:cs="宋体"/>
                <w:color w:val="000000" w:themeColor="text1"/>
                <w:szCs w:val="28"/>
                <w:lang w:val="zh-CN"/>
                <w14:textFill>
                  <w14:solidFill>
                    <w14:schemeClr w14:val="tx1"/>
                  </w14:solidFill>
                </w14:textFill>
              </w:rPr>
              <w:t>只能有一个</w:t>
            </w:r>
            <w:r>
              <w:rPr>
                <w:rFonts w:hint="eastAsia" w:ascii="宋体" w:hAnsi="宋体" w:cs="宋体"/>
                <w:color w:val="000000" w:themeColor="text1"/>
                <w:szCs w:val="28"/>
                <w14:textFill>
                  <w14:solidFill>
                    <w14:schemeClr w14:val="tx1"/>
                  </w14:solidFill>
                </w14:textFill>
              </w:rPr>
              <w:t>响应</w:t>
            </w:r>
            <w:r>
              <w:rPr>
                <w:rFonts w:hint="eastAsia" w:ascii="宋体" w:hAnsi="宋体" w:cs="宋体"/>
                <w:color w:val="000000" w:themeColor="text1"/>
                <w:szCs w:val="28"/>
                <w:lang w:val="zh-CN"/>
                <w14:textFill>
                  <w14:solidFill>
                    <w14:schemeClr w14:val="tx1"/>
                  </w14:solidFill>
                </w14:textFill>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17" w:type="dxa"/>
            <w:vMerge w:val="continue"/>
            <w:vAlign w:val="center"/>
          </w:tcPr>
          <w:p>
            <w:pPr>
              <w:spacing w:line="360" w:lineRule="auto"/>
              <w:jc w:val="center"/>
              <w:rPr>
                <w:rFonts w:ascii="宋体" w:hAnsi="宋体" w:cs="宋体"/>
                <w:color w:val="000000" w:themeColor="text1"/>
                <w:kern w:val="0"/>
                <w:szCs w:val="28"/>
                <w14:textFill>
                  <w14:solidFill>
                    <w14:schemeClr w14:val="tx1"/>
                  </w14:solidFill>
                </w14:textFill>
              </w:rPr>
            </w:pPr>
          </w:p>
        </w:tc>
        <w:tc>
          <w:tcPr>
            <w:tcW w:w="1418" w:type="dxa"/>
            <w:vMerge w:val="continue"/>
            <w:vAlign w:val="center"/>
          </w:tcPr>
          <w:p>
            <w:pPr>
              <w:spacing w:line="360" w:lineRule="auto"/>
              <w:rPr>
                <w:rFonts w:ascii="宋体" w:hAnsi="宋体" w:cs="宋体"/>
                <w:color w:val="000000" w:themeColor="text1"/>
                <w:kern w:val="0"/>
                <w:szCs w:val="28"/>
                <w14:textFill>
                  <w14:solidFill>
                    <w14:schemeClr w14:val="tx1"/>
                  </w14:solidFill>
                </w14:textFill>
              </w:rPr>
            </w:pPr>
          </w:p>
        </w:tc>
        <w:tc>
          <w:tcPr>
            <w:tcW w:w="1984" w:type="dxa"/>
            <w:vAlign w:val="center"/>
          </w:tcPr>
          <w:p>
            <w:pPr>
              <w:spacing w:line="360" w:lineRule="auto"/>
              <w:rPr>
                <w:rFonts w:ascii="宋体" w:hAnsi="宋体" w:cs="宋体"/>
                <w:color w:val="000000" w:themeColor="text1"/>
                <w:szCs w:val="28"/>
                <w:lang w:val="zh-CN"/>
                <w14:textFill>
                  <w14:solidFill>
                    <w14:schemeClr w14:val="tx1"/>
                  </w14:solidFill>
                </w14:textFill>
              </w:rPr>
            </w:pPr>
            <w:r>
              <w:rPr>
                <w:rFonts w:hint="eastAsia" w:ascii="宋体" w:hAnsi="宋体" w:cs="宋体"/>
                <w:color w:val="000000" w:themeColor="text1"/>
                <w:szCs w:val="28"/>
                <w14:textFill>
                  <w14:solidFill>
                    <w14:schemeClr w14:val="tx1"/>
                  </w14:solidFill>
                </w14:textFill>
              </w:rPr>
              <w:t>报价唯一</w:t>
            </w:r>
          </w:p>
        </w:tc>
        <w:tc>
          <w:tcPr>
            <w:tcW w:w="5409" w:type="dxa"/>
            <w:vAlign w:val="center"/>
          </w:tcPr>
          <w:p>
            <w:pPr>
              <w:spacing w:line="360" w:lineRule="auto"/>
              <w:rPr>
                <w:rFonts w:ascii="宋体" w:hAnsi="宋体" w:cs="宋体"/>
                <w:color w:val="000000" w:themeColor="text1"/>
                <w:kern w:val="0"/>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817" w:type="dxa"/>
            <w:vAlign w:val="center"/>
          </w:tcPr>
          <w:p>
            <w:pPr>
              <w:spacing w:line="360" w:lineRule="auto"/>
              <w:jc w:val="center"/>
              <w:rPr>
                <w:rFonts w:ascii="宋体" w:hAnsi="宋体" w:cs="宋体"/>
                <w:color w:val="000000" w:themeColor="text1"/>
                <w:kern w:val="0"/>
                <w:szCs w:val="28"/>
                <w14:textFill>
                  <w14:solidFill>
                    <w14:schemeClr w14:val="tx1"/>
                  </w14:solidFill>
                </w14:textFill>
              </w:rPr>
            </w:pPr>
            <w:r>
              <w:rPr>
                <w:rFonts w:hint="eastAsia" w:ascii="宋体" w:hAnsi="宋体" w:cs="宋体"/>
                <w:color w:val="000000" w:themeColor="text1"/>
                <w:kern w:val="0"/>
                <w:szCs w:val="28"/>
                <w14:textFill>
                  <w14:solidFill>
                    <w14:schemeClr w14:val="tx1"/>
                  </w14:solidFill>
                </w14:textFill>
              </w:rPr>
              <w:t>2</w:t>
            </w:r>
          </w:p>
        </w:tc>
        <w:tc>
          <w:tcPr>
            <w:tcW w:w="1418" w:type="dxa"/>
            <w:vAlign w:val="center"/>
          </w:tcPr>
          <w:p>
            <w:pPr>
              <w:spacing w:line="360" w:lineRule="auto"/>
              <w:rPr>
                <w:rFonts w:ascii="宋体" w:hAnsi="宋体" w:cs="宋体"/>
                <w:color w:val="000000" w:themeColor="text1"/>
                <w:kern w:val="0"/>
                <w:szCs w:val="28"/>
                <w14:textFill>
                  <w14:solidFill>
                    <w14:schemeClr w14:val="tx1"/>
                  </w14:solidFill>
                </w14:textFill>
              </w:rPr>
            </w:pPr>
            <w:r>
              <w:rPr>
                <w:rFonts w:hint="eastAsia" w:ascii="宋体" w:hAnsi="宋体" w:cs="宋体"/>
                <w:color w:val="000000" w:themeColor="text1"/>
                <w:kern w:val="0"/>
                <w:szCs w:val="28"/>
                <w14:textFill>
                  <w14:solidFill>
                    <w14:schemeClr w14:val="tx1"/>
                  </w14:solidFill>
                </w14:textFill>
              </w:rPr>
              <w:t>完整性审查</w:t>
            </w:r>
          </w:p>
        </w:tc>
        <w:tc>
          <w:tcPr>
            <w:tcW w:w="1984" w:type="dxa"/>
            <w:vAlign w:val="center"/>
          </w:tcPr>
          <w:p>
            <w:pPr>
              <w:spacing w:line="360" w:lineRule="auto"/>
              <w:rPr>
                <w:rFonts w:ascii="宋体" w:hAnsi="宋体" w:cs="宋体"/>
                <w:color w:val="000000" w:themeColor="text1"/>
                <w:kern w:val="0"/>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响应</w:t>
            </w:r>
            <w:r>
              <w:rPr>
                <w:rFonts w:hint="eastAsia" w:ascii="宋体" w:hAnsi="宋体" w:cs="宋体"/>
                <w:color w:val="000000" w:themeColor="text1"/>
                <w:szCs w:val="28"/>
                <w:lang w:val="zh-CN"/>
                <w14:textFill>
                  <w14:solidFill>
                    <w14:schemeClr w14:val="tx1"/>
                  </w14:solidFill>
                </w14:textFill>
              </w:rPr>
              <w:t>文件份数</w:t>
            </w:r>
          </w:p>
        </w:tc>
        <w:tc>
          <w:tcPr>
            <w:tcW w:w="5409" w:type="dxa"/>
            <w:vAlign w:val="center"/>
          </w:tcPr>
          <w:p>
            <w:pPr>
              <w:spacing w:line="360" w:lineRule="auto"/>
              <w:rPr>
                <w:rFonts w:ascii="宋体" w:hAnsi="宋体" w:cs="宋体"/>
                <w:color w:val="000000" w:themeColor="text1"/>
                <w:kern w:val="0"/>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响应</w:t>
            </w:r>
            <w:r>
              <w:rPr>
                <w:rFonts w:hint="eastAsia" w:ascii="宋体" w:hAnsi="宋体" w:cs="宋体"/>
                <w:color w:val="000000" w:themeColor="text1"/>
                <w:szCs w:val="28"/>
                <w:lang w:val="zh-CN"/>
                <w14:textFill>
                  <w14:solidFill>
                    <w14:schemeClr w14:val="tx1"/>
                  </w14:solidFill>
                </w14:textFill>
              </w:rPr>
              <w:t>文件正、副本数量（含电子文档）符合</w:t>
            </w:r>
            <w:r>
              <w:rPr>
                <w:rFonts w:hint="eastAsia" w:ascii="宋体" w:hAnsi="宋体" w:cs="宋体"/>
                <w:color w:val="000000" w:themeColor="text1"/>
                <w:szCs w:val="28"/>
                <w14:textFill>
                  <w14:solidFill>
                    <w14:schemeClr w14:val="tx1"/>
                  </w14:solidFill>
                </w14:textFill>
              </w:rPr>
              <w:t>竞争性谈判</w:t>
            </w:r>
            <w:r>
              <w:rPr>
                <w:rFonts w:hint="eastAsia" w:ascii="宋体" w:hAnsi="宋体" w:cs="宋体"/>
                <w:color w:val="000000" w:themeColor="text1"/>
                <w:szCs w:val="28"/>
                <w:lang w:val="zh-CN"/>
                <w14:textFill>
                  <w14:solidFill>
                    <w14:schemeClr w14:val="tx1"/>
                  </w14:solidFill>
                </w14:textFill>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17" w:type="dxa"/>
            <w:vMerge w:val="restart"/>
            <w:vAlign w:val="center"/>
          </w:tcPr>
          <w:p>
            <w:pPr>
              <w:spacing w:line="360" w:lineRule="auto"/>
              <w:jc w:val="center"/>
              <w:rPr>
                <w:rFonts w:ascii="宋体" w:hAnsi="宋体" w:cs="宋体"/>
                <w:color w:val="000000" w:themeColor="text1"/>
                <w:kern w:val="0"/>
                <w:szCs w:val="28"/>
                <w14:textFill>
                  <w14:solidFill>
                    <w14:schemeClr w14:val="tx1"/>
                  </w14:solidFill>
                </w14:textFill>
              </w:rPr>
            </w:pPr>
            <w:r>
              <w:rPr>
                <w:rFonts w:hint="eastAsia" w:ascii="宋体" w:hAnsi="宋体" w:cs="宋体"/>
                <w:color w:val="000000" w:themeColor="text1"/>
                <w:kern w:val="0"/>
                <w:szCs w:val="28"/>
                <w14:textFill>
                  <w14:solidFill>
                    <w14:schemeClr w14:val="tx1"/>
                  </w14:solidFill>
                </w14:textFill>
              </w:rPr>
              <w:t>3</w:t>
            </w:r>
          </w:p>
        </w:tc>
        <w:tc>
          <w:tcPr>
            <w:tcW w:w="1418" w:type="dxa"/>
            <w:vMerge w:val="restart"/>
            <w:vAlign w:val="center"/>
          </w:tcPr>
          <w:p>
            <w:pPr>
              <w:spacing w:line="360" w:lineRule="auto"/>
              <w:rPr>
                <w:rFonts w:ascii="宋体" w:hAnsi="宋体" w:cs="宋体"/>
                <w:color w:val="000000" w:themeColor="text1"/>
                <w:szCs w:val="28"/>
                <w:lang w:val="zh-CN"/>
                <w14:textFill>
                  <w14:solidFill>
                    <w14:schemeClr w14:val="tx1"/>
                  </w14:solidFill>
                </w14:textFill>
              </w:rPr>
            </w:pPr>
            <w:r>
              <w:rPr>
                <w:rFonts w:hint="eastAsia" w:ascii="宋体" w:hAnsi="宋体" w:cs="宋体"/>
                <w:color w:val="000000" w:themeColor="text1"/>
                <w:kern w:val="0"/>
                <w:szCs w:val="28"/>
                <w14:textFill>
                  <w14:solidFill>
                    <w14:schemeClr w14:val="tx1"/>
                  </w14:solidFill>
                </w14:textFill>
              </w:rPr>
              <w:t>竞争性谈判文件的响应程度审查</w:t>
            </w:r>
          </w:p>
        </w:tc>
        <w:tc>
          <w:tcPr>
            <w:tcW w:w="1984" w:type="dxa"/>
            <w:vAlign w:val="center"/>
          </w:tcPr>
          <w:p>
            <w:pPr>
              <w:spacing w:line="360" w:lineRule="auto"/>
              <w:rPr>
                <w:rFonts w:ascii="宋体" w:hAnsi="宋体" w:cs="宋体"/>
                <w:color w:val="000000" w:themeColor="text1"/>
                <w:kern w:val="0"/>
                <w:szCs w:val="28"/>
                <w14:textFill>
                  <w14:solidFill>
                    <w14:schemeClr w14:val="tx1"/>
                  </w14:solidFill>
                </w14:textFill>
              </w:rPr>
            </w:pPr>
            <w:r>
              <w:rPr>
                <w:rFonts w:hint="eastAsia" w:ascii="宋体" w:hAnsi="宋体" w:cs="宋体"/>
                <w:color w:val="000000" w:themeColor="text1"/>
                <w:kern w:val="0"/>
                <w:szCs w:val="28"/>
                <w14:textFill>
                  <w14:solidFill>
                    <w14:schemeClr w14:val="tx1"/>
                  </w14:solidFill>
                </w14:textFill>
              </w:rPr>
              <w:t>响应文件内容</w:t>
            </w:r>
          </w:p>
        </w:tc>
        <w:tc>
          <w:tcPr>
            <w:tcW w:w="5409" w:type="dxa"/>
            <w:vAlign w:val="center"/>
          </w:tcPr>
          <w:p>
            <w:pPr>
              <w:pStyle w:val="33"/>
              <w:spacing w:line="360" w:lineRule="auto"/>
              <w:rPr>
                <w:rFonts w:ascii="宋体" w:hAnsi="宋体" w:cs="宋体"/>
                <w:color w:val="000000" w:themeColor="text1"/>
                <w:kern w:val="0"/>
                <w:szCs w:val="28"/>
                <w14:textFill>
                  <w14:solidFill>
                    <w14:schemeClr w14:val="tx1"/>
                  </w14:solidFill>
                </w14:textFill>
              </w:rPr>
            </w:pPr>
            <w:r>
              <w:rPr>
                <w:rFonts w:hint="eastAsia" w:ascii="宋体" w:hAnsi="宋体" w:cs="宋体"/>
                <w:color w:val="000000" w:themeColor="text1"/>
                <w:kern w:val="0"/>
                <w:szCs w:val="28"/>
                <w14:textFill>
                  <w14:solidFill>
                    <w14:schemeClr w14:val="tx1"/>
                  </w14:solidFill>
                </w14:textFill>
              </w:rPr>
              <w:t>对竞争性谈判文件第三篇规定的谈判内容进行响应。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7" w:type="dxa"/>
            <w:vMerge w:val="continue"/>
            <w:vAlign w:val="center"/>
          </w:tcPr>
          <w:p>
            <w:pPr>
              <w:spacing w:line="360" w:lineRule="auto"/>
              <w:jc w:val="center"/>
              <w:rPr>
                <w:rFonts w:ascii="宋体" w:hAnsi="宋体" w:cs="宋体"/>
                <w:color w:val="000000" w:themeColor="text1"/>
                <w:kern w:val="0"/>
                <w:szCs w:val="28"/>
                <w14:textFill>
                  <w14:solidFill>
                    <w14:schemeClr w14:val="tx1"/>
                  </w14:solidFill>
                </w14:textFill>
              </w:rPr>
            </w:pPr>
          </w:p>
        </w:tc>
        <w:tc>
          <w:tcPr>
            <w:tcW w:w="1418" w:type="dxa"/>
            <w:vMerge w:val="continue"/>
            <w:vAlign w:val="center"/>
          </w:tcPr>
          <w:p>
            <w:pPr>
              <w:spacing w:line="360" w:lineRule="auto"/>
              <w:rPr>
                <w:rFonts w:ascii="宋体" w:hAnsi="宋体" w:cs="宋体"/>
                <w:color w:val="000000" w:themeColor="text1"/>
                <w:szCs w:val="28"/>
                <w:lang w:val="zh-CN"/>
                <w14:textFill>
                  <w14:solidFill>
                    <w14:schemeClr w14:val="tx1"/>
                  </w14:solidFill>
                </w14:textFill>
              </w:rPr>
            </w:pPr>
          </w:p>
        </w:tc>
        <w:tc>
          <w:tcPr>
            <w:tcW w:w="1984" w:type="dxa"/>
            <w:vAlign w:val="center"/>
          </w:tcPr>
          <w:p>
            <w:pPr>
              <w:spacing w:line="360" w:lineRule="auto"/>
              <w:rPr>
                <w:rFonts w:ascii="宋体" w:hAnsi="宋体" w:cs="宋体"/>
                <w:color w:val="000000" w:themeColor="text1"/>
                <w:kern w:val="0"/>
                <w:szCs w:val="28"/>
                <w14:textFill>
                  <w14:solidFill>
                    <w14:schemeClr w14:val="tx1"/>
                  </w14:solidFill>
                </w14:textFill>
              </w:rPr>
            </w:pPr>
            <w:r>
              <w:rPr>
                <w:rFonts w:hint="eastAsia" w:ascii="宋体" w:hAnsi="宋体" w:cs="宋体"/>
                <w:color w:val="000000" w:themeColor="text1"/>
                <w:kern w:val="0"/>
                <w:szCs w:val="28"/>
                <w14:textFill>
                  <w14:solidFill>
                    <w14:schemeClr w14:val="tx1"/>
                  </w14:solidFill>
                </w14:textFill>
              </w:rPr>
              <w:t>谈判有效期</w:t>
            </w:r>
          </w:p>
        </w:tc>
        <w:tc>
          <w:tcPr>
            <w:tcW w:w="5409" w:type="dxa"/>
            <w:vAlign w:val="center"/>
          </w:tcPr>
          <w:p>
            <w:pPr>
              <w:spacing w:line="360" w:lineRule="auto"/>
              <w:rPr>
                <w:rFonts w:ascii="宋体" w:hAnsi="宋体" w:cs="宋体"/>
                <w:color w:val="000000" w:themeColor="text1"/>
                <w:kern w:val="0"/>
                <w:szCs w:val="28"/>
                <w14:textFill>
                  <w14:solidFill>
                    <w14:schemeClr w14:val="tx1"/>
                  </w14:solidFill>
                </w14:textFill>
              </w:rPr>
            </w:pPr>
            <w:r>
              <w:rPr>
                <w:rFonts w:hint="eastAsia" w:ascii="宋体" w:hAnsi="宋体" w:cs="宋体"/>
                <w:color w:val="000000" w:themeColor="text1"/>
                <w:kern w:val="0"/>
                <w:szCs w:val="28"/>
                <w14:textFill>
                  <w14:solidFill>
                    <w14:schemeClr w14:val="tx1"/>
                  </w14:solidFill>
                </w14:textFill>
              </w:rPr>
              <w:t>满足谈判文件</w:t>
            </w:r>
            <w:r>
              <w:rPr>
                <w:rFonts w:hint="eastAsia" w:ascii="宋体" w:hAnsi="宋体" w:cs="宋体"/>
                <w:color w:val="000000" w:themeColor="text1"/>
                <w:szCs w:val="28"/>
                <w:lang w:val="zh-CN"/>
                <w14:textFill>
                  <w14:solidFill>
                    <w14:schemeClr w14:val="tx1"/>
                  </w14:solidFill>
                </w14:textFill>
              </w:rPr>
              <w:t>规定。</w:t>
            </w:r>
          </w:p>
        </w:tc>
      </w:tr>
    </w:tbl>
    <w:p>
      <w:pPr>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三）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四）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（五）在谈判过程中谈判的任何一方不得向他人透露与谈判有关的技术资料、价格或其他信息。</w:t>
      </w:r>
    </w:p>
    <w:p>
      <w:pPr>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六）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谈判文件的有效组成部分，谈判小组应当及时以书面形式同时通知所有参加谈判的供应商。供应商应当按照竞争性谈判文件的变动情况和谈判小组的要求重新提交响应文件或重新做出相关的书面承诺，并报出最佳服务，最后统一报价。</w:t>
      </w:r>
    </w:p>
    <w:p>
      <w:pPr>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（七）供应商在谈判时作出的所有书面承诺须由法定代表人或其授权代表签字。</w:t>
      </w:r>
    </w:p>
    <w:p>
      <w:pPr>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八）谈判结束后，谈判小组要求所有参加正式谈判的供应商在规定时间内同时书面提交最后报价及有关承诺（填写《最后报价表》并密封提交）。已提交响应文件但未在规定时间内进行最后报价的供应商，视为放弃最后报价，以供应商响应文件中的报价为准。</w:t>
      </w:r>
    </w:p>
    <w:p>
      <w:pPr>
        <w:pStyle w:val="5"/>
        <w:spacing w:before="0" w:after="0" w:line="360" w:lineRule="auto"/>
        <w:rPr>
          <w:rFonts w:ascii="宋体" w:hAnsi="宋体" w:cs="宋体"/>
          <w:b w:val="0"/>
          <w:color w:val="000000" w:themeColor="text1"/>
          <w:sz w:val="28"/>
          <w:szCs w:val="28"/>
          <w14:textFill>
            <w14:solidFill>
              <w14:schemeClr w14:val="tx1"/>
            </w14:solidFill>
          </w14:textFill>
        </w:rPr>
      </w:pPr>
      <w:bookmarkStart w:id="35" w:name="_Toc20197"/>
      <w:bookmarkStart w:id="36" w:name="_Toc102227320"/>
      <w:bookmarkStart w:id="37" w:name="_Toc342913394"/>
      <w:r>
        <w:rPr>
          <w:rFonts w:hint="eastAsia" w:ascii="宋体" w:hAnsi="宋体" w:cs="宋体"/>
          <w:b w:val="0"/>
          <w:color w:val="000000" w:themeColor="text1"/>
          <w:sz w:val="28"/>
          <w:szCs w:val="28"/>
          <w14:textFill>
            <w14:solidFill>
              <w14:schemeClr w14:val="tx1"/>
            </w14:solidFill>
          </w14:textFill>
        </w:rPr>
        <w:t>五、评审依据</w:t>
      </w:r>
      <w:bookmarkEnd w:id="35"/>
    </w:p>
    <w:p>
      <w:pPr>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评审的依据为竞争性谈判文件和响应文件（含有效的补充文件）。谈判小组判断响应文件对竞争性谈判文件的响应，仅基于响应文件本身而不靠外部证据。</w:t>
      </w:r>
    </w:p>
    <w:p>
      <w:pPr>
        <w:pStyle w:val="5"/>
        <w:spacing w:before="0" w:after="0" w:line="360" w:lineRule="auto"/>
        <w:rPr>
          <w:rFonts w:ascii="宋体" w:hAnsi="宋体" w:cs="宋体"/>
          <w:b w:val="0"/>
          <w:color w:val="000000" w:themeColor="text1"/>
          <w:sz w:val="28"/>
          <w:szCs w:val="28"/>
          <w14:textFill>
            <w14:solidFill>
              <w14:schemeClr w14:val="tx1"/>
            </w14:solidFill>
          </w14:textFill>
        </w:rPr>
      </w:pPr>
      <w:bookmarkStart w:id="38" w:name="_Toc30577"/>
      <w:r>
        <w:rPr>
          <w:rFonts w:hint="eastAsia" w:ascii="宋体" w:hAnsi="宋体" w:cs="宋体"/>
          <w:b w:val="0"/>
          <w:color w:val="000000" w:themeColor="text1"/>
          <w:sz w:val="28"/>
          <w:szCs w:val="28"/>
          <w14:textFill>
            <w14:solidFill>
              <w14:schemeClr w14:val="tx1"/>
            </w14:solidFill>
          </w14:textFill>
        </w:rPr>
        <w:t>六、成交</w:t>
      </w:r>
      <w:bookmarkEnd w:id="36"/>
      <w:r>
        <w:rPr>
          <w:rFonts w:hint="eastAsia" w:ascii="宋体" w:hAnsi="宋体" w:cs="宋体"/>
          <w:b w:val="0"/>
          <w:color w:val="000000" w:themeColor="text1"/>
          <w:sz w:val="28"/>
          <w:szCs w:val="28"/>
          <w14:textFill>
            <w14:solidFill>
              <w14:schemeClr w14:val="tx1"/>
            </w14:solidFill>
          </w14:textFill>
        </w:rPr>
        <w:t>原则</w:t>
      </w:r>
      <w:bookmarkEnd w:id="37"/>
      <w:bookmarkEnd w:id="38"/>
    </w:p>
    <w:p>
      <w:pPr>
        <w:snapToGrid w:val="0"/>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（一）评审办法</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1.谈判小组将依照本竞争性谈判文件相关规定对质量和服务均能满足竞争性谈判实质性响应要求的供应商所提交的最后报价进行政策性扣减，并依据扣减后的价格按照由低到高的顺序提出3名以上成交候选人，并编写评审报告。</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2.若供应商的最后报价经扣减后价格相同，按技术参数（条款）的优劣顺序排列；以上都相同的，按服务条款的优劣顺序排列。</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3.成交价格=成交供应商的最后报价</w:t>
      </w:r>
    </w:p>
    <w:p>
      <w:pPr>
        <w:snapToGrid w:val="0"/>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（二）评审细则</w:t>
      </w:r>
    </w:p>
    <w:p>
      <w:pPr>
        <w:tabs>
          <w:tab w:val="left" w:pos="3600"/>
        </w:tabs>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1.资格符合性检查</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依据法律法规和竞争性谈判文件的规定，对供应商的资格证明、保证金等进行审查，以确定供应商是否具备谈判资格。</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2.对响应文件的有效性、完整性和响应程度检查</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依据竞争性谈判文件的规定，对供应商的响应文件从质量、服务等方面进行审查，以确定供应商是否实质性响应竞争性谈判文件的要求。对技术、服务未作实质性响应的供应商，谈判小组将要求其在最后报价前做出相应的承诺。</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3.关于政策性扣减</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3.1政策性扣减范围</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供应商符合小型、微型企业或监狱企业条件、残疾人福利性单位的，其最后报价将按相应比例进行扣减。</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3.2  政策性扣减方式</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3.2.1供应商为非联合体参与谈判的，对小型企业给予6%的扣除，微型企业给予8%的扣除（注册资金十五万及以下的微型企业给予10%的扣除），以扣除后的报价参与评审。</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3.2.2监狱企业、残疾人福利性单位属于微型企业的，应提供企业所在地的县级以上中小企业主管部门本年度出具的证明文件复印件和微型企业承诺书（详见第六篇 五、其他“微型企业承诺书”）。未提供以上资料的监狱企业、残疾人福利性单位视同小型企业。</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4.成交供应商的确定：</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4.1“第三篇 谈判项目技术需求”有一条及以上不能满足竞争性谈判文件要求的供应商将失去成为成交供应商的资格。</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4.2“第四篇 谈判项目服务需求”有一条及以上不能满足竞争性谈判文件要求的供应商将失去成为成交供应商的资格。</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4.3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供应商的资格，按顺序由排在后面的成交候选人递补，以此类推。</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4.4谈判小组将依照评审办法提出成交候选人。</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4.5采购代理机构应当在评审结束后2个工作日内将评审报告送采购人确认。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4.6成交供应商的变更</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4.6.1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4.6.2成交供应商无充分理由放弃成交的，采购人将会同采购代理机构把相关情况报财政部门，财政部门将根据相关法律法规的规定对违规供应商进行处罚。</w:t>
      </w:r>
    </w:p>
    <w:p>
      <w:pPr>
        <w:snapToGrid w:val="0"/>
        <w:spacing w:line="360" w:lineRule="auto"/>
        <w:ind w:firstLine="420" w:firstLineChars="15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5.出现下列情形之一的，采购人或者采购代理机构应当终止竞争性谈判采购活动，发布项目终止公告并说明原因，重新开展采购活动：</w:t>
      </w:r>
    </w:p>
    <w:p>
      <w:pPr>
        <w:snapToGrid w:val="0"/>
        <w:spacing w:line="360" w:lineRule="auto"/>
        <w:ind w:firstLine="420" w:firstLineChars="15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5.1因情况变化，不再符合规定的竞争性谈判采购方式适用情形的；</w:t>
      </w:r>
    </w:p>
    <w:p>
      <w:pPr>
        <w:snapToGrid w:val="0"/>
        <w:spacing w:line="360" w:lineRule="auto"/>
        <w:ind w:firstLine="420" w:firstLineChars="15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5.2出现影响采购公正的违法、违规行为的；</w:t>
      </w:r>
    </w:p>
    <w:p>
      <w:pPr>
        <w:snapToGrid w:val="0"/>
        <w:spacing w:line="360" w:lineRule="auto"/>
        <w:ind w:firstLine="420" w:firstLineChars="15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5.3在采购过程中符合竞争要求的供应商或者报价未超过采购预算的供应商不足3家的，但《政府采购非招标采购方式管理办法》第二十七条第二款规定的情形除外。</w:t>
      </w:r>
    </w:p>
    <w:p>
      <w:pPr>
        <w:pStyle w:val="5"/>
        <w:spacing w:before="0" w:after="0" w:line="360" w:lineRule="auto"/>
        <w:rPr>
          <w:rFonts w:ascii="宋体" w:hAnsi="宋体" w:cs="宋体"/>
          <w:b w:val="0"/>
          <w:color w:val="000000" w:themeColor="text1"/>
          <w:sz w:val="28"/>
          <w:szCs w:val="28"/>
          <w14:textFill>
            <w14:solidFill>
              <w14:schemeClr w14:val="tx1"/>
            </w14:solidFill>
          </w14:textFill>
        </w:rPr>
      </w:pPr>
      <w:bookmarkStart w:id="39" w:name="_Toc102227321"/>
      <w:bookmarkStart w:id="40" w:name="_Toc13104"/>
      <w:bookmarkStart w:id="41" w:name="_Toc342913395"/>
      <w:r>
        <w:rPr>
          <w:rFonts w:hint="eastAsia" w:ascii="宋体" w:hAnsi="宋体" w:cs="宋体"/>
          <w:b w:val="0"/>
          <w:color w:val="000000" w:themeColor="text1"/>
          <w:sz w:val="28"/>
          <w:szCs w:val="28"/>
          <w14:textFill>
            <w14:solidFill>
              <w14:schemeClr w14:val="tx1"/>
            </w14:solidFill>
          </w14:textFill>
        </w:rPr>
        <w:t>七、成交通知</w:t>
      </w:r>
      <w:bookmarkEnd w:id="39"/>
      <w:bookmarkEnd w:id="40"/>
      <w:bookmarkEnd w:id="41"/>
    </w:p>
    <w:p>
      <w:pPr>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（一）成交供应商确定后，采购人将在重庆医科大学校园网上（主页-服务大厅-招投标信息）发布成交结果公告。</w:t>
      </w:r>
    </w:p>
    <w:p>
      <w:pPr>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（二）网上成交结果公告将作为签订合同的依据。。</w:t>
      </w:r>
    </w:p>
    <w:p>
      <w:pPr>
        <w:pStyle w:val="5"/>
        <w:spacing w:before="0" w:after="0" w:line="360" w:lineRule="auto"/>
        <w:rPr>
          <w:rFonts w:ascii="宋体" w:hAnsi="宋体" w:cs="宋体"/>
          <w:b w:val="0"/>
          <w:color w:val="000000" w:themeColor="text1"/>
          <w:sz w:val="28"/>
          <w:szCs w:val="28"/>
          <w14:textFill>
            <w14:solidFill>
              <w14:schemeClr w14:val="tx1"/>
            </w14:solidFill>
          </w14:textFill>
        </w:rPr>
      </w:pPr>
      <w:bookmarkStart w:id="42" w:name="_Toc11896"/>
      <w:r>
        <w:rPr>
          <w:rFonts w:hint="eastAsia" w:ascii="宋体" w:hAnsi="宋体" w:cs="宋体"/>
          <w:b w:val="0"/>
          <w:color w:val="000000" w:themeColor="text1"/>
          <w:sz w:val="28"/>
          <w:szCs w:val="28"/>
          <w14:textFill>
            <w14:solidFill>
              <w14:schemeClr w14:val="tx1"/>
            </w14:solidFill>
          </w14:textFill>
        </w:rPr>
        <w:t>八、关于质疑和投诉</w:t>
      </w:r>
      <w:bookmarkEnd w:id="42"/>
    </w:p>
    <w:p>
      <w:pPr>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（一）质疑</w:t>
      </w:r>
    </w:p>
    <w:p>
      <w:pPr>
        <w:spacing w:line="360" w:lineRule="auto"/>
        <w:ind w:firstLine="48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供应商认为采购文件、采购过程和成交结果使自己的权益收到伤害的，可向采购人或采购代理机构以书面形式提出质疑。</w:t>
      </w:r>
    </w:p>
    <w:p>
      <w:pPr>
        <w:spacing w:line="360" w:lineRule="auto"/>
        <w:ind w:firstLine="48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 xml:space="preserve">提出质疑的应当是参与所质疑项目采购活动的供应商。 </w:t>
      </w:r>
    </w:p>
    <w:p>
      <w:pPr>
        <w:spacing w:line="360" w:lineRule="auto"/>
        <w:ind w:firstLine="48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1.质疑时限、内容</w:t>
      </w:r>
    </w:p>
    <w:p>
      <w:pPr>
        <w:spacing w:line="360" w:lineRule="auto"/>
        <w:ind w:firstLine="48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1.1供应商认为采购文件、采购过程、成交结果使自己的权益受到损害的，可以在知道或者应知其权益受到损害之日起7个工作日内，以书面形式向采购人、采购代理机构提出质疑。</w:t>
      </w:r>
    </w:p>
    <w:p>
      <w:pPr>
        <w:spacing w:line="360" w:lineRule="auto"/>
        <w:ind w:firstLine="48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1.2供应商提出质疑应当提交质疑函和必要的证明材料，质疑函应当包括下列内容：</w:t>
      </w:r>
    </w:p>
    <w:p>
      <w:pPr>
        <w:spacing w:line="360" w:lineRule="auto"/>
        <w:ind w:firstLine="48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1.2.1供应商的姓名或者名称、地址、邮编、联系人及联系电话；</w:t>
      </w:r>
    </w:p>
    <w:p>
      <w:pPr>
        <w:spacing w:line="360" w:lineRule="auto"/>
        <w:ind w:firstLine="48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1.2.2质疑项目的名称、项目号以及谈判项目编号；</w:t>
      </w:r>
    </w:p>
    <w:p>
      <w:pPr>
        <w:spacing w:line="360" w:lineRule="auto"/>
        <w:ind w:firstLine="48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1.2.3具体、明确的质疑事项和与质疑事项相关的请求；</w:t>
      </w:r>
    </w:p>
    <w:p>
      <w:pPr>
        <w:spacing w:line="360" w:lineRule="auto"/>
        <w:ind w:firstLine="48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1.2.4事实依据；</w:t>
      </w:r>
    </w:p>
    <w:p>
      <w:pPr>
        <w:spacing w:line="360" w:lineRule="auto"/>
        <w:ind w:firstLine="48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1.2.5必要的法律依据；</w:t>
      </w:r>
    </w:p>
    <w:p>
      <w:pPr>
        <w:spacing w:line="360" w:lineRule="auto"/>
        <w:ind w:firstLine="48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1.2.6提出质疑的日期；</w:t>
      </w:r>
    </w:p>
    <w:p>
      <w:pPr>
        <w:spacing w:line="360" w:lineRule="auto"/>
        <w:ind w:firstLine="48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1.2.7营业执照（或事业单位法人证书，或个体工商户营业执照或有效的自然人身份证明、组织机构代码证）复印件；</w:t>
      </w:r>
    </w:p>
    <w:p>
      <w:pPr>
        <w:spacing w:line="360" w:lineRule="auto"/>
        <w:ind w:firstLine="48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1.2.8法定代表人授权委托书原件、法定代表人身份证复印件和其授权代表的身份证复印件（供应商为自然人的提供自然人身份证复印件）；</w:t>
      </w:r>
    </w:p>
    <w:p>
      <w:pPr>
        <w:spacing w:line="360" w:lineRule="auto"/>
        <w:ind w:firstLine="48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1.3供应商为自然人的，质疑函应当由本人签字；供应商为法人或者其他组织的，质疑函应当由法定代表人、主要负责人，或者其授权代表签字或者盖章，并加盖公章。</w:t>
      </w:r>
    </w:p>
    <w:p>
      <w:pPr>
        <w:spacing w:line="360" w:lineRule="auto"/>
        <w:ind w:firstLine="48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2.质疑答复</w:t>
      </w:r>
    </w:p>
    <w:p>
      <w:pPr>
        <w:spacing w:line="360" w:lineRule="auto"/>
        <w:ind w:firstLine="48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采购人、采购代理机构应当在收到供应商的书面质疑后七个工作日内作出答复，并以书面形式通知质疑供应商和其他有关供应商。</w:t>
      </w:r>
    </w:p>
    <w:p>
      <w:pPr>
        <w:spacing w:line="360" w:lineRule="auto"/>
        <w:ind w:firstLine="48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3.其他</w:t>
      </w:r>
    </w:p>
    <w:p>
      <w:pPr>
        <w:spacing w:line="360" w:lineRule="auto"/>
        <w:ind w:firstLine="48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3.1供应商应按照《政府采购质疑和投诉办法》（财政部令第94号）及相关法律法规要求，在法定质疑期内一次性提出针对同一采购程序环节的质疑。</w:t>
      </w:r>
    </w:p>
    <w:p>
      <w:pPr>
        <w:spacing w:line="360" w:lineRule="auto"/>
        <w:ind w:firstLine="48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3.2质疑函范本可在财政部门户网站和中国政府采购网下载。</w:t>
      </w:r>
    </w:p>
    <w:p>
      <w:pPr>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（二）投诉</w:t>
      </w:r>
    </w:p>
    <w:p>
      <w:pPr>
        <w:spacing w:line="360" w:lineRule="auto"/>
        <w:ind w:firstLine="48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1.供应商对采购人、采购代理机构的答复不满意，或者采购人、采购代理机构未在规定时间内作出答复的，可以在答复期满后15个工作日内按照相关法律法规向财政部门提起投诉。</w:t>
      </w:r>
    </w:p>
    <w:p>
      <w:pPr>
        <w:spacing w:line="360" w:lineRule="auto"/>
        <w:ind w:firstLine="48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2.供应商应按照《政府采购质疑和投诉办法》（财政部令第94号）及相关法律法规要求递交投诉书和必要的证明材料。投诉书范本可在财政部门户网站和中国政府采购网下载。</w:t>
      </w:r>
    </w:p>
    <w:p>
      <w:pPr>
        <w:spacing w:line="360" w:lineRule="auto"/>
        <w:ind w:firstLine="48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4.在确定受理投诉后，财政部门自受理投诉之日起30个工作日内（需要检验、检测、鉴定、专家评审以及需要投诉人补正材料的，所需时间不计算在投诉处理期限内）对投诉事项做出处理决定。</w:t>
      </w:r>
    </w:p>
    <w:p>
      <w:pPr>
        <w:pStyle w:val="5"/>
        <w:spacing w:before="0" w:after="0" w:line="360" w:lineRule="auto"/>
        <w:rPr>
          <w:rFonts w:ascii="宋体" w:hAnsi="宋体" w:cs="宋体"/>
          <w:b w:val="0"/>
          <w:color w:val="000000" w:themeColor="text1"/>
          <w:sz w:val="28"/>
          <w:szCs w:val="28"/>
          <w14:textFill>
            <w14:solidFill>
              <w14:schemeClr w14:val="tx1"/>
            </w14:solidFill>
          </w14:textFill>
        </w:rPr>
      </w:pPr>
      <w:bookmarkStart w:id="43" w:name="_Toc1285"/>
      <w:bookmarkStart w:id="44" w:name="_Toc342913396"/>
      <w:bookmarkStart w:id="45" w:name="_Toc102227322"/>
      <w:r>
        <w:rPr>
          <w:rFonts w:hint="eastAsia" w:ascii="宋体" w:hAnsi="宋体" w:cs="宋体"/>
          <w:b w:val="0"/>
          <w:color w:val="000000" w:themeColor="text1"/>
          <w:sz w:val="28"/>
          <w:szCs w:val="28"/>
          <w14:textFill>
            <w14:solidFill>
              <w14:schemeClr w14:val="tx1"/>
            </w14:solidFill>
          </w14:textFill>
        </w:rPr>
        <w:t>九、签订合同</w:t>
      </w:r>
      <w:bookmarkEnd w:id="43"/>
    </w:p>
    <w:p>
      <w:pPr>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（一）采购人应当自成交通知书发出之日起三十日内，按照竞争性谈判文件和成交供应商响应文件的约定，与成交供应商签订书面合同。所签订的合同不得对竞争性谈判文件和供应商的响应文件作实质性修改。</w:t>
      </w:r>
    </w:p>
    <w:p>
      <w:pPr>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（二）竞争性谈判文件、供应商的响应文件及澄清文件等，均为签订采购合同的依据。</w:t>
      </w:r>
    </w:p>
    <w:p>
      <w:pPr>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（三）合同生效条款由供需双方约定，法律、行政法规规定应当办理批准、登记等手续后生效的合同，依照其规定。</w:t>
      </w:r>
    </w:p>
    <w:p>
      <w:pPr>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（四）合同原则上应按照《重庆医科大学经济合同》签订，相关单位要求适用合同通用格式版本的，应按其要求另行签订其他合同。</w:t>
      </w:r>
    </w:p>
    <w:p>
      <w:pPr>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（五）采购人要求成交供应商提供履约保证金的，应当在竞争性谈判文件中予以约定。成交供应商履约完毕后，采购人根据采购文件规定无息退还其履约保证金。</w:t>
      </w:r>
    </w:p>
    <w:p>
      <w:pPr>
        <w:pStyle w:val="5"/>
        <w:spacing w:before="0" w:after="0" w:line="360" w:lineRule="auto"/>
        <w:rPr>
          <w:rFonts w:ascii="宋体" w:hAnsi="宋体" w:cs="宋体"/>
          <w:b w:val="0"/>
          <w:color w:val="000000" w:themeColor="text1"/>
          <w:sz w:val="28"/>
          <w:szCs w:val="28"/>
          <w14:textFill>
            <w14:solidFill>
              <w14:schemeClr w14:val="tx1"/>
            </w14:solidFill>
          </w14:textFill>
        </w:rPr>
      </w:pPr>
      <w:bookmarkStart w:id="46" w:name="_Toc27747"/>
      <w:r>
        <w:rPr>
          <w:rFonts w:hint="eastAsia" w:ascii="宋体" w:hAnsi="宋体" w:cs="宋体"/>
          <w:b w:val="0"/>
          <w:color w:val="000000" w:themeColor="text1"/>
          <w:sz w:val="28"/>
          <w:szCs w:val="28"/>
          <w14:textFill>
            <w14:solidFill>
              <w14:schemeClr w14:val="tx1"/>
            </w14:solidFill>
          </w14:textFill>
        </w:rPr>
        <w:t>十、</w:t>
      </w:r>
      <w:bookmarkEnd w:id="44"/>
      <w:bookmarkEnd w:id="45"/>
      <w:r>
        <w:rPr>
          <w:rFonts w:hint="eastAsia" w:ascii="宋体" w:hAnsi="宋体" w:cs="宋体"/>
          <w:b w:val="0"/>
          <w:color w:val="000000" w:themeColor="text1"/>
          <w:sz w:val="28"/>
          <w:szCs w:val="28"/>
          <w14:textFill>
            <w14:solidFill>
              <w14:schemeClr w14:val="tx1"/>
            </w14:solidFill>
          </w14:textFill>
        </w:rPr>
        <w:t>政府采购信用融资</w:t>
      </w:r>
      <w:bookmarkEnd w:id="46"/>
    </w:p>
    <w:p>
      <w:pPr>
        <w:spacing w:line="360" w:lineRule="auto"/>
        <w:ind w:firstLine="420" w:firstLineChars="15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供应商参与重庆市政府采购活动，成为成交供应商，并与采购人签订政府采购合同后，可按照重庆市政府采购支持中小企业信用融资办法的规定，向开展政府采购信用融资业务的银行申请贷款。具体内容详见重庆市政府采购网“信用融资”信息专栏。</w:t>
      </w:r>
    </w:p>
    <w:p>
      <w:pPr>
        <w:spacing w:line="360" w:lineRule="auto"/>
        <w:ind w:firstLine="560" w:firstLineChars="200"/>
        <w:rPr>
          <w:rFonts w:ascii="宋体" w:hAnsi="宋体" w:cs="宋体"/>
          <w:color w:val="000000" w:themeColor="text1"/>
          <w:szCs w:val="28"/>
          <w14:textFill>
            <w14:solidFill>
              <w14:schemeClr w14:val="tx1"/>
            </w14:solidFill>
          </w14:textFill>
        </w:rPr>
        <w:sectPr>
          <w:pgSz w:w="11907" w:h="16840"/>
          <w:pgMar w:top="1440" w:right="1080" w:bottom="1440" w:left="1080" w:header="964" w:footer="992" w:gutter="0"/>
          <w:pgNumType w:fmt="numberInDash"/>
          <w:cols w:space="720" w:num="1"/>
          <w:docGrid w:linePitch="312" w:charSpace="0"/>
        </w:sectPr>
      </w:pPr>
    </w:p>
    <w:p>
      <w:pPr>
        <w:pStyle w:val="4"/>
        <w:spacing w:before="0" w:after="0" w:line="560" w:lineRule="exact"/>
        <w:jc w:val="center"/>
        <w:rPr>
          <w:rFonts w:ascii="宋体" w:hAnsi="宋体" w:eastAsia="宋体" w:cs="宋体"/>
          <w:bCs/>
          <w:color w:val="000000" w:themeColor="text1"/>
          <w:szCs w:val="32"/>
          <w14:textFill>
            <w14:solidFill>
              <w14:schemeClr w14:val="tx1"/>
            </w14:solidFill>
          </w14:textFill>
        </w:rPr>
      </w:pPr>
      <w:bookmarkStart w:id="47" w:name="_Toc26791"/>
      <w:r>
        <w:rPr>
          <w:rFonts w:hint="eastAsia" w:ascii="宋体" w:hAnsi="宋体" w:eastAsia="宋体" w:cs="宋体"/>
          <w:bCs/>
          <w:color w:val="000000" w:themeColor="text1"/>
          <w:szCs w:val="32"/>
          <w14:textFill>
            <w14:solidFill>
              <w14:schemeClr w14:val="tx1"/>
            </w14:solidFill>
          </w14:textFill>
        </w:rPr>
        <w:t>第三篇  谈判项目技术需求</w:t>
      </w:r>
      <w:bookmarkEnd w:id="47"/>
    </w:p>
    <w:p>
      <w:pPr>
        <w:rPr>
          <w:rFonts w:ascii="宋体" w:hAnsi="宋体" w:cs="宋体"/>
          <w:color w:val="000000" w:themeColor="text1"/>
          <w14:textFill>
            <w14:solidFill>
              <w14:schemeClr w14:val="tx1"/>
            </w14:solidFill>
          </w14:textFill>
        </w:rPr>
      </w:pPr>
    </w:p>
    <w:p>
      <w:pPr>
        <w:pStyle w:val="5"/>
        <w:spacing w:before="0" w:after="0" w:line="560" w:lineRule="exact"/>
        <w:rPr>
          <w:rFonts w:ascii="宋体" w:hAnsi="宋体" w:cs="宋体"/>
          <w:b w:val="0"/>
          <w:color w:val="000000" w:themeColor="text1"/>
          <w:sz w:val="28"/>
          <w:szCs w:val="28"/>
          <w14:textFill>
            <w14:solidFill>
              <w14:schemeClr w14:val="tx1"/>
            </w14:solidFill>
          </w14:textFill>
        </w:rPr>
      </w:pPr>
      <w:bookmarkStart w:id="48" w:name="_Toc17009"/>
      <w:bookmarkStart w:id="49" w:name="_Toc12789058"/>
      <w:r>
        <w:rPr>
          <w:rFonts w:hint="eastAsia" w:ascii="宋体" w:hAnsi="宋体" w:cs="宋体"/>
          <w:bCs/>
          <w:color w:val="000000" w:themeColor="text1"/>
          <w:sz w:val="28"/>
          <w:szCs w:val="28"/>
          <w14:textFill>
            <w14:solidFill>
              <w14:schemeClr w14:val="tx1"/>
            </w14:solidFill>
          </w14:textFill>
        </w:rPr>
        <w:t>一、项目一览表</w:t>
      </w:r>
      <w:bookmarkEnd w:id="48"/>
    </w:p>
    <w:tbl>
      <w:tblPr>
        <w:tblStyle w:val="57"/>
        <w:tblpPr w:leftFromText="180" w:rightFromText="180" w:vertAnchor="text" w:tblpXSpec="center" w:tblpY="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4374"/>
        <w:gridCol w:w="1732"/>
        <w:gridCol w:w="1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821" w:type="dxa"/>
            <w:vAlign w:val="center"/>
          </w:tcPr>
          <w:p>
            <w:pPr>
              <w:widowControl/>
              <w:jc w:val="center"/>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序号</w:t>
            </w:r>
          </w:p>
        </w:tc>
        <w:tc>
          <w:tcPr>
            <w:tcW w:w="4374" w:type="dxa"/>
            <w:vAlign w:val="center"/>
          </w:tcPr>
          <w:p>
            <w:pPr>
              <w:widowControl/>
              <w:jc w:val="center"/>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产品名称（设备名称）</w:t>
            </w:r>
          </w:p>
        </w:tc>
        <w:tc>
          <w:tcPr>
            <w:tcW w:w="1732" w:type="dxa"/>
            <w:vAlign w:val="center"/>
          </w:tcPr>
          <w:p>
            <w:pPr>
              <w:widowControl/>
              <w:jc w:val="center"/>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数量/台数</w:t>
            </w:r>
          </w:p>
        </w:tc>
        <w:tc>
          <w:tcPr>
            <w:tcW w:w="1913" w:type="dxa"/>
            <w:vAlign w:val="center"/>
          </w:tcPr>
          <w:p>
            <w:pPr>
              <w:widowControl/>
              <w:jc w:val="center"/>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821" w:type="dxa"/>
            <w:vAlign w:val="center"/>
          </w:tcPr>
          <w:p>
            <w:pPr>
              <w:widowControl/>
              <w:jc w:val="center"/>
              <w:rPr>
                <w:color w:val="000000" w:themeColor="text1"/>
                <w:szCs w:val="28"/>
                <w14:textFill>
                  <w14:solidFill>
                    <w14:schemeClr w14:val="tx1"/>
                  </w14:solidFill>
                </w14:textFill>
              </w:rPr>
            </w:pPr>
            <w:r>
              <w:rPr>
                <w:rFonts w:hint="eastAsia"/>
                <w:color w:val="000000" w:themeColor="text1"/>
                <w14:textFill>
                  <w14:solidFill>
                    <w14:schemeClr w14:val="tx1"/>
                  </w14:solidFill>
                </w14:textFill>
              </w:rPr>
              <w:t>1</w:t>
            </w:r>
          </w:p>
        </w:tc>
        <w:tc>
          <w:tcPr>
            <w:tcW w:w="4374" w:type="dxa"/>
            <w:vAlign w:val="center"/>
          </w:tcPr>
          <w:p>
            <w:pPr>
              <w:widowControl/>
              <w:jc w:val="center"/>
              <w:rPr>
                <w:color w:val="000000" w:themeColor="text1"/>
                <w:szCs w:val="28"/>
                <w14:textFill>
                  <w14:solidFill>
                    <w14:schemeClr w14:val="tx1"/>
                  </w14:solidFill>
                </w14:textFill>
              </w:rPr>
            </w:pPr>
            <w:r>
              <w:rPr>
                <w:rFonts w:hint="eastAsia"/>
                <w:color w:val="000000" w:themeColor="text1"/>
                <w14:textFill>
                  <w14:solidFill>
                    <w14:schemeClr w14:val="tx1"/>
                  </w14:solidFill>
                </w14:textFill>
              </w:rPr>
              <w:t>体脂检测仪（人体成分分析仪）</w:t>
            </w:r>
          </w:p>
        </w:tc>
        <w:tc>
          <w:tcPr>
            <w:tcW w:w="1732" w:type="dxa"/>
            <w:vAlign w:val="center"/>
          </w:tcPr>
          <w:p>
            <w:pPr>
              <w:widowControl/>
              <w:jc w:val="center"/>
              <w:rPr>
                <w:color w:val="000000" w:themeColor="text1"/>
                <w:szCs w:val="28"/>
                <w14:textFill>
                  <w14:solidFill>
                    <w14:schemeClr w14:val="tx1"/>
                  </w14:solidFill>
                </w14:textFill>
              </w:rPr>
            </w:pPr>
            <w:r>
              <w:rPr>
                <w:color w:val="000000" w:themeColor="text1"/>
                <w14:textFill>
                  <w14:solidFill>
                    <w14:schemeClr w14:val="tx1"/>
                  </w14:solidFill>
                </w14:textFill>
              </w:rPr>
              <w:t>3</w:t>
            </w:r>
          </w:p>
        </w:tc>
        <w:tc>
          <w:tcPr>
            <w:tcW w:w="1913" w:type="dxa"/>
            <w:vAlign w:val="center"/>
          </w:tcPr>
          <w:p>
            <w:pPr>
              <w:widowControl/>
              <w:jc w:val="center"/>
              <w:rPr>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821" w:type="dxa"/>
            <w:vAlign w:val="center"/>
          </w:tcPr>
          <w:p>
            <w:pPr>
              <w:widowControl/>
              <w:jc w:val="center"/>
              <w:rPr>
                <w:color w:val="000000" w:themeColor="text1"/>
                <w:szCs w:val="28"/>
                <w14:textFill>
                  <w14:solidFill>
                    <w14:schemeClr w14:val="tx1"/>
                  </w14:solidFill>
                </w14:textFill>
              </w:rPr>
            </w:pPr>
            <w:r>
              <w:rPr>
                <w:rFonts w:hint="eastAsia"/>
                <w:color w:val="000000" w:themeColor="text1"/>
                <w14:textFill>
                  <w14:solidFill>
                    <w14:schemeClr w14:val="tx1"/>
                  </w14:solidFill>
                </w14:textFill>
              </w:rPr>
              <w:t>2</w:t>
            </w:r>
          </w:p>
        </w:tc>
        <w:tc>
          <w:tcPr>
            <w:tcW w:w="4374" w:type="dxa"/>
            <w:vAlign w:val="center"/>
          </w:tcPr>
          <w:p>
            <w:pPr>
              <w:widowControl/>
              <w:jc w:val="center"/>
              <w:rPr>
                <w:color w:val="000000" w:themeColor="text1"/>
                <w:szCs w:val="28"/>
                <w14:textFill>
                  <w14:solidFill>
                    <w14:schemeClr w14:val="tx1"/>
                  </w14:solidFill>
                </w14:textFill>
              </w:rPr>
            </w:pPr>
            <w:r>
              <w:rPr>
                <w:rFonts w:hint="eastAsia"/>
                <w:color w:val="000000" w:themeColor="text1"/>
                <w14:textFill>
                  <w14:solidFill>
                    <w14:schemeClr w14:val="tx1"/>
                  </w14:solidFill>
                </w14:textFill>
              </w:rPr>
              <w:t>垂直电泳槽（含转印系统）</w:t>
            </w:r>
          </w:p>
        </w:tc>
        <w:tc>
          <w:tcPr>
            <w:tcW w:w="1732" w:type="dxa"/>
            <w:vAlign w:val="center"/>
          </w:tcPr>
          <w:p>
            <w:pPr>
              <w:widowControl/>
              <w:jc w:val="center"/>
              <w:rPr>
                <w:color w:val="000000" w:themeColor="text1"/>
                <w:szCs w:val="28"/>
                <w14:textFill>
                  <w14:solidFill>
                    <w14:schemeClr w14:val="tx1"/>
                  </w14:solidFill>
                </w14:textFill>
              </w:rPr>
            </w:pPr>
            <w:r>
              <w:rPr>
                <w:color w:val="000000" w:themeColor="text1"/>
                <w14:textFill>
                  <w14:solidFill>
                    <w14:schemeClr w14:val="tx1"/>
                  </w14:solidFill>
                </w14:textFill>
              </w:rPr>
              <w:t>2</w:t>
            </w:r>
          </w:p>
        </w:tc>
        <w:tc>
          <w:tcPr>
            <w:tcW w:w="1913" w:type="dxa"/>
            <w:vAlign w:val="center"/>
          </w:tcPr>
          <w:p>
            <w:pPr>
              <w:widowControl/>
              <w:jc w:val="center"/>
              <w:rPr>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821" w:type="dxa"/>
            <w:vAlign w:val="center"/>
          </w:tcPr>
          <w:p>
            <w:pPr>
              <w:widowControl/>
              <w:jc w:val="center"/>
              <w:rPr>
                <w:color w:val="000000" w:themeColor="text1"/>
                <w:szCs w:val="28"/>
                <w14:textFill>
                  <w14:solidFill>
                    <w14:schemeClr w14:val="tx1"/>
                  </w14:solidFill>
                </w14:textFill>
              </w:rPr>
            </w:pPr>
            <w:r>
              <w:rPr>
                <w:rFonts w:hint="eastAsia"/>
                <w:color w:val="000000" w:themeColor="text1"/>
                <w14:textFill>
                  <w14:solidFill>
                    <w14:schemeClr w14:val="tx1"/>
                  </w14:solidFill>
                </w14:textFill>
              </w:rPr>
              <w:t>3</w:t>
            </w:r>
          </w:p>
        </w:tc>
        <w:tc>
          <w:tcPr>
            <w:tcW w:w="4374" w:type="dxa"/>
            <w:vAlign w:val="center"/>
          </w:tcPr>
          <w:p>
            <w:pPr>
              <w:widowControl/>
              <w:jc w:val="center"/>
              <w:rPr>
                <w:color w:val="000000" w:themeColor="text1"/>
                <w:szCs w:val="28"/>
                <w14:textFill>
                  <w14:solidFill>
                    <w14:schemeClr w14:val="tx1"/>
                  </w14:solidFill>
                </w14:textFill>
              </w:rPr>
            </w:pPr>
            <w:r>
              <w:rPr>
                <w:rFonts w:hint="eastAsia"/>
                <w:color w:val="000000" w:themeColor="text1"/>
                <w14:textFill>
                  <w14:solidFill>
                    <w14:schemeClr w14:val="tx1"/>
                  </w14:solidFill>
                </w14:textFill>
              </w:rPr>
              <w:t>电泳仪（含软件）</w:t>
            </w:r>
          </w:p>
        </w:tc>
        <w:tc>
          <w:tcPr>
            <w:tcW w:w="1732" w:type="dxa"/>
            <w:vAlign w:val="center"/>
          </w:tcPr>
          <w:p>
            <w:pPr>
              <w:widowControl/>
              <w:jc w:val="center"/>
              <w:rPr>
                <w:color w:val="000000" w:themeColor="text1"/>
                <w:szCs w:val="28"/>
                <w14:textFill>
                  <w14:solidFill>
                    <w14:schemeClr w14:val="tx1"/>
                  </w14:solidFill>
                </w14:textFill>
              </w:rPr>
            </w:pPr>
            <w:r>
              <w:rPr>
                <w:color w:val="000000" w:themeColor="text1"/>
                <w14:textFill>
                  <w14:solidFill>
                    <w14:schemeClr w14:val="tx1"/>
                  </w14:solidFill>
                </w14:textFill>
              </w:rPr>
              <w:t>1</w:t>
            </w:r>
          </w:p>
        </w:tc>
        <w:tc>
          <w:tcPr>
            <w:tcW w:w="1913" w:type="dxa"/>
            <w:vAlign w:val="center"/>
          </w:tcPr>
          <w:p>
            <w:pPr>
              <w:widowControl/>
              <w:jc w:val="center"/>
              <w:rPr>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821" w:type="dxa"/>
            <w:vAlign w:val="center"/>
          </w:tcPr>
          <w:p>
            <w:pPr>
              <w:widowControl/>
              <w:ind w:firstLine="280" w:firstLineChars="100"/>
              <w:rPr>
                <w:color w:val="000000" w:themeColor="text1"/>
                <w14:textFill>
                  <w14:solidFill>
                    <w14:schemeClr w14:val="tx1"/>
                  </w14:solidFill>
                </w14:textFill>
              </w:rPr>
            </w:pPr>
            <w:r>
              <w:rPr>
                <w:color w:val="000000" w:themeColor="text1"/>
                <w14:textFill>
                  <w14:solidFill>
                    <w14:schemeClr w14:val="tx1"/>
                  </w14:solidFill>
                </w14:textFill>
              </w:rPr>
              <w:t>4</w:t>
            </w:r>
          </w:p>
        </w:tc>
        <w:tc>
          <w:tcPr>
            <w:tcW w:w="4374" w:type="dxa"/>
            <w:vAlign w:val="center"/>
          </w:tcPr>
          <w:p>
            <w:pPr>
              <w:widowControl/>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台式离心机</w:t>
            </w:r>
          </w:p>
        </w:tc>
        <w:tc>
          <w:tcPr>
            <w:tcW w:w="1732" w:type="dxa"/>
            <w:vAlign w:val="center"/>
          </w:tcPr>
          <w:p>
            <w:pPr>
              <w:widowControl/>
              <w:jc w:val="center"/>
              <w:rPr>
                <w:color w:val="000000" w:themeColor="text1"/>
                <w14:textFill>
                  <w14:solidFill>
                    <w14:schemeClr w14:val="tx1"/>
                  </w14:solidFill>
                </w14:textFill>
              </w:rPr>
            </w:pPr>
            <w:r>
              <w:rPr>
                <w:color w:val="000000" w:themeColor="text1"/>
                <w14:textFill>
                  <w14:solidFill>
                    <w14:schemeClr w14:val="tx1"/>
                  </w14:solidFill>
                </w14:textFill>
              </w:rPr>
              <w:t>1</w:t>
            </w:r>
          </w:p>
        </w:tc>
        <w:tc>
          <w:tcPr>
            <w:tcW w:w="1913" w:type="dxa"/>
            <w:vAlign w:val="center"/>
          </w:tcPr>
          <w:p>
            <w:pPr>
              <w:widowControl/>
              <w:jc w:val="center"/>
              <w:rPr>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821" w:type="dxa"/>
            <w:vAlign w:val="center"/>
          </w:tcPr>
          <w:p>
            <w:pPr>
              <w:widowControl/>
              <w:ind w:firstLine="280" w:firstLineChars="100"/>
              <w:rPr>
                <w:color w:val="000000" w:themeColor="text1"/>
                <w14:textFill>
                  <w14:solidFill>
                    <w14:schemeClr w14:val="tx1"/>
                  </w14:solidFill>
                </w14:textFill>
              </w:rPr>
            </w:pPr>
            <w:r>
              <w:rPr>
                <w:color w:val="000000" w:themeColor="text1"/>
                <w14:textFill>
                  <w14:solidFill>
                    <w14:schemeClr w14:val="tx1"/>
                  </w14:solidFill>
                </w14:textFill>
              </w:rPr>
              <w:t>5</w:t>
            </w:r>
          </w:p>
        </w:tc>
        <w:tc>
          <w:tcPr>
            <w:tcW w:w="4374" w:type="dxa"/>
            <w:vAlign w:val="center"/>
          </w:tcPr>
          <w:p>
            <w:pPr>
              <w:widowControl/>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电子分析天平</w:t>
            </w:r>
          </w:p>
        </w:tc>
        <w:tc>
          <w:tcPr>
            <w:tcW w:w="1732" w:type="dxa"/>
            <w:vAlign w:val="center"/>
          </w:tcPr>
          <w:p>
            <w:pPr>
              <w:widowControl/>
              <w:jc w:val="center"/>
              <w:rPr>
                <w:color w:val="000000" w:themeColor="text1"/>
                <w14:textFill>
                  <w14:solidFill>
                    <w14:schemeClr w14:val="tx1"/>
                  </w14:solidFill>
                </w14:textFill>
              </w:rPr>
            </w:pPr>
            <w:r>
              <w:rPr>
                <w:color w:val="000000" w:themeColor="text1"/>
                <w14:textFill>
                  <w14:solidFill>
                    <w14:schemeClr w14:val="tx1"/>
                  </w14:solidFill>
                </w14:textFill>
              </w:rPr>
              <w:t>1</w:t>
            </w:r>
          </w:p>
        </w:tc>
        <w:tc>
          <w:tcPr>
            <w:tcW w:w="1913" w:type="dxa"/>
            <w:vAlign w:val="center"/>
          </w:tcPr>
          <w:p>
            <w:pPr>
              <w:widowControl/>
              <w:jc w:val="center"/>
              <w:rPr>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821" w:type="dxa"/>
            <w:vAlign w:val="center"/>
          </w:tcPr>
          <w:p>
            <w:pPr>
              <w:widowControl/>
              <w:ind w:firstLine="280" w:firstLineChars="100"/>
              <w:rPr>
                <w:color w:val="000000" w:themeColor="text1"/>
                <w14:textFill>
                  <w14:solidFill>
                    <w14:schemeClr w14:val="tx1"/>
                  </w14:solidFill>
                </w14:textFill>
              </w:rPr>
            </w:pPr>
            <w:r>
              <w:rPr>
                <w:color w:val="000000" w:themeColor="text1"/>
                <w14:textFill>
                  <w14:solidFill>
                    <w14:schemeClr w14:val="tx1"/>
                  </w14:solidFill>
                </w14:textFill>
              </w:rPr>
              <w:t>6</w:t>
            </w:r>
          </w:p>
        </w:tc>
        <w:tc>
          <w:tcPr>
            <w:tcW w:w="4374" w:type="dxa"/>
            <w:vAlign w:val="center"/>
          </w:tcPr>
          <w:p>
            <w:pPr>
              <w:widowControl/>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可充电跷板式摇床</w:t>
            </w:r>
          </w:p>
        </w:tc>
        <w:tc>
          <w:tcPr>
            <w:tcW w:w="1732" w:type="dxa"/>
            <w:vAlign w:val="center"/>
          </w:tcPr>
          <w:p>
            <w:pPr>
              <w:widowControl/>
              <w:jc w:val="center"/>
              <w:rPr>
                <w:color w:val="000000" w:themeColor="text1"/>
                <w14:textFill>
                  <w14:solidFill>
                    <w14:schemeClr w14:val="tx1"/>
                  </w14:solidFill>
                </w14:textFill>
              </w:rPr>
            </w:pPr>
            <w:r>
              <w:rPr>
                <w:color w:val="000000" w:themeColor="text1"/>
                <w14:textFill>
                  <w14:solidFill>
                    <w14:schemeClr w14:val="tx1"/>
                  </w14:solidFill>
                </w14:textFill>
              </w:rPr>
              <w:t>1</w:t>
            </w:r>
          </w:p>
        </w:tc>
        <w:tc>
          <w:tcPr>
            <w:tcW w:w="1913" w:type="dxa"/>
            <w:vAlign w:val="center"/>
          </w:tcPr>
          <w:p>
            <w:pPr>
              <w:widowControl/>
              <w:jc w:val="center"/>
              <w:rPr>
                <w:color w:val="000000" w:themeColor="text1"/>
                <w:szCs w:val="28"/>
                <w14:textFill>
                  <w14:solidFill>
                    <w14:schemeClr w14:val="tx1"/>
                  </w14:solidFill>
                </w14:textFill>
              </w:rPr>
            </w:pPr>
          </w:p>
        </w:tc>
      </w:tr>
    </w:tbl>
    <w:p>
      <w:pPr>
        <w:pStyle w:val="5"/>
        <w:numPr>
          <w:ilvl w:val="255"/>
          <w:numId w:val="0"/>
        </w:numPr>
        <w:spacing w:line="560" w:lineRule="exact"/>
        <w:jc w:val="left"/>
        <w:rPr>
          <w:rFonts w:ascii="宋体" w:hAnsi="宋体" w:cs="宋体"/>
          <w:bCs/>
          <w:color w:val="000000" w:themeColor="text1"/>
          <w:sz w:val="28"/>
          <w:szCs w:val="28"/>
          <w14:textFill>
            <w14:solidFill>
              <w14:schemeClr w14:val="tx1"/>
            </w14:solidFill>
          </w14:textFill>
        </w:rPr>
      </w:pPr>
      <w:bookmarkStart w:id="50" w:name="_Toc22591"/>
      <w:r>
        <w:rPr>
          <w:rFonts w:hint="eastAsia" w:ascii="宋体" w:hAnsi="宋体" w:cs="宋体"/>
          <w:bCs/>
          <w:color w:val="000000" w:themeColor="text1"/>
          <w:sz w:val="28"/>
          <w:szCs w:val="28"/>
          <w14:textFill>
            <w14:solidFill>
              <w14:schemeClr w14:val="tx1"/>
            </w14:solidFill>
          </w14:textFill>
        </w:rPr>
        <w:t>二、招标项目技术需求</w:t>
      </w:r>
      <w:bookmarkEnd w:id="50"/>
    </w:p>
    <w:p>
      <w:pPr>
        <w:jc w:val="left"/>
        <w:rPr>
          <w:rFonts w:ascii="宋体" w:hAnsi="宋体" w:cs="宋体"/>
          <w:color w:val="000000" w:themeColor="text1"/>
          <w:sz w:val="24"/>
          <w:szCs w:val="24"/>
          <w14:textFill>
            <w14:solidFill>
              <w14:schemeClr w14:val="tx1"/>
            </w14:solidFill>
          </w14:textFill>
        </w:rPr>
      </w:pPr>
      <w:bookmarkStart w:id="51" w:name="_Hlk73285454"/>
      <w:r>
        <w:rPr>
          <w:rFonts w:hint="eastAsia" w:ascii="宋体" w:hAnsi="宋体" w:cs="宋体"/>
          <w:b/>
          <w:bCs/>
          <w:color w:val="000000" w:themeColor="text1"/>
          <w14:textFill>
            <w14:solidFill>
              <w14:schemeClr w14:val="tx1"/>
            </w14:solidFill>
          </w14:textFill>
        </w:rPr>
        <w:t>（一）体脂检测仪</w:t>
      </w:r>
      <w:r>
        <w:rPr>
          <w:rFonts w:hint="eastAsia"/>
          <w:color w:val="000000" w:themeColor="text1"/>
          <w14:textFill>
            <w14:solidFill>
              <w14:schemeClr w14:val="tx1"/>
            </w14:solidFill>
          </w14:textFill>
        </w:rPr>
        <w:t>（人体成分分析仪）</w:t>
      </w:r>
    </w:p>
    <w:bookmarkEnd w:id="51"/>
    <w:p>
      <w:pPr>
        <w:widowControl/>
        <w:rPr>
          <w:rFonts w:ascii="宋体" w:hAnsi="宋体" w:cs="宋体"/>
          <w:kern w:val="0"/>
          <w:sz w:val="24"/>
          <w:szCs w:val="24"/>
        </w:rPr>
      </w:pPr>
      <w:r>
        <w:rPr>
          <w:rFonts w:hint="eastAsia" w:ascii="宋体" w:hAnsi="宋体" w:cs="宋体"/>
          <w:kern w:val="0"/>
          <w:sz w:val="24"/>
          <w:szCs w:val="24"/>
        </w:rPr>
        <w:t>一、主要参数：</w:t>
      </w:r>
    </w:p>
    <w:p>
      <w:pPr>
        <w:widowControl/>
        <w:rPr>
          <w:rFonts w:ascii="宋体" w:hAnsi="宋体" w:cs="宋体"/>
          <w:kern w:val="0"/>
          <w:sz w:val="24"/>
          <w:szCs w:val="24"/>
        </w:rPr>
      </w:pPr>
      <w:r>
        <w:rPr>
          <w:rFonts w:hint="eastAsia" w:ascii="宋体" w:hAnsi="宋体" w:cs="宋体"/>
          <w:kern w:val="0"/>
          <w:sz w:val="24"/>
          <w:szCs w:val="24"/>
        </w:rPr>
        <w:t>1.1 输出值</w:t>
      </w:r>
    </w:p>
    <w:p>
      <w:pPr>
        <w:widowControl/>
        <w:rPr>
          <w:rFonts w:ascii="宋体" w:hAnsi="宋体" w:cs="宋体"/>
          <w:kern w:val="0"/>
          <w:sz w:val="24"/>
          <w:szCs w:val="24"/>
        </w:rPr>
      </w:pPr>
      <w:r>
        <w:rPr>
          <w:rFonts w:hint="eastAsia" w:ascii="宋体" w:hAnsi="宋体" w:cs="宋体"/>
          <w:kern w:val="0"/>
          <w:sz w:val="24"/>
          <w:szCs w:val="24"/>
        </w:rPr>
        <w:t xml:space="preserve">1.1.1 成人报告内容 </w:t>
      </w:r>
      <w:bookmarkStart w:id="52" w:name="OLE_LINK4"/>
      <w:r>
        <w:rPr>
          <w:rFonts w:hint="eastAsia" w:ascii="宋体" w:hAnsi="宋体" w:cs="宋体"/>
          <w:kern w:val="0"/>
          <w:sz w:val="24"/>
          <w:szCs w:val="24"/>
        </w:rPr>
        <w:t>（含研究结果及结果解析）</w:t>
      </w:r>
      <w:bookmarkEnd w:id="52"/>
    </w:p>
    <w:p>
      <w:pPr>
        <w:widowControl/>
        <w:ind w:firstLine="480" w:firstLineChars="200"/>
        <w:rPr>
          <w:rFonts w:ascii="宋体" w:hAnsi="宋体" w:cs="宋体"/>
          <w:kern w:val="0"/>
          <w:sz w:val="24"/>
          <w:szCs w:val="24"/>
        </w:rPr>
      </w:pPr>
      <w:r>
        <w:rPr>
          <w:rFonts w:hint="eastAsia" w:ascii="宋体" w:hAnsi="宋体" w:cs="宋体"/>
          <w:kern w:val="0"/>
          <w:sz w:val="24"/>
          <w:szCs w:val="24"/>
        </w:rPr>
        <w:t>人体成分分析(身体总水分、蛋白质、无机盐、体脂肪、肌肉量、去脂体重、体重), 肌肉脂肪分析(体重、骨骼肌、体脂肪), 肥胖分析(身体质量指数、体脂百分比), 肌肉均衡(右上肢、左上肢、躯干、右下肢、左下肢), 节段脂肪分析（右上肢、左上肢、躯干、右下肢、左下肢）, 人体成分测试历史记录(体重、骨骼肌、体脂百分比), InBody评分, 体型（运动员、一般强壮型、肥胖、肌肉型、健康、偏胖、苗条肌肉、苗条、隐形肥胖、消瘦、偏瘦）, 体重控制(目标体重、体重控制、脂肪控制、肌肉控制), 营养评估(蛋白质、无机盐、体脂肪)，肥胖评估(BMI、体脂百分比)，身体均衡评估(上肢、下肢、上下肢),  身体围度(颈围、胸围、腹围、臀围，右上臂、左上臂、右大腿、左大腿)，腰臀比（图例），内脏脂肪等级（图例），研究项目(骨骼肌、去脂体重、基础代谢率、腰臀比、腹围、内脏脂肪等级、肥胖度、骨矿物质含量、去脂体重指数、脂肪量指数、SMI、骨骼肌肉量/体重、建议的热量摄入), 运动热量消耗, SMI历史记录，血压, 测试结果QR代码，结果解析QR代码, 生物电阻抗(右上肢、左上肢、躯干、右下肢、左下肢)</w:t>
      </w:r>
    </w:p>
    <w:p>
      <w:pPr>
        <w:widowControl/>
        <w:rPr>
          <w:rFonts w:ascii="宋体" w:hAnsi="宋体" w:cs="宋体"/>
          <w:kern w:val="0"/>
          <w:sz w:val="24"/>
          <w:szCs w:val="24"/>
        </w:rPr>
      </w:pPr>
      <w:r>
        <w:rPr>
          <w:rFonts w:hint="eastAsia" w:ascii="宋体" w:hAnsi="宋体" w:cs="宋体"/>
          <w:kern w:val="0"/>
          <w:sz w:val="24"/>
          <w:szCs w:val="24"/>
        </w:rPr>
        <w:t>1.1.2 儿童报告内容 （含研究结果及结果解析）</w:t>
      </w:r>
    </w:p>
    <w:p>
      <w:pPr>
        <w:widowControl/>
        <w:ind w:firstLine="480" w:firstLineChars="200"/>
        <w:rPr>
          <w:rFonts w:ascii="宋体" w:hAnsi="宋体" w:cs="宋体"/>
          <w:kern w:val="0"/>
          <w:sz w:val="24"/>
          <w:szCs w:val="24"/>
        </w:rPr>
      </w:pPr>
      <w:r>
        <w:rPr>
          <w:rFonts w:hint="eastAsia" w:ascii="宋体" w:hAnsi="宋体" w:cs="宋体"/>
          <w:kern w:val="0"/>
          <w:sz w:val="24"/>
          <w:szCs w:val="24"/>
        </w:rPr>
        <w:t>人体成分分析(身体总水分、蛋白质、无机盐、体脂肪、体重), 肌肉脂肪分析(体重、骨骼肌、体脂肪), 肥胖分析(身体质量指数、体脂百分比), 成长曲线(身高、体重), 人体成分测试历史记录(身高、体重、骨骼肌、体脂百分比), 成长分数, 体重控制（目标体重、体重控制、脂肪控制、肌肉控制），营养评估(蛋白质、无机盐、体脂肪), 肥胖评估(BMI、体脂百分比)，身体均衡评估(上肢、下肢、上下肢), 肌肉均衡(右上肢、左上肢、躯干、右下肢、左下肢), 研究项目(骨骼肌、去脂体重、基础代谢率、儿童肥胖度、骨矿物质含量、去脂体重指数、脂肪量指数、SMI、骨骼肌肉量/体重), SMI历史记录，血压, 测试结果QR代码，结果解析QR代码, 生物电阻抗(右上肢、左上肢、躯干、右下肢、左下肢)</w:t>
      </w:r>
    </w:p>
    <w:p>
      <w:pPr>
        <w:widowControl/>
        <w:rPr>
          <w:rFonts w:ascii="宋体" w:hAnsi="宋体" w:cs="宋体"/>
          <w:kern w:val="0"/>
          <w:sz w:val="24"/>
          <w:szCs w:val="24"/>
        </w:rPr>
      </w:pPr>
      <w:r>
        <w:rPr>
          <w:rFonts w:hint="eastAsia" w:ascii="宋体" w:hAnsi="宋体" w:cs="宋体"/>
          <w:kern w:val="0"/>
          <w:sz w:val="24"/>
          <w:szCs w:val="24"/>
        </w:rPr>
        <w:t>1.1.3 简易报告内容（含研究结果及结果解析）</w:t>
      </w:r>
    </w:p>
    <w:p>
      <w:pPr>
        <w:widowControl/>
        <w:ind w:firstLine="480" w:firstLineChars="200"/>
        <w:rPr>
          <w:rFonts w:ascii="宋体" w:hAnsi="宋体" w:cs="宋体"/>
          <w:kern w:val="0"/>
          <w:sz w:val="24"/>
          <w:szCs w:val="24"/>
        </w:rPr>
      </w:pPr>
      <w:r>
        <w:rPr>
          <w:rFonts w:hint="eastAsia" w:ascii="宋体" w:hAnsi="宋体" w:cs="宋体"/>
          <w:kern w:val="0"/>
          <w:sz w:val="24"/>
          <w:szCs w:val="24"/>
        </w:rPr>
        <w:t>身体总水分、蛋白质、无机盐、体重、骨骼肌、体脂肪、体脂百分比、BMI、基础代谢率、腰臀比、腹围、内脏脂肪等级、去脂体重指数、脂肪量指数、SMI、骨骼肌肉量/体重、肌肉均衡、节段脂肪分析、InBody评分、脂肪控制、肌肉控制、生物电阻抗（右上肢、左上肢、躯干、右下肢、左下肢）</w:t>
      </w:r>
    </w:p>
    <w:p>
      <w:pPr>
        <w:widowControl/>
        <w:rPr>
          <w:rFonts w:ascii="宋体" w:hAnsi="宋体" w:cs="宋体"/>
          <w:kern w:val="0"/>
          <w:sz w:val="24"/>
          <w:szCs w:val="24"/>
        </w:rPr>
      </w:pPr>
      <w:r>
        <w:rPr>
          <w:rFonts w:hint="eastAsia" w:ascii="宋体" w:hAnsi="宋体" w:cs="宋体"/>
          <w:kern w:val="0"/>
          <w:sz w:val="24"/>
          <w:szCs w:val="24"/>
        </w:rPr>
        <w:t>二、功能描述：</w:t>
      </w:r>
    </w:p>
    <w:p>
      <w:pPr>
        <w:widowControl/>
        <w:rPr>
          <w:rFonts w:ascii="宋体" w:hAnsi="宋体" w:cs="宋体"/>
          <w:kern w:val="0"/>
          <w:sz w:val="24"/>
          <w:szCs w:val="24"/>
        </w:rPr>
      </w:pPr>
      <w:r>
        <w:rPr>
          <w:rFonts w:hint="eastAsia" w:ascii="宋体" w:hAnsi="宋体" w:cs="宋体"/>
          <w:kern w:val="0"/>
          <w:sz w:val="24"/>
          <w:szCs w:val="24"/>
        </w:rPr>
        <w:t>2.1 生物电阻抗分析法(BIA)：生物电阻抗(Z)/通过在5个节段部分（右上肢、左上肢、躯干、右下肢、左下肢）分别使用5kHz、50kHz和250kHz频率进行≥15种电阻抗测量</w:t>
      </w:r>
    </w:p>
    <w:p>
      <w:pPr>
        <w:widowControl/>
        <w:rPr>
          <w:rFonts w:ascii="宋体" w:hAnsi="宋体" w:cs="宋体"/>
          <w:kern w:val="0"/>
          <w:sz w:val="24"/>
          <w:szCs w:val="24"/>
        </w:rPr>
      </w:pPr>
      <w:r>
        <w:rPr>
          <w:rFonts w:hint="eastAsia" w:ascii="宋体" w:hAnsi="宋体" w:cs="宋体"/>
          <w:kern w:val="0"/>
          <w:sz w:val="24"/>
          <w:szCs w:val="24"/>
        </w:rPr>
        <w:t>2.2 电极方法：4极8点接触式电极</w:t>
      </w:r>
    </w:p>
    <w:p>
      <w:pPr>
        <w:widowControl/>
        <w:rPr>
          <w:rFonts w:ascii="宋体" w:hAnsi="宋体" w:cs="宋体"/>
          <w:kern w:val="0"/>
          <w:sz w:val="24"/>
          <w:szCs w:val="24"/>
        </w:rPr>
      </w:pPr>
      <w:r>
        <w:rPr>
          <w:rFonts w:hint="eastAsia" w:ascii="宋体" w:hAnsi="宋体" w:cs="宋体"/>
          <w:kern w:val="0"/>
          <w:sz w:val="24"/>
          <w:szCs w:val="24"/>
        </w:rPr>
        <w:t>2.3 测量方法：直接节段多频率生物电阻抗分析法（DSM-BIA法）/同时多频率生物电阻抗分析法（SMFIM法）</w:t>
      </w:r>
    </w:p>
    <w:p>
      <w:pPr>
        <w:widowControl/>
        <w:rPr>
          <w:rFonts w:ascii="宋体" w:hAnsi="宋体" w:cs="宋体"/>
          <w:kern w:val="0"/>
          <w:sz w:val="24"/>
          <w:szCs w:val="24"/>
        </w:rPr>
      </w:pPr>
      <w:r>
        <w:rPr>
          <w:rFonts w:hint="eastAsia" w:ascii="宋体" w:hAnsi="宋体" w:cs="宋体"/>
          <w:kern w:val="0"/>
          <w:sz w:val="24"/>
          <w:szCs w:val="24"/>
        </w:rPr>
        <w:t>2.4 人体成分计算方法：不使用经验值估算</w:t>
      </w:r>
    </w:p>
    <w:p>
      <w:pPr>
        <w:widowControl/>
        <w:rPr>
          <w:rFonts w:ascii="宋体" w:hAnsi="宋体" w:cs="宋体"/>
          <w:kern w:val="0"/>
          <w:sz w:val="24"/>
          <w:szCs w:val="24"/>
        </w:rPr>
      </w:pPr>
      <w:r>
        <w:rPr>
          <w:rFonts w:hint="eastAsia" w:ascii="宋体" w:hAnsi="宋体" w:cs="宋体"/>
          <w:kern w:val="0"/>
          <w:sz w:val="24"/>
          <w:szCs w:val="24"/>
        </w:rPr>
        <w:t>2.5 标配：与主机厂家同一品牌数据软件软件</w:t>
      </w:r>
    </w:p>
    <w:p>
      <w:pPr>
        <w:widowControl/>
        <w:rPr>
          <w:rFonts w:ascii="宋体" w:hAnsi="宋体" w:cs="宋体"/>
          <w:kern w:val="0"/>
          <w:sz w:val="24"/>
          <w:szCs w:val="24"/>
        </w:rPr>
      </w:pPr>
      <w:r>
        <w:rPr>
          <w:rFonts w:hint="eastAsia" w:ascii="宋体" w:hAnsi="宋体" w:cs="宋体"/>
          <w:kern w:val="0"/>
          <w:sz w:val="24"/>
          <w:szCs w:val="24"/>
        </w:rPr>
        <w:t>2.6 选配装置：提供的身高仪、电子血压计、热敏打印机</w:t>
      </w:r>
    </w:p>
    <w:p>
      <w:pPr>
        <w:widowControl/>
        <w:rPr>
          <w:rFonts w:ascii="宋体" w:hAnsi="宋体" w:cs="宋体"/>
          <w:kern w:val="0"/>
          <w:sz w:val="24"/>
          <w:szCs w:val="24"/>
        </w:rPr>
      </w:pPr>
      <w:r>
        <w:rPr>
          <w:rFonts w:hint="eastAsia" w:ascii="宋体" w:hAnsi="宋体" w:cs="宋体"/>
          <w:kern w:val="0"/>
          <w:sz w:val="24"/>
          <w:szCs w:val="24"/>
        </w:rPr>
        <w:t>2.7 自定义标志：Logo、商户名和联系信息可在设备标配结果报告纸中显示</w:t>
      </w:r>
    </w:p>
    <w:p>
      <w:pPr>
        <w:widowControl/>
        <w:rPr>
          <w:rFonts w:ascii="宋体" w:hAnsi="宋体" w:cs="宋体"/>
          <w:kern w:val="0"/>
          <w:sz w:val="24"/>
          <w:szCs w:val="24"/>
        </w:rPr>
      </w:pPr>
      <w:r>
        <w:rPr>
          <w:rFonts w:hint="eastAsia" w:ascii="宋体" w:hAnsi="宋体" w:cs="宋体"/>
          <w:kern w:val="0"/>
          <w:sz w:val="24"/>
          <w:szCs w:val="24"/>
        </w:rPr>
        <w:t>2.8 数码显示结果：数据管理软件</w:t>
      </w:r>
    </w:p>
    <w:p>
      <w:pPr>
        <w:widowControl/>
        <w:rPr>
          <w:rFonts w:ascii="宋体" w:hAnsi="宋体" w:cs="宋体"/>
          <w:kern w:val="0"/>
          <w:sz w:val="24"/>
          <w:szCs w:val="24"/>
        </w:rPr>
      </w:pPr>
      <w:r>
        <w:rPr>
          <w:rFonts w:hint="eastAsia" w:ascii="宋体" w:hAnsi="宋体" w:cs="宋体"/>
          <w:kern w:val="0"/>
          <w:sz w:val="24"/>
          <w:szCs w:val="24"/>
        </w:rPr>
        <w:t>2.9 报告纸类型：主机厂家报告纸、主机厂家儿童报告纸、热敏报告纸</w:t>
      </w:r>
    </w:p>
    <w:p>
      <w:pPr>
        <w:widowControl/>
        <w:rPr>
          <w:rFonts w:ascii="宋体" w:hAnsi="宋体" w:cs="宋体"/>
          <w:kern w:val="0"/>
          <w:sz w:val="24"/>
          <w:szCs w:val="24"/>
        </w:rPr>
      </w:pPr>
      <w:r>
        <w:rPr>
          <w:rFonts w:hint="eastAsia" w:ascii="宋体" w:hAnsi="宋体" w:cs="宋体"/>
          <w:kern w:val="0"/>
          <w:sz w:val="24"/>
          <w:szCs w:val="24"/>
        </w:rPr>
        <w:t>2.10 提示：在输入个人信息、测试过程中、测试完成和成功保存设置更改</w:t>
      </w:r>
    </w:p>
    <w:p>
      <w:pPr>
        <w:widowControl/>
        <w:rPr>
          <w:rFonts w:ascii="宋体" w:hAnsi="宋体" w:cs="宋体"/>
          <w:kern w:val="0"/>
          <w:sz w:val="24"/>
          <w:szCs w:val="24"/>
        </w:rPr>
      </w:pPr>
      <w:r>
        <w:rPr>
          <w:rFonts w:hint="eastAsia" w:ascii="宋体" w:hAnsi="宋体" w:cs="宋体"/>
          <w:kern w:val="0"/>
          <w:sz w:val="24"/>
          <w:szCs w:val="24"/>
        </w:rPr>
        <w:t>2.11 数据库：使用ID可保存测试数据。最多可保存≥100,00000个测试结果（工作站内存）</w:t>
      </w:r>
    </w:p>
    <w:p>
      <w:pPr>
        <w:widowControl/>
        <w:rPr>
          <w:rFonts w:ascii="宋体" w:hAnsi="宋体" w:cs="宋体"/>
          <w:kern w:val="0"/>
          <w:sz w:val="24"/>
          <w:szCs w:val="24"/>
        </w:rPr>
      </w:pPr>
      <w:r>
        <w:rPr>
          <w:rFonts w:hint="eastAsia" w:ascii="宋体" w:hAnsi="宋体" w:cs="宋体"/>
          <w:kern w:val="0"/>
          <w:sz w:val="24"/>
          <w:szCs w:val="24"/>
        </w:rPr>
        <w:t xml:space="preserve">2.12 管理员菜单设置: 配置与管理数据 </w:t>
      </w:r>
    </w:p>
    <w:p>
      <w:pPr>
        <w:widowControl/>
        <w:rPr>
          <w:rFonts w:ascii="宋体" w:hAnsi="宋体" w:cs="宋体"/>
          <w:kern w:val="0"/>
          <w:sz w:val="24"/>
          <w:szCs w:val="24"/>
        </w:rPr>
      </w:pPr>
      <w:r>
        <w:rPr>
          <w:rFonts w:hint="eastAsia" w:ascii="宋体" w:hAnsi="宋体" w:cs="宋体"/>
          <w:kern w:val="0"/>
          <w:sz w:val="24"/>
          <w:szCs w:val="24"/>
        </w:rPr>
        <w:t xml:space="preserve">2.13 故障排除: 提供帮助使用主机厂家的附加信息 </w:t>
      </w:r>
    </w:p>
    <w:p>
      <w:pPr>
        <w:widowControl/>
        <w:rPr>
          <w:rFonts w:ascii="宋体" w:hAnsi="宋体" w:cs="宋体"/>
          <w:kern w:val="0"/>
          <w:sz w:val="24"/>
          <w:szCs w:val="24"/>
        </w:rPr>
      </w:pPr>
      <w:r>
        <w:rPr>
          <w:rFonts w:hint="eastAsia" w:ascii="宋体" w:hAnsi="宋体" w:cs="宋体"/>
          <w:kern w:val="0"/>
          <w:sz w:val="24"/>
          <w:szCs w:val="24"/>
        </w:rPr>
        <w:t>2.14 支持USB存储设备：复制、备份或恢复主机的数据（数据可以在Excel和原厂数据管理软件上查看）</w:t>
      </w:r>
    </w:p>
    <w:p>
      <w:pPr>
        <w:widowControl/>
        <w:rPr>
          <w:rFonts w:ascii="宋体" w:hAnsi="宋体" w:cs="宋体"/>
          <w:kern w:val="0"/>
          <w:sz w:val="24"/>
          <w:szCs w:val="24"/>
        </w:rPr>
      </w:pPr>
      <w:r>
        <w:rPr>
          <w:rFonts w:hint="eastAsia" w:ascii="宋体" w:hAnsi="宋体" w:cs="宋体"/>
          <w:kern w:val="0"/>
          <w:sz w:val="24"/>
          <w:szCs w:val="24"/>
        </w:rPr>
        <w:t>2.15 备份数据：可以通过USB存储器保存测试数据，及恢复备份的数据</w:t>
      </w:r>
    </w:p>
    <w:p>
      <w:pPr>
        <w:widowControl/>
        <w:rPr>
          <w:rFonts w:ascii="宋体" w:hAnsi="宋体" w:cs="宋体"/>
          <w:kern w:val="0"/>
          <w:sz w:val="24"/>
          <w:szCs w:val="24"/>
        </w:rPr>
      </w:pPr>
      <w:r>
        <w:rPr>
          <w:rFonts w:hint="eastAsia" w:ascii="宋体" w:hAnsi="宋体" w:cs="宋体"/>
          <w:kern w:val="0"/>
          <w:sz w:val="24"/>
          <w:szCs w:val="24"/>
        </w:rPr>
        <w:t>2.16 二维码：扫描测试结果二维码，可通过手机查询测试结果</w:t>
      </w:r>
    </w:p>
    <w:p>
      <w:pPr>
        <w:widowControl/>
        <w:rPr>
          <w:rFonts w:ascii="宋体" w:hAnsi="宋体" w:cs="宋体"/>
          <w:kern w:val="0"/>
          <w:sz w:val="24"/>
          <w:szCs w:val="24"/>
        </w:rPr>
      </w:pPr>
      <w:r>
        <w:rPr>
          <w:rFonts w:hint="eastAsia" w:ascii="宋体" w:hAnsi="宋体" w:cs="宋体"/>
          <w:kern w:val="0"/>
          <w:sz w:val="24"/>
          <w:szCs w:val="24"/>
        </w:rPr>
        <w:t xml:space="preserve">2.17 额定电流：200 µA(±40µA) </w:t>
      </w:r>
    </w:p>
    <w:p>
      <w:pPr>
        <w:widowControl/>
        <w:rPr>
          <w:rFonts w:ascii="宋体" w:hAnsi="宋体" w:cs="宋体"/>
          <w:kern w:val="0"/>
          <w:sz w:val="24"/>
          <w:szCs w:val="24"/>
        </w:rPr>
      </w:pPr>
      <w:r>
        <w:rPr>
          <w:rFonts w:hint="eastAsia" w:ascii="宋体" w:hAnsi="宋体" w:cs="宋体"/>
          <w:kern w:val="0"/>
          <w:sz w:val="24"/>
          <w:szCs w:val="24"/>
        </w:rPr>
        <w:t xml:space="preserve">2.18 适配器：输入电源 AC 100-240V，50/60Hz，1.2A/输出电源 DC 12V，3.4A </w:t>
      </w:r>
    </w:p>
    <w:p>
      <w:pPr>
        <w:widowControl/>
        <w:rPr>
          <w:rFonts w:ascii="宋体" w:hAnsi="宋体" w:cs="宋体"/>
          <w:kern w:val="0"/>
          <w:sz w:val="24"/>
          <w:szCs w:val="24"/>
        </w:rPr>
      </w:pPr>
      <w:r>
        <w:rPr>
          <w:rFonts w:hint="eastAsia" w:ascii="宋体" w:hAnsi="宋体" w:cs="宋体"/>
          <w:kern w:val="0"/>
          <w:sz w:val="24"/>
          <w:szCs w:val="24"/>
        </w:rPr>
        <w:t>2.19 兼容性打印机：激光/喷墨打印机（主机厂家推荐的打印机）</w:t>
      </w:r>
    </w:p>
    <w:p>
      <w:pPr>
        <w:rPr>
          <w:sz w:val="24"/>
          <w:szCs w:val="24"/>
        </w:rPr>
      </w:pPr>
    </w:p>
    <w:p/>
    <w:p>
      <w:pPr>
        <w:pStyle w:val="2"/>
      </w:pPr>
    </w:p>
    <w:p>
      <w:pPr>
        <w:jc w:val="left"/>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（二）</w:t>
      </w:r>
      <w:r>
        <w:rPr>
          <w:rFonts w:hint="eastAsia"/>
          <w:b/>
          <w:color w:val="000000" w:themeColor="text1"/>
          <w14:textFill>
            <w14:solidFill>
              <w14:schemeClr w14:val="tx1"/>
            </w14:solidFill>
          </w14:textFill>
        </w:rPr>
        <w:t>垂直电泳槽（含转印系统）</w:t>
      </w:r>
    </w:p>
    <w:p>
      <w:pPr>
        <w:widowControl/>
        <w:rPr>
          <w:rFonts w:ascii="宋体" w:hAnsi="宋体" w:cs="宋体"/>
          <w:kern w:val="0"/>
          <w:sz w:val="24"/>
          <w:szCs w:val="24"/>
        </w:rPr>
      </w:pPr>
      <w:r>
        <w:rPr>
          <w:rFonts w:hint="eastAsia" w:ascii="宋体" w:hAnsi="宋体" w:cs="宋体"/>
          <w:kern w:val="0"/>
          <w:sz w:val="24"/>
          <w:szCs w:val="24"/>
        </w:rPr>
        <w:t>一、 垂直电泳槽</w:t>
      </w:r>
    </w:p>
    <w:p>
      <w:pPr>
        <w:widowControl/>
        <w:rPr>
          <w:rFonts w:ascii="宋体" w:hAnsi="宋体" w:cs="宋体"/>
          <w:kern w:val="0"/>
          <w:sz w:val="24"/>
          <w:szCs w:val="24"/>
        </w:rPr>
      </w:pPr>
      <w:r>
        <w:rPr>
          <w:rFonts w:hint="eastAsia" w:ascii="宋体" w:hAnsi="宋体" w:cs="宋体"/>
          <w:kern w:val="0"/>
          <w:sz w:val="24"/>
          <w:szCs w:val="24"/>
        </w:rPr>
        <w:t>1.1 功能描述：</w:t>
      </w:r>
    </w:p>
    <w:p>
      <w:pPr>
        <w:widowControl/>
        <w:rPr>
          <w:rFonts w:ascii="宋体" w:hAnsi="宋体" w:cs="宋体"/>
          <w:kern w:val="0"/>
          <w:sz w:val="24"/>
          <w:szCs w:val="24"/>
        </w:rPr>
      </w:pPr>
      <w:r>
        <w:rPr>
          <w:rFonts w:hint="eastAsia" w:ascii="宋体" w:hAnsi="宋体" w:cs="宋体"/>
          <w:kern w:val="0"/>
          <w:sz w:val="24"/>
          <w:szCs w:val="24"/>
        </w:rPr>
        <w:t>1.1.1 高强度进口 PC 材料模压而成，高度透明。</w:t>
      </w:r>
    </w:p>
    <w:p>
      <w:pPr>
        <w:widowControl/>
        <w:rPr>
          <w:rFonts w:ascii="宋体" w:hAnsi="宋体" w:cs="宋体"/>
          <w:kern w:val="0"/>
          <w:sz w:val="24"/>
          <w:szCs w:val="24"/>
        </w:rPr>
      </w:pPr>
      <w:r>
        <w:rPr>
          <w:rFonts w:hint="eastAsia" w:ascii="宋体" w:hAnsi="宋体" w:cs="宋体"/>
          <w:kern w:val="0"/>
          <w:sz w:val="24"/>
          <w:szCs w:val="24"/>
        </w:rPr>
        <w:t>1.1.2 电极芯：防止电极液泄漏设计。可2个电极芯同时运行1-4块凝胶。</w:t>
      </w:r>
    </w:p>
    <w:p>
      <w:pPr>
        <w:widowControl/>
        <w:rPr>
          <w:rFonts w:ascii="宋体" w:hAnsi="宋体" w:cs="宋体"/>
          <w:kern w:val="0"/>
          <w:sz w:val="24"/>
          <w:szCs w:val="24"/>
        </w:rPr>
      </w:pPr>
      <w:r>
        <w:rPr>
          <w:rFonts w:hint="eastAsia" w:ascii="宋体" w:hAnsi="宋体" w:cs="宋体"/>
          <w:kern w:val="0"/>
          <w:sz w:val="24"/>
          <w:szCs w:val="24"/>
        </w:rPr>
        <w:t>1.1.3 制胶架：分体设计，能同时灌制的两块凝胶，具有弹簧杠杆设计</w:t>
      </w:r>
    </w:p>
    <w:p>
      <w:pPr>
        <w:widowControl/>
        <w:rPr>
          <w:rFonts w:ascii="宋体" w:hAnsi="宋体" w:cs="宋体"/>
          <w:kern w:val="0"/>
          <w:sz w:val="24"/>
          <w:szCs w:val="24"/>
        </w:rPr>
      </w:pPr>
      <w:r>
        <w:rPr>
          <w:rFonts w:hint="eastAsia" w:ascii="宋体" w:hAnsi="宋体" w:cs="宋体"/>
          <w:kern w:val="0"/>
          <w:sz w:val="24"/>
          <w:szCs w:val="24"/>
        </w:rPr>
        <w:t>1.1.4 夹胶框：凸轮卡锁结构设计。</w:t>
      </w:r>
    </w:p>
    <w:p>
      <w:pPr>
        <w:widowControl/>
        <w:rPr>
          <w:rFonts w:ascii="宋体" w:hAnsi="宋体" w:cs="宋体"/>
          <w:kern w:val="0"/>
          <w:sz w:val="24"/>
          <w:szCs w:val="24"/>
        </w:rPr>
      </w:pPr>
      <w:r>
        <w:rPr>
          <w:rFonts w:hint="eastAsia" w:ascii="宋体" w:hAnsi="宋体" w:cs="宋体"/>
          <w:kern w:val="0"/>
          <w:sz w:val="24"/>
          <w:szCs w:val="24"/>
        </w:rPr>
        <w:t>1.1.5 玻璃板：封边垫条永久地固定在厚玻璃板上保证玻璃板精确对齐，带有边条厚度的标记。</w:t>
      </w:r>
    </w:p>
    <w:p>
      <w:pPr>
        <w:widowControl/>
        <w:rPr>
          <w:rFonts w:ascii="宋体" w:hAnsi="宋体" w:cs="宋体"/>
          <w:kern w:val="0"/>
          <w:sz w:val="24"/>
          <w:szCs w:val="24"/>
        </w:rPr>
      </w:pPr>
      <w:r>
        <w:rPr>
          <w:rFonts w:hint="eastAsia" w:ascii="宋体" w:hAnsi="宋体" w:cs="宋体"/>
          <w:kern w:val="0"/>
          <w:sz w:val="24"/>
          <w:szCs w:val="24"/>
        </w:rPr>
        <w:t>1.1.6 电泳梳：不会抑制凝胶聚合反应，制胶过程中有内置的脊来避免空气的接触，具有厚度和孔数的标记。</w:t>
      </w:r>
    </w:p>
    <w:p>
      <w:pPr>
        <w:widowControl/>
        <w:rPr>
          <w:rFonts w:ascii="宋体" w:hAnsi="宋体" w:cs="宋体"/>
          <w:kern w:val="0"/>
          <w:sz w:val="24"/>
          <w:szCs w:val="24"/>
        </w:rPr>
      </w:pPr>
      <w:r>
        <w:rPr>
          <w:rFonts w:hint="eastAsia" w:ascii="宋体" w:hAnsi="宋体" w:cs="宋体"/>
          <w:kern w:val="0"/>
          <w:sz w:val="24"/>
          <w:szCs w:val="24"/>
        </w:rPr>
        <w:t>1.1.7 配有：剥胶铲，导样器，玻璃支架</w:t>
      </w:r>
    </w:p>
    <w:p>
      <w:pPr>
        <w:widowControl/>
        <w:rPr>
          <w:rFonts w:ascii="宋体" w:hAnsi="宋体" w:cs="宋体"/>
          <w:kern w:val="0"/>
          <w:sz w:val="24"/>
          <w:szCs w:val="24"/>
        </w:rPr>
      </w:pPr>
      <w:r>
        <w:rPr>
          <w:rFonts w:hint="eastAsia" w:ascii="宋体" w:hAnsi="宋体" w:cs="宋体"/>
          <w:kern w:val="0"/>
          <w:sz w:val="24"/>
          <w:szCs w:val="24"/>
        </w:rPr>
        <w:t>1.2 技术规格</w:t>
      </w:r>
    </w:p>
    <w:p>
      <w:pPr>
        <w:widowControl/>
        <w:rPr>
          <w:rFonts w:ascii="宋体" w:hAnsi="宋体" w:cs="宋体"/>
          <w:kern w:val="0"/>
          <w:sz w:val="24"/>
          <w:szCs w:val="24"/>
        </w:rPr>
      </w:pPr>
      <w:r>
        <w:rPr>
          <w:rFonts w:hint="eastAsia" w:ascii="宋体" w:hAnsi="宋体" w:cs="宋体"/>
          <w:kern w:val="0"/>
          <w:sz w:val="24"/>
          <w:szCs w:val="24"/>
        </w:rPr>
        <w:t>1.2.1 长玻璃板面积（W×L）：≥101×82（mm）</w:t>
      </w:r>
    </w:p>
    <w:p>
      <w:pPr>
        <w:widowControl/>
        <w:rPr>
          <w:rFonts w:ascii="宋体" w:hAnsi="宋体" w:cs="宋体"/>
          <w:kern w:val="0"/>
          <w:sz w:val="24"/>
          <w:szCs w:val="24"/>
        </w:rPr>
      </w:pPr>
      <w:r>
        <w:rPr>
          <w:rFonts w:hint="eastAsia" w:ascii="宋体" w:hAnsi="宋体" w:cs="宋体"/>
          <w:kern w:val="0"/>
          <w:sz w:val="24"/>
          <w:szCs w:val="24"/>
        </w:rPr>
        <w:t>1.2.2 短玻璃板面积（W×L）：≥101×73（mm）</w:t>
      </w:r>
    </w:p>
    <w:p>
      <w:pPr>
        <w:widowControl/>
        <w:rPr>
          <w:rFonts w:ascii="宋体" w:hAnsi="宋体" w:cs="宋体"/>
          <w:kern w:val="0"/>
          <w:sz w:val="24"/>
          <w:szCs w:val="24"/>
        </w:rPr>
      </w:pPr>
      <w:r>
        <w:rPr>
          <w:rFonts w:hint="eastAsia" w:ascii="宋体" w:hAnsi="宋体" w:cs="宋体"/>
          <w:kern w:val="0"/>
          <w:sz w:val="24"/>
          <w:szCs w:val="24"/>
        </w:rPr>
        <w:t>1.2.3 凝胶面积（W×L）：≥83×73（mm）</w:t>
      </w:r>
    </w:p>
    <w:p>
      <w:pPr>
        <w:widowControl/>
        <w:rPr>
          <w:rFonts w:ascii="宋体" w:hAnsi="宋体" w:cs="宋体"/>
          <w:kern w:val="0"/>
          <w:sz w:val="24"/>
          <w:szCs w:val="24"/>
        </w:rPr>
      </w:pPr>
      <w:r>
        <w:rPr>
          <w:rFonts w:hint="eastAsia" w:ascii="宋体" w:hAnsi="宋体" w:cs="宋体"/>
          <w:kern w:val="0"/>
          <w:sz w:val="24"/>
          <w:szCs w:val="24"/>
        </w:rPr>
        <w:t>1.2.4 凝胶厚度：1.0mm（标配）±0.5%；0.75mm±0.5%,1.5mm±0.5%（选配）</w:t>
      </w:r>
    </w:p>
    <w:p>
      <w:pPr>
        <w:widowControl/>
        <w:rPr>
          <w:rFonts w:ascii="宋体" w:hAnsi="宋体" w:cs="宋体"/>
          <w:kern w:val="0"/>
          <w:sz w:val="24"/>
          <w:szCs w:val="24"/>
        </w:rPr>
      </w:pPr>
      <w:r>
        <w:rPr>
          <w:rFonts w:hint="eastAsia" w:ascii="宋体" w:hAnsi="宋体" w:cs="宋体"/>
          <w:kern w:val="0"/>
          <w:sz w:val="24"/>
          <w:szCs w:val="24"/>
        </w:rPr>
        <w:t>1.2.5 凝胶数量：1～4（块）</w:t>
      </w:r>
    </w:p>
    <w:p>
      <w:pPr>
        <w:widowControl/>
        <w:rPr>
          <w:rFonts w:ascii="宋体" w:hAnsi="宋体" w:cs="宋体"/>
          <w:kern w:val="0"/>
          <w:sz w:val="24"/>
          <w:szCs w:val="24"/>
        </w:rPr>
      </w:pPr>
      <w:r>
        <w:rPr>
          <w:rFonts w:hint="eastAsia" w:ascii="宋体" w:hAnsi="宋体" w:cs="宋体"/>
          <w:kern w:val="0"/>
          <w:sz w:val="24"/>
          <w:szCs w:val="24"/>
        </w:rPr>
        <w:t xml:space="preserve">1.2.6 样品通量：10、15齿； </w:t>
      </w:r>
    </w:p>
    <w:p>
      <w:pPr>
        <w:widowControl/>
        <w:rPr>
          <w:rFonts w:ascii="宋体" w:hAnsi="宋体" w:cs="宋体"/>
          <w:kern w:val="0"/>
          <w:sz w:val="24"/>
          <w:szCs w:val="24"/>
        </w:rPr>
      </w:pPr>
      <w:r>
        <w:rPr>
          <w:rFonts w:hint="eastAsia" w:ascii="宋体" w:hAnsi="宋体" w:cs="宋体"/>
          <w:kern w:val="0"/>
          <w:sz w:val="24"/>
          <w:szCs w:val="24"/>
        </w:rPr>
        <w:t>1.2.7 缓冲液体积：2块胶：700m/4块胶：1000ml</w:t>
      </w:r>
    </w:p>
    <w:p>
      <w:pPr>
        <w:widowControl/>
        <w:rPr>
          <w:rFonts w:ascii="宋体" w:hAnsi="宋体" w:cs="宋体"/>
          <w:kern w:val="0"/>
          <w:sz w:val="24"/>
          <w:szCs w:val="24"/>
        </w:rPr>
      </w:pPr>
      <w:r>
        <w:rPr>
          <w:rFonts w:hint="eastAsia" w:ascii="宋体" w:hAnsi="宋体" w:cs="宋体"/>
          <w:kern w:val="0"/>
          <w:sz w:val="24"/>
          <w:szCs w:val="24"/>
        </w:rPr>
        <w:t>二、 转移电泳槽</w:t>
      </w:r>
    </w:p>
    <w:p>
      <w:pPr>
        <w:widowControl/>
        <w:rPr>
          <w:rFonts w:ascii="宋体" w:hAnsi="宋体" w:cs="宋体"/>
          <w:kern w:val="0"/>
          <w:sz w:val="24"/>
          <w:szCs w:val="24"/>
        </w:rPr>
      </w:pPr>
      <w:r>
        <w:rPr>
          <w:rFonts w:hint="eastAsia" w:ascii="宋体" w:hAnsi="宋体" w:cs="宋体"/>
          <w:kern w:val="0"/>
          <w:sz w:val="24"/>
          <w:szCs w:val="24"/>
        </w:rPr>
        <w:t>2.1 功能描述：</w:t>
      </w:r>
    </w:p>
    <w:p>
      <w:pPr>
        <w:widowControl/>
        <w:rPr>
          <w:rFonts w:ascii="宋体" w:hAnsi="宋体" w:cs="宋体"/>
          <w:kern w:val="0"/>
          <w:sz w:val="24"/>
          <w:szCs w:val="24"/>
        </w:rPr>
      </w:pPr>
      <w:r>
        <w:rPr>
          <w:rFonts w:hint="eastAsia" w:ascii="宋体" w:hAnsi="宋体" w:cs="宋体"/>
          <w:kern w:val="0"/>
          <w:sz w:val="24"/>
          <w:szCs w:val="24"/>
        </w:rPr>
        <w:t>2.1.1 1小时内转印2块10×7.5cm凝胶，也可以进行低强度的隔夜转印；</w:t>
      </w:r>
    </w:p>
    <w:p>
      <w:pPr>
        <w:widowControl/>
        <w:rPr>
          <w:rFonts w:ascii="宋体" w:hAnsi="宋体" w:cs="宋体"/>
          <w:kern w:val="0"/>
          <w:sz w:val="24"/>
          <w:szCs w:val="24"/>
        </w:rPr>
      </w:pPr>
      <w:r>
        <w:rPr>
          <w:rFonts w:hint="eastAsia" w:ascii="宋体" w:hAnsi="宋体" w:cs="宋体"/>
          <w:kern w:val="0"/>
          <w:sz w:val="24"/>
          <w:szCs w:val="24"/>
        </w:rPr>
        <w:t>2.1.2 电极丝相距4cm以；</w:t>
      </w:r>
    </w:p>
    <w:p>
      <w:pPr>
        <w:widowControl/>
        <w:rPr>
          <w:rFonts w:ascii="宋体" w:hAnsi="宋体" w:cs="宋体"/>
          <w:kern w:val="0"/>
          <w:sz w:val="24"/>
          <w:szCs w:val="24"/>
        </w:rPr>
      </w:pPr>
      <w:r>
        <w:rPr>
          <w:rFonts w:hint="eastAsia" w:ascii="宋体" w:hAnsi="宋体" w:cs="宋体"/>
          <w:kern w:val="0"/>
          <w:sz w:val="24"/>
          <w:szCs w:val="24"/>
        </w:rPr>
        <w:t>2.1.3 红黑转印夹和电极确保转印过程中凝胶的正确定向；</w:t>
      </w:r>
    </w:p>
    <w:p>
      <w:pPr>
        <w:widowControl/>
        <w:rPr>
          <w:rFonts w:ascii="宋体" w:hAnsi="宋体" w:cs="宋体"/>
          <w:kern w:val="0"/>
          <w:sz w:val="24"/>
          <w:szCs w:val="24"/>
        </w:rPr>
      </w:pPr>
      <w:r>
        <w:rPr>
          <w:rFonts w:hint="eastAsia" w:ascii="宋体" w:hAnsi="宋体" w:cs="宋体"/>
          <w:kern w:val="0"/>
          <w:sz w:val="24"/>
          <w:szCs w:val="24"/>
        </w:rPr>
        <w:t>2.1.4 蓝色制冷芯可完全置于转印槽内吸收热量；</w:t>
      </w:r>
    </w:p>
    <w:p>
      <w:pPr>
        <w:widowControl/>
        <w:rPr>
          <w:rFonts w:ascii="宋体" w:hAnsi="宋体" w:cs="宋体"/>
          <w:kern w:val="0"/>
          <w:sz w:val="24"/>
          <w:szCs w:val="24"/>
        </w:rPr>
      </w:pPr>
      <w:r>
        <w:rPr>
          <w:rFonts w:hint="eastAsia" w:ascii="宋体" w:hAnsi="宋体" w:cs="宋体"/>
          <w:kern w:val="0"/>
          <w:sz w:val="24"/>
          <w:szCs w:val="24"/>
        </w:rPr>
        <w:t>2.1.5 安全开盖按钮，上盖的开启设计；</w:t>
      </w:r>
    </w:p>
    <w:p>
      <w:pPr>
        <w:widowControl/>
        <w:rPr>
          <w:rFonts w:ascii="宋体" w:hAnsi="宋体" w:cs="宋体"/>
          <w:kern w:val="0"/>
          <w:sz w:val="24"/>
          <w:szCs w:val="24"/>
        </w:rPr>
      </w:pPr>
      <w:r>
        <w:rPr>
          <w:rFonts w:hint="eastAsia" w:ascii="宋体" w:hAnsi="宋体" w:cs="宋体"/>
          <w:kern w:val="0"/>
          <w:sz w:val="24"/>
          <w:szCs w:val="24"/>
        </w:rPr>
        <w:t>2.1.6 可拆卸电极板</w:t>
      </w:r>
    </w:p>
    <w:p>
      <w:pPr>
        <w:widowControl/>
        <w:rPr>
          <w:rFonts w:ascii="宋体" w:hAnsi="宋体" w:cs="宋体"/>
          <w:kern w:val="0"/>
          <w:sz w:val="24"/>
          <w:szCs w:val="24"/>
        </w:rPr>
      </w:pPr>
      <w:r>
        <w:rPr>
          <w:rFonts w:hint="eastAsia" w:ascii="宋体" w:hAnsi="宋体" w:cs="宋体"/>
          <w:kern w:val="0"/>
          <w:sz w:val="24"/>
          <w:szCs w:val="24"/>
        </w:rPr>
        <w:t>2.1.7 开盖时自动切断电泳电场</w:t>
      </w:r>
    </w:p>
    <w:p>
      <w:pPr>
        <w:widowControl/>
        <w:rPr>
          <w:rFonts w:ascii="宋体" w:hAnsi="宋体" w:cs="宋体"/>
          <w:kern w:val="0"/>
          <w:sz w:val="24"/>
          <w:szCs w:val="24"/>
        </w:rPr>
      </w:pPr>
      <w:r>
        <w:rPr>
          <w:rFonts w:hint="eastAsia" w:ascii="宋体" w:hAnsi="宋体" w:cs="宋体"/>
          <w:kern w:val="0"/>
          <w:sz w:val="24"/>
          <w:szCs w:val="24"/>
        </w:rPr>
        <w:t>2.1.8 既可作为完整的独立设备又可作为一个模块与Mini-P4电泳槽的缓冲液槽和盖兼容。</w:t>
      </w:r>
    </w:p>
    <w:p>
      <w:pPr>
        <w:widowControl/>
        <w:rPr>
          <w:rFonts w:ascii="宋体" w:hAnsi="宋体" w:cs="宋体"/>
          <w:kern w:val="0"/>
          <w:sz w:val="24"/>
          <w:szCs w:val="24"/>
        </w:rPr>
      </w:pPr>
      <w:r>
        <w:rPr>
          <w:rFonts w:hint="eastAsia" w:ascii="宋体" w:hAnsi="宋体" w:cs="宋体"/>
          <w:kern w:val="0"/>
          <w:sz w:val="24"/>
          <w:szCs w:val="24"/>
        </w:rPr>
        <w:t>2.2 技术规格</w:t>
      </w:r>
    </w:p>
    <w:p>
      <w:pPr>
        <w:widowControl/>
        <w:rPr>
          <w:rFonts w:ascii="宋体" w:hAnsi="宋体" w:cs="宋体"/>
          <w:kern w:val="0"/>
          <w:sz w:val="24"/>
          <w:szCs w:val="24"/>
        </w:rPr>
      </w:pPr>
      <w:r>
        <w:rPr>
          <w:rFonts w:hint="eastAsia" w:ascii="宋体" w:hAnsi="宋体" w:cs="宋体"/>
          <w:kern w:val="0"/>
          <w:sz w:val="24"/>
          <w:szCs w:val="24"/>
        </w:rPr>
        <w:t>2.2.1 转移面积（W×L）：≥100×75（mm）</w:t>
      </w:r>
    </w:p>
    <w:p>
      <w:pPr>
        <w:widowControl/>
        <w:rPr>
          <w:rFonts w:ascii="宋体" w:hAnsi="宋体" w:cs="宋体"/>
          <w:kern w:val="0"/>
          <w:sz w:val="24"/>
          <w:szCs w:val="24"/>
        </w:rPr>
      </w:pPr>
      <w:r>
        <w:rPr>
          <w:rFonts w:hint="eastAsia" w:ascii="宋体" w:hAnsi="宋体" w:cs="宋体"/>
          <w:kern w:val="0"/>
          <w:sz w:val="24"/>
          <w:szCs w:val="24"/>
        </w:rPr>
        <w:t>2.2.2 缓冲液容积：～700ml</w:t>
      </w:r>
    </w:p>
    <w:p>
      <w:pPr>
        <w:pStyle w:val="2"/>
      </w:pPr>
    </w:p>
    <w:p>
      <w:pPr>
        <w:jc w:val="left"/>
        <w:rPr>
          <w:rFonts w:ascii="宋体" w:hAnsi="宋体" w:cs="宋体"/>
          <w:b/>
          <w:bCs/>
          <w:color w:val="000000" w:themeColor="text1"/>
          <w14:textFill>
            <w14:solidFill>
              <w14:schemeClr w14:val="tx1"/>
            </w14:solidFill>
          </w14:textFill>
        </w:rPr>
      </w:pPr>
      <w:bookmarkStart w:id="53" w:name="_Toc16517"/>
      <w:r>
        <w:rPr>
          <w:rFonts w:hint="eastAsia" w:ascii="宋体" w:hAnsi="宋体" w:cs="宋体"/>
          <w:b/>
          <w:bCs/>
          <w:color w:val="000000" w:themeColor="text1"/>
          <w14:textFill>
            <w14:solidFill>
              <w14:schemeClr w14:val="tx1"/>
            </w14:solidFill>
          </w14:textFill>
        </w:rPr>
        <w:t>（三）电泳仪（含软件）</w:t>
      </w:r>
    </w:p>
    <w:p>
      <w:pPr>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1.技术规格</w:t>
      </w:r>
    </w:p>
    <w:p>
      <w:pPr>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1.1输出类型：恒压、恒流、恒功率输出（连续可调）</w:t>
      </w:r>
    </w:p>
    <w:p>
      <w:pPr>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1.2输出范围：10～300V、1～1500mA、1～450W</w:t>
      </w:r>
    </w:p>
    <w:p>
      <w:pPr>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1.3分 辨 率：电压（1V）、电流（1mA）、功率（1W）</w:t>
      </w:r>
    </w:p>
    <w:p>
      <w:pPr>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1.4定时范围：1分钟～99小时 59分钟</w:t>
      </w:r>
    </w:p>
    <w:p>
      <w:pPr>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1.5伏时范围：1~99999V-hr/增量1V-hr</w:t>
      </w:r>
    </w:p>
    <w:p>
      <w:pPr>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1.6显     示：带背光的LCD液晶屏</w:t>
      </w:r>
    </w:p>
    <w:p>
      <w:pPr>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1.7输出插孔：4组</w:t>
      </w:r>
    </w:p>
    <w:p>
      <w:pPr>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2.性能特点</w:t>
      </w:r>
    </w:p>
    <w:p>
      <w:pPr>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2.1 一次成型机壳，触摸按键，双核微处理器智能控制；</w:t>
      </w:r>
    </w:p>
    <w:p>
      <w:pPr>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2.2 通过增加快捷键，使操作更加简单便利；</w:t>
      </w:r>
    </w:p>
    <w:p>
      <w:pPr>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2.3 可同时显示预设值和实际输出值；</w:t>
      </w:r>
    </w:p>
    <w:p>
      <w:pPr>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2.4可存储100个电泳方法；</w:t>
      </w:r>
    </w:p>
    <w:p>
      <w:pPr>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2.5 具有自动记忆、自动关断功能；</w:t>
      </w:r>
    </w:p>
    <w:p>
      <w:pPr>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2.6 具有分步控制功能（可编辑10组，每组最多使10个程序自动连接运行）；</w:t>
      </w:r>
    </w:p>
    <w:p>
      <w:pPr>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2.7 具有暂停控制功能（含实时微调），暂停期间的调整不影响电泳仪的控制精度和稳定性；</w:t>
      </w:r>
    </w:p>
    <w:p>
      <w:pPr>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2.8 具有标准、定时、付时、分步运行功能；</w:t>
      </w:r>
    </w:p>
    <w:p>
      <w:pPr>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2.9具有恒压、恒流、恒功率、误操作、故障等智能提示功能；</w:t>
      </w:r>
    </w:p>
    <w:p>
      <w:pPr>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2.10 具有过载、空载、漏电等多项保护功能。</w:t>
      </w:r>
    </w:p>
    <w:p>
      <w:pPr>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3.产品用途</w:t>
      </w:r>
    </w:p>
    <w:p>
      <w:pPr>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3.1适用于常规水平、垂直、醋酸纤维膜、印记转移等电泳实验，适合一机多槽。</w:t>
      </w:r>
    </w:p>
    <w:p>
      <w:pPr>
        <w:jc w:val="left"/>
        <w:rPr>
          <w:rFonts w:ascii="宋体" w:hAnsi="宋体"/>
          <w:bCs/>
          <w:color w:val="000000" w:themeColor="text1"/>
          <w:sz w:val="24"/>
          <w14:textFill>
            <w14:solidFill>
              <w14:schemeClr w14:val="tx1"/>
            </w14:solidFill>
          </w14:textFill>
        </w:rPr>
      </w:pPr>
    </w:p>
    <w:p>
      <w:pPr>
        <w:jc w:val="left"/>
        <w:rPr>
          <w:rFonts w:ascii="宋体" w:hAnsi="宋体"/>
          <w:bCs/>
          <w:color w:val="000000" w:themeColor="text1"/>
          <w:sz w:val="24"/>
          <w14:textFill>
            <w14:solidFill>
              <w14:schemeClr w14:val="tx1"/>
            </w14:solidFill>
          </w14:textFill>
        </w:rPr>
      </w:pPr>
    </w:p>
    <w:p>
      <w:pPr>
        <w:jc w:val="left"/>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（四）台式离心机</w:t>
      </w:r>
    </w:p>
    <w:p>
      <w:pPr>
        <w:pStyle w:val="242"/>
        <w:numPr>
          <w:ilvl w:val="0"/>
          <w:numId w:val="13"/>
        </w:numPr>
        <w:tabs>
          <w:tab w:val="left" w:pos="420"/>
        </w:tabs>
        <w:ind w:firstLineChars="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最高转速：5000r/min</w:t>
      </w:r>
    </w:p>
    <w:p>
      <w:pPr>
        <w:pStyle w:val="242"/>
        <w:numPr>
          <w:ilvl w:val="0"/>
          <w:numId w:val="13"/>
        </w:numPr>
        <w:tabs>
          <w:tab w:val="left" w:pos="420"/>
        </w:tabs>
        <w:ind w:firstLineChars="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最大相对离心力：≥3800xg</w:t>
      </w:r>
    </w:p>
    <w:p>
      <w:pPr>
        <w:pStyle w:val="242"/>
        <w:numPr>
          <w:ilvl w:val="0"/>
          <w:numId w:val="13"/>
        </w:numPr>
        <w:tabs>
          <w:tab w:val="left" w:pos="420"/>
        </w:tabs>
        <w:ind w:firstLineChars="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最大容量：8×20ml</w:t>
      </w:r>
    </w:p>
    <w:p>
      <w:pPr>
        <w:pStyle w:val="242"/>
        <w:numPr>
          <w:ilvl w:val="0"/>
          <w:numId w:val="13"/>
        </w:numPr>
        <w:tabs>
          <w:tab w:val="left" w:pos="420"/>
        </w:tabs>
        <w:ind w:firstLineChars="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转速精度：±10r/min</w:t>
      </w:r>
    </w:p>
    <w:p>
      <w:pPr>
        <w:pStyle w:val="242"/>
        <w:numPr>
          <w:ilvl w:val="0"/>
          <w:numId w:val="13"/>
        </w:numPr>
        <w:tabs>
          <w:tab w:val="left" w:pos="420"/>
        </w:tabs>
        <w:ind w:firstLineChars="0"/>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定时范围：1sec～99min</w:t>
      </w:r>
    </w:p>
    <w:p>
      <w:pPr>
        <w:pStyle w:val="242"/>
        <w:tabs>
          <w:tab w:val="left" w:pos="420"/>
        </w:tabs>
        <w:ind w:left="420" w:firstLine="0" w:firstLineChars="0"/>
        <w:jc w:val="left"/>
        <w:rPr>
          <w:rFonts w:ascii="宋体" w:hAnsi="宋体" w:cs="宋体"/>
          <w:bCs/>
          <w:color w:val="000000" w:themeColor="text1"/>
          <w:sz w:val="24"/>
          <w:szCs w:val="24"/>
          <w14:textFill>
            <w14:solidFill>
              <w14:schemeClr w14:val="tx1"/>
            </w14:solidFill>
          </w14:textFill>
        </w:rPr>
      </w:pPr>
    </w:p>
    <w:p>
      <w:pPr>
        <w:pStyle w:val="242"/>
        <w:tabs>
          <w:tab w:val="left" w:pos="420"/>
        </w:tabs>
        <w:ind w:left="420" w:firstLine="0" w:firstLineChars="0"/>
        <w:jc w:val="left"/>
        <w:rPr>
          <w:bCs/>
          <w:color w:val="000000" w:themeColor="text1"/>
          <w:sz w:val="24"/>
          <w:szCs w:val="24"/>
          <w14:textFill>
            <w14:solidFill>
              <w14:schemeClr w14:val="tx1"/>
            </w14:solidFill>
          </w14:textFill>
        </w:rPr>
      </w:pPr>
    </w:p>
    <w:p>
      <w:pPr>
        <w:jc w:val="left"/>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（五）电子分析天平</w:t>
      </w:r>
    </w:p>
    <w:p>
      <w:pPr>
        <w:numPr>
          <w:ilvl w:val="0"/>
          <w:numId w:val="14"/>
        </w:numPr>
        <w:tabs>
          <w:tab w:val="left" w:pos="420"/>
        </w:tabs>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背光液晶显示屏，触摸按键</w:t>
      </w:r>
    </w:p>
    <w:p>
      <w:pPr>
        <w:numPr>
          <w:ilvl w:val="0"/>
          <w:numId w:val="14"/>
        </w:numPr>
        <w:tabs>
          <w:tab w:val="left" w:pos="420"/>
        </w:tabs>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内藏式下称吊钩、过载保护秤盘</w:t>
      </w:r>
    </w:p>
    <w:p>
      <w:pPr>
        <w:numPr>
          <w:ilvl w:val="0"/>
          <w:numId w:val="14"/>
        </w:numPr>
        <w:tabs>
          <w:tab w:val="left" w:pos="420"/>
        </w:tabs>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秤盘下方配气流防风罩</w:t>
      </w:r>
    </w:p>
    <w:p>
      <w:pPr>
        <w:numPr>
          <w:ilvl w:val="0"/>
          <w:numId w:val="14"/>
        </w:numPr>
        <w:tabs>
          <w:tab w:val="left" w:pos="420"/>
        </w:tabs>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配显示屏防护罩</w:t>
      </w:r>
    </w:p>
    <w:p>
      <w:pPr>
        <w:numPr>
          <w:ilvl w:val="0"/>
          <w:numId w:val="14"/>
        </w:numPr>
        <w:tabs>
          <w:tab w:val="left" w:pos="420"/>
        </w:tabs>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具有玻璃门运输保护锁，四面全透明的玻璃防风罩，一面铝合金背板</w:t>
      </w:r>
    </w:p>
    <w:p>
      <w:pPr>
        <w:numPr>
          <w:ilvl w:val="0"/>
          <w:numId w:val="14"/>
        </w:numPr>
        <w:tabs>
          <w:tab w:val="left" w:pos="420"/>
        </w:tabs>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具有全方位传感器保护功能</w:t>
      </w:r>
    </w:p>
    <w:p>
      <w:pPr>
        <w:numPr>
          <w:ilvl w:val="0"/>
          <w:numId w:val="14"/>
        </w:numPr>
        <w:tabs>
          <w:tab w:val="left" w:pos="420"/>
        </w:tabs>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全铝制天平底座</w:t>
      </w:r>
    </w:p>
    <w:p>
      <w:pPr>
        <w:numPr>
          <w:ilvl w:val="0"/>
          <w:numId w:val="14"/>
        </w:numPr>
        <w:tabs>
          <w:tab w:val="left" w:pos="420"/>
        </w:tabs>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具有过载保护秤盘功能（采用秤盘锁死结构，防止称量过载）</w:t>
      </w:r>
    </w:p>
    <w:p>
      <w:pPr>
        <w:numPr>
          <w:ilvl w:val="0"/>
          <w:numId w:val="14"/>
        </w:numPr>
        <w:tabs>
          <w:tab w:val="left" w:pos="420"/>
        </w:tabs>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实际分度值：</w:t>
      </w:r>
      <w:r>
        <w:rPr>
          <w:rFonts w:ascii="宋体" w:hAnsi="宋体"/>
          <w:bCs/>
          <w:color w:val="000000" w:themeColor="text1"/>
          <w:sz w:val="24"/>
          <w14:textFill>
            <w14:solidFill>
              <w14:schemeClr w14:val="tx1"/>
            </w14:solidFill>
          </w14:textFill>
        </w:rPr>
        <w:t>0.0001g</w:t>
      </w:r>
    </w:p>
    <w:p>
      <w:pPr>
        <w:numPr>
          <w:ilvl w:val="0"/>
          <w:numId w:val="14"/>
        </w:numPr>
        <w:tabs>
          <w:tab w:val="left" w:pos="420"/>
        </w:tabs>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最大称量范围：</w:t>
      </w:r>
      <w:r>
        <w:rPr>
          <w:rFonts w:ascii="宋体" w:hAnsi="宋体"/>
          <w:bCs/>
          <w:color w:val="000000" w:themeColor="text1"/>
          <w:sz w:val="24"/>
          <w14:textFill>
            <w14:solidFill>
              <w14:schemeClr w14:val="tx1"/>
            </w14:solidFill>
          </w14:textFill>
        </w:rPr>
        <w:t>100g</w:t>
      </w:r>
    </w:p>
    <w:p>
      <w:pPr>
        <w:numPr>
          <w:ilvl w:val="0"/>
          <w:numId w:val="14"/>
        </w:numPr>
        <w:tabs>
          <w:tab w:val="left" w:pos="420"/>
        </w:tabs>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重复性：≤±</w:t>
      </w:r>
      <w:r>
        <w:rPr>
          <w:rFonts w:ascii="宋体" w:hAnsi="宋体"/>
          <w:bCs/>
          <w:color w:val="000000" w:themeColor="text1"/>
          <w:sz w:val="24"/>
          <w14:textFill>
            <w14:solidFill>
              <w14:schemeClr w14:val="tx1"/>
            </w14:solidFill>
          </w14:textFill>
        </w:rPr>
        <w:t>0.0001g</w:t>
      </w:r>
    </w:p>
    <w:p>
      <w:pPr>
        <w:numPr>
          <w:ilvl w:val="0"/>
          <w:numId w:val="14"/>
        </w:numPr>
        <w:tabs>
          <w:tab w:val="left" w:pos="420"/>
        </w:tabs>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最大允许误差：≤±</w:t>
      </w:r>
      <w:r>
        <w:rPr>
          <w:rFonts w:ascii="宋体" w:hAnsi="宋体"/>
          <w:bCs/>
          <w:color w:val="000000" w:themeColor="text1"/>
          <w:sz w:val="24"/>
          <w14:textFill>
            <w14:solidFill>
              <w14:schemeClr w14:val="tx1"/>
            </w14:solidFill>
          </w14:textFill>
        </w:rPr>
        <w:t>0.0002g</w:t>
      </w:r>
    </w:p>
    <w:p>
      <w:pPr>
        <w:numPr>
          <w:ilvl w:val="0"/>
          <w:numId w:val="14"/>
        </w:numPr>
        <w:tabs>
          <w:tab w:val="left" w:pos="420"/>
        </w:tabs>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校准砝码值：</w:t>
      </w:r>
      <w:r>
        <w:rPr>
          <w:rFonts w:ascii="宋体" w:hAnsi="宋体"/>
          <w:bCs/>
          <w:color w:val="000000" w:themeColor="text1"/>
          <w:sz w:val="24"/>
          <w14:textFill>
            <w14:solidFill>
              <w14:schemeClr w14:val="tx1"/>
            </w14:solidFill>
          </w14:textFill>
        </w:rPr>
        <w:t>100g</w:t>
      </w:r>
    </w:p>
    <w:p>
      <w:pPr>
        <w:numPr>
          <w:ilvl w:val="0"/>
          <w:numId w:val="14"/>
        </w:numPr>
        <w:tabs>
          <w:tab w:val="left" w:pos="420"/>
        </w:tabs>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类型：外部自动校准</w:t>
      </w:r>
    </w:p>
    <w:p>
      <w:pPr>
        <w:numPr>
          <w:ilvl w:val="0"/>
          <w:numId w:val="14"/>
        </w:numPr>
        <w:tabs>
          <w:tab w:val="left" w:pos="420"/>
        </w:tabs>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秤盘尺寸：Ф</w:t>
      </w:r>
      <w:r>
        <w:rPr>
          <w:rFonts w:ascii="宋体" w:hAnsi="宋体"/>
          <w:bCs/>
          <w:color w:val="000000" w:themeColor="text1"/>
          <w:sz w:val="24"/>
          <w14:textFill>
            <w14:solidFill>
              <w14:schemeClr w14:val="tx1"/>
            </w14:solidFill>
          </w14:textFill>
        </w:rPr>
        <w:t>90mm</w:t>
      </w:r>
    </w:p>
    <w:p>
      <w:pPr>
        <w:tabs>
          <w:tab w:val="left" w:pos="420"/>
        </w:tabs>
        <w:jc w:val="left"/>
        <w:rPr>
          <w:rFonts w:ascii="宋体" w:hAnsi="宋体"/>
          <w:bCs/>
          <w:color w:val="000000" w:themeColor="text1"/>
          <w:sz w:val="24"/>
          <w14:textFill>
            <w14:solidFill>
              <w14:schemeClr w14:val="tx1"/>
            </w14:solidFill>
          </w14:textFill>
        </w:rPr>
      </w:pPr>
    </w:p>
    <w:p>
      <w:pPr>
        <w:pStyle w:val="2"/>
      </w:pPr>
    </w:p>
    <w:p>
      <w:pPr>
        <w:tabs>
          <w:tab w:val="left" w:pos="420"/>
        </w:tabs>
        <w:jc w:val="left"/>
        <w:rPr>
          <w:b/>
          <w:bCs/>
          <w:color w:val="000000" w:themeColor="text1"/>
          <w:szCs w:val="28"/>
          <w14:textFill>
            <w14:solidFill>
              <w14:schemeClr w14:val="tx1"/>
            </w14:solidFill>
          </w14:textFill>
        </w:rPr>
      </w:pPr>
      <w:r>
        <w:rPr>
          <w:rFonts w:hint="eastAsia"/>
          <w:b/>
          <w:bCs/>
          <w:color w:val="000000" w:themeColor="text1"/>
          <w:szCs w:val="28"/>
          <w14:textFill>
            <w14:solidFill>
              <w14:schemeClr w14:val="tx1"/>
            </w14:solidFill>
          </w14:textFill>
        </w:rPr>
        <w:t>（六）可充电跷板式摇床</w:t>
      </w:r>
    </w:p>
    <w:p>
      <w:pPr>
        <w:pStyle w:val="242"/>
        <w:numPr>
          <w:ilvl w:val="0"/>
          <w:numId w:val="15"/>
        </w:numPr>
        <w:ind w:firstLineChars="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充电电源：</w:t>
      </w:r>
      <w:r>
        <w:rPr>
          <w:rFonts w:ascii="宋体" w:hAnsi="宋体"/>
          <w:color w:val="000000" w:themeColor="text1"/>
          <w:sz w:val="24"/>
          <w:szCs w:val="24"/>
          <w14:textFill>
            <w14:solidFill>
              <w14:schemeClr w14:val="tx1"/>
            </w14:solidFill>
          </w14:textFill>
        </w:rPr>
        <w:t>220V/50HZ</w:t>
      </w:r>
    </w:p>
    <w:p>
      <w:pPr>
        <w:pStyle w:val="242"/>
        <w:numPr>
          <w:ilvl w:val="0"/>
          <w:numId w:val="15"/>
        </w:numPr>
        <w:ind w:firstLineChars="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运行电源：</w:t>
      </w:r>
      <w:r>
        <w:rPr>
          <w:rFonts w:ascii="宋体" w:hAnsi="宋体"/>
          <w:color w:val="000000" w:themeColor="text1"/>
          <w:sz w:val="24"/>
          <w:szCs w:val="24"/>
          <w14:textFill>
            <w14:solidFill>
              <w14:schemeClr w14:val="tx1"/>
            </w14:solidFill>
          </w14:textFill>
        </w:rPr>
        <w:t>DC</w:t>
      </w:r>
    </w:p>
    <w:p>
      <w:pPr>
        <w:pStyle w:val="242"/>
        <w:numPr>
          <w:ilvl w:val="0"/>
          <w:numId w:val="15"/>
        </w:numPr>
        <w:ind w:firstLineChars="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机器功率：≤</w:t>
      </w:r>
      <w:r>
        <w:rPr>
          <w:rFonts w:ascii="宋体" w:hAnsi="宋体"/>
          <w:color w:val="000000" w:themeColor="text1"/>
          <w:sz w:val="24"/>
          <w:szCs w:val="24"/>
          <w14:textFill>
            <w14:solidFill>
              <w14:schemeClr w14:val="tx1"/>
            </w14:solidFill>
          </w14:textFill>
        </w:rPr>
        <w:t>25W</w:t>
      </w:r>
    </w:p>
    <w:p>
      <w:pPr>
        <w:pStyle w:val="242"/>
        <w:numPr>
          <w:ilvl w:val="0"/>
          <w:numId w:val="15"/>
        </w:numPr>
        <w:ind w:firstLineChars="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摇摆角度：单边</w:t>
      </w:r>
      <w:r>
        <w:rPr>
          <w:rFonts w:ascii="宋体" w:hAnsi="宋体"/>
          <w:color w:val="000000" w:themeColor="text1"/>
          <w:sz w:val="24"/>
          <w:szCs w:val="24"/>
          <w14:textFill>
            <w14:solidFill>
              <w14:schemeClr w14:val="tx1"/>
            </w14:solidFill>
          </w14:textFill>
        </w:rPr>
        <w:t>15</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2%</w:t>
      </w:r>
    </w:p>
    <w:p>
      <w:pPr>
        <w:pStyle w:val="242"/>
        <w:numPr>
          <w:ilvl w:val="0"/>
          <w:numId w:val="15"/>
        </w:numPr>
        <w:ind w:firstLineChars="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调速范围：</w:t>
      </w:r>
      <w:r>
        <w:rPr>
          <w:rFonts w:ascii="宋体" w:hAnsi="宋体"/>
          <w:color w:val="000000" w:themeColor="text1"/>
          <w:sz w:val="24"/>
          <w:szCs w:val="24"/>
          <w14:textFill>
            <w14:solidFill>
              <w14:schemeClr w14:val="tx1"/>
            </w14:solidFill>
          </w14:textFill>
        </w:rPr>
        <w:t>15-80r/min</w:t>
      </w:r>
    </w:p>
    <w:p>
      <w:pPr>
        <w:pStyle w:val="242"/>
        <w:numPr>
          <w:ilvl w:val="0"/>
          <w:numId w:val="15"/>
        </w:numPr>
        <w:ind w:firstLineChars="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最大承载：≥</w:t>
      </w:r>
      <w:r>
        <w:rPr>
          <w:rFonts w:ascii="宋体" w:hAnsi="宋体"/>
          <w:color w:val="000000" w:themeColor="text1"/>
          <w:sz w:val="24"/>
          <w:szCs w:val="24"/>
          <w14:textFill>
            <w14:solidFill>
              <w14:schemeClr w14:val="tx1"/>
            </w14:solidFill>
          </w14:textFill>
        </w:rPr>
        <w:t>500g</w:t>
      </w:r>
    </w:p>
    <w:p>
      <w:pPr>
        <w:rPr>
          <w:color w:val="000000" w:themeColor="text1"/>
          <w:sz w:val="24"/>
          <w:szCs w:val="24"/>
          <w14:textFill>
            <w14:solidFill>
              <w14:schemeClr w14:val="tx1"/>
            </w14:solidFill>
          </w14:textFill>
        </w:rPr>
        <w:sectPr>
          <w:footerReference r:id="rId14" w:type="default"/>
          <w:footerReference r:id="rId15" w:type="even"/>
          <w:pgSz w:w="11907" w:h="16840"/>
          <w:pgMar w:top="1134" w:right="1191" w:bottom="1134" w:left="1304" w:header="964" w:footer="992" w:gutter="0"/>
          <w:pgNumType w:fmt="numberInDash"/>
          <w:cols w:space="720" w:num="1"/>
          <w:docGrid w:linePitch="312" w:charSpace="0"/>
        </w:sectPr>
      </w:pPr>
    </w:p>
    <w:p>
      <w:pPr>
        <w:pStyle w:val="4"/>
        <w:spacing w:before="0" w:after="0" w:line="560" w:lineRule="exact"/>
        <w:jc w:val="center"/>
        <w:rPr>
          <w:rFonts w:ascii="宋体" w:hAnsi="宋体" w:eastAsia="宋体" w:cs="宋体"/>
          <w:bCs/>
          <w:color w:val="000000" w:themeColor="text1"/>
          <w:szCs w:val="32"/>
          <w14:textFill>
            <w14:solidFill>
              <w14:schemeClr w14:val="tx1"/>
            </w14:solidFill>
          </w14:textFill>
        </w:rPr>
      </w:pPr>
      <w:r>
        <w:rPr>
          <w:rFonts w:hint="eastAsia" w:ascii="宋体" w:hAnsi="宋体" w:eastAsia="宋体" w:cs="宋体"/>
          <w:bCs/>
          <w:color w:val="000000" w:themeColor="text1"/>
          <w:szCs w:val="32"/>
          <w14:textFill>
            <w14:solidFill>
              <w14:schemeClr w14:val="tx1"/>
            </w14:solidFill>
          </w14:textFill>
        </w:rPr>
        <w:t>第四篇</w:t>
      </w:r>
      <w:r>
        <w:rPr>
          <w:rFonts w:ascii="宋体" w:hAnsi="宋体" w:eastAsia="宋体" w:cs="宋体"/>
          <w:bCs/>
          <w:color w:val="000000" w:themeColor="text1"/>
          <w:szCs w:val="32"/>
          <w14:textFill>
            <w14:solidFill>
              <w14:schemeClr w14:val="tx1"/>
            </w14:solidFill>
          </w14:textFill>
        </w:rPr>
        <w:t xml:space="preserve">  </w:t>
      </w:r>
      <w:r>
        <w:rPr>
          <w:rFonts w:hint="eastAsia" w:ascii="宋体" w:hAnsi="宋体" w:eastAsia="宋体" w:cs="宋体"/>
          <w:bCs/>
          <w:color w:val="000000" w:themeColor="text1"/>
          <w:szCs w:val="32"/>
          <w14:textFill>
            <w14:solidFill>
              <w14:schemeClr w14:val="tx1"/>
            </w14:solidFill>
          </w14:textFill>
        </w:rPr>
        <w:t>谈判项目服务需求</w:t>
      </w:r>
      <w:bookmarkEnd w:id="49"/>
      <w:bookmarkEnd w:id="53"/>
    </w:p>
    <w:p>
      <w:pPr>
        <w:pStyle w:val="5"/>
        <w:spacing w:before="0" w:after="0" w:line="560" w:lineRule="exact"/>
        <w:rPr>
          <w:rFonts w:ascii="宋体" w:hAnsi="宋体" w:cs="宋体"/>
          <w:b w:val="0"/>
          <w:color w:val="000000" w:themeColor="text1"/>
          <w:sz w:val="28"/>
          <w:szCs w:val="28"/>
          <w14:textFill>
            <w14:solidFill>
              <w14:schemeClr w14:val="tx1"/>
            </w14:solidFill>
          </w14:textFill>
        </w:rPr>
      </w:pPr>
      <w:bookmarkStart w:id="54" w:name="_Toc4374"/>
      <w:bookmarkStart w:id="55" w:name="_Toc344475120"/>
      <w:bookmarkStart w:id="56" w:name="_Toc11641055"/>
      <w:bookmarkStart w:id="57" w:name="_Toc12789059"/>
      <w:r>
        <w:rPr>
          <w:rFonts w:hint="eastAsia" w:ascii="宋体" w:hAnsi="宋体" w:cs="宋体"/>
          <w:b w:val="0"/>
          <w:color w:val="000000" w:themeColor="text1"/>
          <w:sz w:val="28"/>
          <w:szCs w:val="28"/>
          <w14:textFill>
            <w14:solidFill>
              <w14:schemeClr w14:val="tx1"/>
            </w14:solidFill>
          </w14:textFill>
        </w:rPr>
        <w:t>一、交货时间、地点及验收方式</w:t>
      </w:r>
      <w:bookmarkEnd w:id="54"/>
      <w:bookmarkEnd w:id="55"/>
    </w:p>
    <w:p>
      <w:pPr>
        <w:snapToGrid w:val="0"/>
        <w:spacing w:line="400" w:lineRule="exac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（一）</w:t>
      </w:r>
      <w:r>
        <w:rPr>
          <w:rFonts w:hint="eastAsia" w:ascii="宋体" w:hAnsi="宋体" w:cs="宋体"/>
          <w:color w:val="000000" w:themeColor="text1"/>
          <w:szCs w:val="28"/>
          <w14:textFill>
            <w14:solidFill>
              <w14:schemeClr w14:val="tx1"/>
            </w14:solidFill>
          </w14:textFill>
        </w:rPr>
        <w:t>交货时间</w:t>
      </w:r>
    </w:p>
    <w:p>
      <w:pPr>
        <w:spacing w:line="560" w:lineRule="exact"/>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合同签订后供应商在</w:t>
      </w:r>
      <w:r>
        <w:rPr>
          <w:rFonts w:ascii="宋体" w:hAnsi="宋体" w:cs="宋体"/>
          <w:color w:val="000000" w:themeColor="text1"/>
          <w:szCs w:val="28"/>
          <w14:textFill>
            <w14:solidFill>
              <w14:schemeClr w14:val="tx1"/>
            </w14:solidFill>
          </w14:textFill>
        </w:rPr>
        <w:t>10个</w:t>
      </w:r>
      <w:r>
        <w:rPr>
          <w:rFonts w:hint="eastAsia" w:ascii="宋体" w:hAnsi="宋体" w:cs="宋体"/>
          <w:color w:val="000000" w:themeColor="text1"/>
          <w:szCs w:val="28"/>
          <w14:textFill>
            <w14:solidFill>
              <w14:schemeClr w14:val="tx1"/>
            </w14:solidFill>
          </w14:textFill>
        </w:rPr>
        <w:t>工作</w:t>
      </w:r>
      <w:r>
        <w:rPr>
          <w:rFonts w:ascii="宋体" w:hAnsi="宋体" w:cs="宋体"/>
          <w:color w:val="000000" w:themeColor="text1"/>
          <w:szCs w:val="28"/>
          <w14:textFill>
            <w14:solidFill>
              <w14:schemeClr w14:val="tx1"/>
            </w14:solidFill>
          </w14:textFill>
        </w:rPr>
        <w:t>日以内交货，并完成安装调试。</w:t>
      </w:r>
    </w:p>
    <w:p>
      <w:pPr>
        <w:snapToGrid w:val="0"/>
        <w:spacing w:line="400" w:lineRule="exact"/>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（二）交货地点</w:t>
      </w:r>
    </w:p>
    <w:p>
      <w:pPr>
        <w:spacing w:line="560" w:lineRule="exact"/>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交货地点：重庆医科大学，采购人指定交货地点。</w:t>
      </w:r>
    </w:p>
    <w:p>
      <w:pPr>
        <w:pStyle w:val="34"/>
        <w:spacing w:line="560" w:lineRule="exact"/>
        <w:ind w:firstLine="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（三）验收方式</w:t>
      </w:r>
    </w:p>
    <w:p>
      <w:pPr>
        <w:spacing w:line="360" w:lineRule="auto"/>
        <w:ind w:firstLine="560" w:firstLineChars="200"/>
        <w:rPr>
          <w:rFonts w:ascii="宋体" w:hAnsi="宋体" w:cs="宋体"/>
          <w:color w:val="000000" w:themeColor="text1"/>
          <w:szCs w:val="28"/>
          <w14:textFill>
            <w14:solidFill>
              <w14:schemeClr w14:val="tx1"/>
            </w14:solidFill>
          </w14:textFill>
        </w:rPr>
      </w:pPr>
      <w:r>
        <w:rPr>
          <w:rFonts w:ascii="宋体" w:hAnsi="宋体" w:cs="宋体"/>
          <w:color w:val="000000" w:themeColor="text1"/>
          <w:szCs w:val="28"/>
          <w14:textFill>
            <w14:solidFill>
              <w14:schemeClr w14:val="tx1"/>
            </w14:solidFill>
          </w14:textFill>
        </w:rPr>
        <w:t>1.货物到达现场后，供应商应经采购人或其指定验收单位清点品名、规格、数量；检查外观，作出验收记录，双方签字确认。</w:t>
      </w:r>
    </w:p>
    <w:p>
      <w:pPr>
        <w:spacing w:line="360" w:lineRule="auto"/>
        <w:ind w:firstLine="560" w:firstLineChars="200"/>
        <w:rPr>
          <w:rFonts w:ascii="宋体" w:hAnsi="宋体" w:cs="宋体"/>
          <w:color w:val="000000" w:themeColor="text1"/>
          <w:szCs w:val="28"/>
          <w14:textFill>
            <w14:solidFill>
              <w14:schemeClr w14:val="tx1"/>
            </w14:solidFill>
          </w14:textFill>
        </w:rPr>
      </w:pPr>
      <w:r>
        <w:rPr>
          <w:rFonts w:ascii="宋体" w:hAnsi="宋体" w:cs="宋体"/>
          <w:color w:val="000000" w:themeColor="text1"/>
          <w:szCs w:val="28"/>
          <w14:textFill>
            <w14:solidFill>
              <w14:schemeClr w14:val="tx1"/>
            </w14:solidFill>
          </w14:textFill>
        </w:rPr>
        <w:t>2.供应商应保证货物到达用户所在地完好无损，如有缺漏、损坏，由供应商负责调换、补齐或赔偿。</w:t>
      </w:r>
    </w:p>
    <w:p>
      <w:pPr>
        <w:spacing w:line="360" w:lineRule="auto"/>
        <w:ind w:firstLine="560" w:firstLineChars="200"/>
        <w:rPr>
          <w:rFonts w:ascii="宋体" w:hAnsi="宋体" w:cs="宋体"/>
          <w:color w:val="000000" w:themeColor="text1"/>
          <w:szCs w:val="28"/>
          <w14:textFill>
            <w14:solidFill>
              <w14:schemeClr w14:val="tx1"/>
            </w14:solidFill>
          </w14:textFill>
        </w:rPr>
      </w:pPr>
      <w:r>
        <w:rPr>
          <w:rFonts w:ascii="宋体" w:hAnsi="宋体" w:cs="宋体"/>
          <w:color w:val="000000" w:themeColor="text1"/>
          <w:szCs w:val="28"/>
          <w14:textFill>
            <w14:solidFill>
              <w14:schemeClr w14:val="tx1"/>
            </w14:solidFill>
          </w14:textFill>
        </w:rPr>
        <w:t>3.供应商应提供完备的技术资料、装箱单和合格证等，并派遣专业技术人员进行现场安装调试。验收合格条件如下：</w:t>
      </w:r>
    </w:p>
    <w:p>
      <w:pPr>
        <w:spacing w:line="360" w:lineRule="auto"/>
        <w:ind w:firstLine="560" w:firstLineChars="200"/>
        <w:rPr>
          <w:rFonts w:ascii="宋体" w:hAnsi="宋体" w:cs="宋体"/>
          <w:color w:val="000000" w:themeColor="text1"/>
          <w:szCs w:val="28"/>
          <w14:textFill>
            <w14:solidFill>
              <w14:schemeClr w14:val="tx1"/>
            </w14:solidFill>
          </w14:textFill>
        </w:rPr>
      </w:pPr>
      <w:r>
        <w:rPr>
          <w:rFonts w:ascii="宋体" w:hAnsi="宋体" w:cs="宋体"/>
          <w:color w:val="000000" w:themeColor="text1"/>
          <w:szCs w:val="28"/>
          <w14:textFill>
            <w14:solidFill>
              <w14:schemeClr w14:val="tx1"/>
            </w14:solidFill>
          </w14:textFill>
        </w:rPr>
        <w:t>3.1设备品种、规格、数量、技术参数以及商品品牌、制造商等与采购合同一致，性能指标达到规定的标准。</w:t>
      </w:r>
    </w:p>
    <w:p>
      <w:pPr>
        <w:spacing w:line="360" w:lineRule="auto"/>
        <w:ind w:firstLine="560" w:firstLineChars="200"/>
        <w:rPr>
          <w:rFonts w:ascii="宋体" w:hAnsi="宋体" w:cs="宋体"/>
          <w:color w:val="000000" w:themeColor="text1"/>
          <w:szCs w:val="28"/>
          <w14:textFill>
            <w14:solidFill>
              <w14:schemeClr w14:val="tx1"/>
            </w14:solidFill>
          </w14:textFill>
        </w:rPr>
      </w:pPr>
      <w:r>
        <w:rPr>
          <w:rFonts w:ascii="宋体" w:hAnsi="宋体" w:cs="宋体"/>
          <w:color w:val="000000" w:themeColor="text1"/>
          <w:szCs w:val="28"/>
          <w14:textFill>
            <w14:solidFill>
              <w14:schemeClr w14:val="tx1"/>
            </w14:solidFill>
          </w14:textFill>
        </w:rPr>
        <w:t>3.2货物技术资料、装箱单、合格证等资料齐全。</w:t>
      </w:r>
    </w:p>
    <w:p>
      <w:pPr>
        <w:spacing w:line="360" w:lineRule="auto"/>
        <w:ind w:firstLine="560" w:firstLineChars="200"/>
        <w:rPr>
          <w:rFonts w:ascii="宋体" w:hAnsi="宋体" w:cs="宋体"/>
          <w:color w:val="000000" w:themeColor="text1"/>
          <w:szCs w:val="28"/>
          <w14:textFill>
            <w14:solidFill>
              <w14:schemeClr w14:val="tx1"/>
            </w14:solidFill>
          </w14:textFill>
        </w:rPr>
      </w:pPr>
      <w:r>
        <w:rPr>
          <w:rFonts w:ascii="宋体" w:hAnsi="宋体" w:cs="宋体"/>
          <w:color w:val="000000" w:themeColor="text1"/>
          <w:szCs w:val="28"/>
          <w14:textFill>
            <w14:solidFill>
              <w14:schemeClr w14:val="tx1"/>
            </w14:solidFill>
          </w14:textFill>
        </w:rPr>
        <w:t>3.3在规定时间内完成交货并验收，并经采购人确认。</w:t>
      </w:r>
    </w:p>
    <w:p>
      <w:pPr>
        <w:spacing w:line="360" w:lineRule="auto"/>
        <w:ind w:firstLine="560" w:firstLineChars="200"/>
        <w:rPr>
          <w:rFonts w:ascii="宋体" w:hAnsi="宋体" w:cs="宋体"/>
          <w:color w:val="000000" w:themeColor="text1"/>
          <w:szCs w:val="28"/>
          <w14:textFill>
            <w14:solidFill>
              <w14:schemeClr w14:val="tx1"/>
            </w14:solidFill>
          </w14:textFill>
        </w:rPr>
      </w:pPr>
      <w:r>
        <w:rPr>
          <w:rFonts w:ascii="宋体" w:hAnsi="宋体" w:cs="宋体"/>
          <w:color w:val="000000" w:themeColor="text1"/>
          <w:szCs w:val="28"/>
          <w14:textFill>
            <w14:solidFill>
              <w14:schemeClr w14:val="tx1"/>
            </w14:solidFill>
          </w14:textFill>
        </w:rPr>
        <w:t>4.供应商提供的货物未达到竞争性谈判规定要求，且对采购人造成损失的，由供应商承担一切责任，并赔偿所造成的损失。</w:t>
      </w:r>
    </w:p>
    <w:p>
      <w:pPr>
        <w:spacing w:line="360" w:lineRule="auto"/>
        <w:ind w:firstLine="560" w:firstLineChars="200"/>
        <w:rPr>
          <w:rFonts w:ascii="宋体" w:hAnsi="宋体" w:cs="宋体"/>
          <w:color w:val="000000" w:themeColor="text1"/>
          <w:szCs w:val="28"/>
          <w14:textFill>
            <w14:solidFill>
              <w14:schemeClr w14:val="tx1"/>
            </w14:solidFill>
          </w14:textFill>
        </w:rPr>
      </w:pPr>
      <w:r>
        <w:rPr>
          <w:rFonts w:ascii="宋体" w:hAnsi="宋体" w:cs="宋体"/>
          <w:color w:val="000000" w:themeColor="text1"/>
          <w:szCs w:val="28"/>
          <w14:textFill>
            <w14:solidFill>
              <w14:schemeClr w14:val="tx1"/>
            </w14:solidFill>
          </w14:textFill>
        </w:rPr>
        <w:t>5.大型或者复杂的政府采购产品项目，采购人可邀请国家认可的质量检测机构参加验收工作。</w:t>
      </w:r>
    </w:p>
    <w:p>
      <w:pPr>
        <w:spacing w:line="360" w:lineRule="auto"/>
        <w:ind w:firstLine="560" w:firstLineChars="200"/>
        <w:rPr>
          <w:rFonts w:ascii="宋体" w:hAnsi="宋体" w:cs="宋体"/>
          <w:color w:val="000000" w:themeColor="text1"/>
          <w:szCs w:val="28"/>
          <w14:textFill>
            <w14:solidFill>
              <w14:schemeClr w14:val="tx1"/>
            </w14:solidFill>
          </w14:textFill>
        </w:rPr>
      </w:pPr>
      <w:r>
        <w:rPr>
          <w:rFonts w:ascii="宋体" w:hAnsi="宋体" w:cs="宋体"/>
          <w:color w:val="000000" w:themeColor="text1"/>
          <w:szCs w:val="28"/>
          <w14:textFill>
            <w14:solidFill>
              <w14:schemeClr w14:val="tx1"/>
            </w14:solidFill>
          </w14:textFill>
        </w:rPr>
        <w:t>6.采购人需要制造商对成交供应商交付的产品（包括质量、技术参数等）进行确认的，制造商应予以配合，并出具书面意见。</w:t>
      </w:r>
    </w:p>
    <w:p>
      <w:pPr>
        <w:spacing w:line="360" w:lineRule="auto"/>
        <w:ind w:firstLine="560" w:firstLineChars="200"/>
        <w:rPr>
          <w:rFonts w:ascii="宋体" w:hAnsi="宋体" w:cs="宋体"/>
          <w:color w:val="000000" w:themeColor="text1"/>
          <w:szCs w:val="28"/>
          <w14:textFill>
            <w14:solidFill>
              <w14:schemeClr w14:val="tx1"/>
            </w14:solidFill>
          </w14:textFill>
        </w:rPr>
      </w:pPr>
      <w:r>
        <w:rPr>
          <w:rFonts w:ascii="宋体" w:hAnsi="宋体" w:cs="宋体"/>
          <w:color w:val="000000" w:themeColor="text1"/>
          <w:szCs w:val="28"/>
          <w14:textFill>
            <w14:solidFill>
              <w14:schemeClr w14:val="tx1"/>
            </w14:solidFill>
          </w14:textFill>
        </w:rPr>
        <w:t>7.产品包装材料归采购人所有。</w:t>
      </w:r>
    </w:p>
    <w:p>
      <w:pPr>
        <w:pStyle w:val="5"/>
        <w:spacing w:before="0" w:after="0" w:line="360" w:lineRule="auto"/>
        <w:rPr>
          <w:rFonts w:ascii="宋体" w:hAnsi="宋体" w:cs="宋体"/>
          <w:b w:val="0"/>
          <w:bCs/>
          <w:color w:val="000000" w:themeColor="text1"/>
          <w:sz w:val="28"/>
          <w:szCs w:val="28"/>
          <w14:textFill>
            <w14:solidFill>
              <w14:schemeClr w14:val="tx1"/>
            </w14:solidFill>
          </w14:textFill>
        </w:rPr>
      </w:pPr>
      <w:bookmarkStart w:id="58" w:name="_Toc12266"/>
      <w:bookmarkStart w:id="59" w:name="_Toc21533350"/>
      <w:bookmarkStart w:id="60" w:name="_Toc24371194"/>
      <w:bookmarkStart w:id="61" w:name="_Toc267320050"/>
      <w:r>
        <w:rPr>
          <w:rFonts w:hint="eastAsia" w:ascii="宋体" w:hAnsi="宋体" w:cs="宋体"/>
          <w:b w:val="0"/>
          <w:bCs/>
          <w:color w:val="000000" w:themeColor="text1"/>
          <w:sz w:val="28"/>
          <w:szCs w:val="28"/>
          <w14:textFill>
            <w14:solidFill>
              <w14:schemeClr w14:val="tx1"/>
            </w14:solidFill>
          </w14:textFill>
        </w:rPr>
        <w:t>二、报价要求</w:t>
      </w:r>
      <w:bookmarkEnd w:id="58"/>
      <w:bookmarkEnd w:id="59"/>
      <w:bookmarkEnd w:id="60"/>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bookmarkStart w:id="62" w:name="_Toc21533351"/>
      <w:r>
        <w:rPr>
          <w:rFonts w:ascii="宋体" w:hAnsi="宋体" w:cs="宋体"/>
          <w:color w:val="000000" w:themeColor="text1"/>
          <w:szCs w:val="28"/>
          <w14:textFill>
            <w14:solidFill>
              <w14:schemeClr w14:val="tx1"/>
            </w14:solidFill>
          </w14:textFill>
        </w:rPr>
        <w:t>1.国产设备包含：产品价、运输费、保险费、安装调试费、税费、培训费等货到采购人指定地点的所有费用。</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ascii="宋体" w:hAnsi="宋体" w:cs="宋体"/>
          <w:color w:val="000000" w:themeColor="text1"/>
          <w:szCs w:val="28"/>
          <w14:textFill>
            <w14:solidFill>
              <w14:schemeClr w14:val="tx1"/>
            </w14:solidFill>
          </w14:textFill>
        </w:rPr>
        <w:t>2.进口设备含产品价、运输费（含装卸费）、外贸代理费【其中已包含外贸代理费、报关、银行、货运仓储、商检、保险等所有外贸费用、投标人需自行考虑政策原因影响，所导致增加的税款，该税款由投标人自行承担】、保险费、安装调试费、培训费等货到采购人指定地点的所有费用。</w:t>
      </w:r>
    </w:p>
    <w:p>
      <w:pPr>
        <w:pStyle w:val="5"/>
        <w:spacing w:before="0" w:after="0" w:line="360" w:lineRule="auto"/>
        <w:rPr>
          <w:rFonts w:ascii="宋体" w:hAnsi="宋体" w:cs="宋体"/>
          <w:b w:val="0"/>
          <w:bCs/>
          <w:color w:val="000000" w:themeColor="text1"/>
          <w:sz w:val="28"/>
          <w:szCs w:val="28"/>
          <w14:textFill>
            <w14:solidFill>
              <w14:schemeClr w14:val="tx1"/>
            </w14:solidFill>
          </w14:textFill>
        </w:rPr>
      </w:pPr>
      <w:bookmarkStart w:id="63" w:name="_Toc23500"/>
      <w:bookmarkStart w:id="64" w:name="_Toc24371195"/>
      <w:r>
        <w:rPr>
          <w:rFonts w:hint="eastAsia" w:ascii="宋体" w:hAnsi="宋体" w:cs="宋体"/>
          <w:b w:val="0"/>
          <w:bCs/>
          <w:color w:val="000000" w:themeColor="text1"/>
          <w:sz w:val="28"/>
          <w:szCs w:val="28"/>
          <w14:textFill>
            <w14:solidFill>
              <w14:schemeClr w14:val="tx1"/>
            </w14:solidFill>
          </w14:textFill>
        </w:rPr>
        <w:t>三、质量保证及售后服务</w:t>
      </w:r>
      <w:bookmarkEnd w:id="61"/>
      <w:bookmarkEnd w:id="62"/>
      <w:bookmarkEnd w:id="63"/>
      <w:bookmarkEnd w:id="64"/>
    </w:p>
    <w:p>
      <w:pPr>
        <w:snapToGrid w:val="0"/>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（一）产品质量保证期</w:t>
      </w:r>
    </w:p>
    <w:p>
      <w:pPr>
        <w:snapToGrid w:val="0"/>
        <w:spacing w:line="360" w:lineRule="auto"/>
        <w:ind w:firstLine="560" w:firstLineChars="200"/>
        <w:rPr>
          <w:rFonts w:ascii="宋体" w:hAnsi="宋体" w:cs="宋体"/>
          <w:color w:val="000000" w:themeColor="text1"/>
          <w:szCs w:val="28"/>
          <w:shd w:val="pct10" w:color="auto" w:fill="FFFFFF"/>
          <w14:textFill>
            <w14:solidFill>
              <w14:schemeClr w14:val="tx1"/>
            </w14:solidFill>
          </w14:textFill>
        </w:rPr>
      </w:pPr>
      <w:r>
        <w:rPr>
          <w:rFonts w:ascii="宋体" w:hAnsi="宋体" w:cs="宋体"/>
          <w:color w:val="000000" w:themeColor="text1"/>
          <w:szCs w:val="28"/>
          <w14:textFill>
            <w14:solidFill>
              <w14:schemeClr w14:val="tx1"/>
            </w14:solidFill>
          </w14:textFill>
        </w:rPr>
        <w:t>1.投标人应明确承诺：</w:t>
      </w:r>
      <w:r>
        <w:rPr>
          <w:rFonts w:hint="eastAsia" w:ascii="宋体" w:hAnsi="宋体" w:cs="宋体"/>
          <w:color w:val="000000" w:themeColor="text1"/>
          <w:szCs w:val="28"/>
          <w14:textFill>
            <w14:solidFill>
              <w14:schemeClr w14:val="tx1"/>
            </w14:solidFill>
          </w14:textFill>
        </w:rPr>
        <w:t>所投产品质量保证期，自验收之日起不低于</w:t>
      </w:r>
      <w:r>
        <w:rPr>
          <w:rFonts w:ascii="宋体" w:hAnsi="宋体" w:cs="宋体"/>
          <w:color w:val="000000" w:themeColor="text1"/>
          <w:szCs w:val="28"/>
          <w14:textFill>
            <w14:solidFill>
              <w14:schemeClr w14:val="tx1"/>
            </w14:solidFill>
          </w14:textFill>
        </w:rPr>
        <w:t>1</w:t>
      </w:r>
      <w:r>
        <w:rPr>
          <w:rFonts w:hint="eastAsia" w:ascii="宋体" w:hAnsi="宋体" w:cs="宋体"/>
          <w:color w:val="000000" w:themeColor="text1"/>
          <w:szCs w:val="28"/>
          <w14:textFill>
            <w14:solidFill>
              <w14:schemeClr w14:val="tx1"/>
            </w14:solidFill>
          </w14:textFill>
        </w:rPr>
        <w:t>年。</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ascii="宋体" w:hAnsi="宋体" w:cs="宋体"/>
          <w:color w:val="000000" w:themeColor="text1"/>
          <w:szCs w:val="28"/>
          <w14:textFill>
            <w14:solidFill>
              <w14:schemeClr w14:val="tx1"/>
            </w14:solidFill>
          </w14:textFill>
        </w:rPr>
        <w:t>2.投标产品属于国家规定“三包”范围的，其产品质量保证期不得低于“三包”规定。</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ascii="宋体" w:hAnsi="宋体" w:cs="宋体"/>
          <w:color w:val="000000" w:themeColor="text1"/>
          <w:szCs w:val="28"/>
          <w14:textFill>
            <w14:solidFill>
              <w14:schemeClr w14:val="tx1"/>
            </w14:solidFill>
          </w14:textFill>
        </w:rPr>
        <w:t>3.投标人的质量保证期承诺优于国家“三包”规定的，按投标人实际承诺执行。</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ascii="宋体" w:hAnsi="宋体" w:cs="宋体"/>
          <w:color w:val="000000" w:themeColor="text1"/>
          <w:szCs w:val="28"/>
          <w14:textFill>
            <w14:solidFill>
              <w14:schemeClr w14:val="tx1"/>
            </w14:solidFill>
          </w14:textFill>
        </w:rPr>
        <w:t>4.投标产品由制造商（指产品生产制造商，或其负责销售、售后服务机构，以下同）负责标准售后服务的，应当在投标文件中予以明确说明,并附制造商售后服务承诺。</w:t>
      </w:r>
    </w:p>
    <w:p>
      <w:pPr>
        <w:snapToGrid w:val="0"/>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（二）售后服务内容</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ascii="宋体" w:hAnsi="宋体" w:cs="宋体"/>
          <w:color w:val="000000" w:themeColor="text1"/>
          <w:szCs w:val="28"/>
          <w14:textFill>
            <w14:solidFill>
              <w14:schemeClr w14:val="tx1"/>
            </w14:solidFill>
          </w14:textFill>
        </w:rPr>
        <w:t>1.投标人和制造商在质量保证期内应当为采购人提供以下技术支持和服务：</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ascii="宋体" w:hAnsi="宋体" w:cs="宋体"/>
          <w:color w:val="000000" w:themeColor="text1"/>
          <w:szCs w:val="28"/>
          <w14:textFill>
            <w14:solidFill>
              <w14:schemeClr w14:val="tx1"/>
            </w14:solidFill>
          </w14:textFill>
        </w:rPr>
        <w:t>1.1电话咨询</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中标人和制造商应当为采购人提供技术援助电话，解答采购人在使用中遇到的问题，及时为采购人提出解决问题的建议。</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ascii="宋体" w:hAnsi="宋体" w:cs="宋体"/>
          <w:color w:val="000000" w:themeColor="text1"/>
          <w:szCs w:val="28"/>
          <w14:textFill>
            <w14:solidFill>
              <w14:schemeClr w14:val="tx1"/>
            </w14:solidFill>
          </w14:textFill>
        </w:rPr>
        <w:t>1.2现场响应</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采购人遇到使用及技术问题，电话咨询不能解决的，中标人和制造商应在24</w:t>
      </w:r>
      <w:r>
        <w:rPr>
          <w:rFonts w:ascii="宋体" w:hAnsi="宋体" w:cs="宋体"/>
          <w:color w:val="000000" w:themeColor="text1"/>
          <w:szCs w:val="28"/>
          <w14:textFill>
            <w14:solidFill>
              <w14:schemeClr w14:val="tx1"/>
            </w14:solidFill>
          </w14:textFill>
        </w:rPr>
        <w:t>小时内到达现场进行处理，确保产品正常工作；无法在</w:t>
      </w:r>
      <w:r>
        <w:rPr>
          <w:rFonts w:hint="eastAsia" w:ascii="宋体" w:hAnsi="宋体" w:cs="宋体"/>
          <w:color w:val="000000" w:themeColor="text1"/>
          <w:szCs w:val="28"/>
          <w14:textFill>
            <w14:solidFill>
              <w14:schemeClr w14:val="tx1"/>
            </w14:solidFill>
          </w14:textFill>
        </w:rPr>
        <w:t>24</w:t>
      </w:r>
      <w:r>
        <w:rPr>
          <w:rFonts w:ascii="宋体" w:hAnsi="宋体" w:cs="宋体"/>
          <w:color w:val="000000" w:themeColor="text1"/>
          <w:szCs w:val="28"/>
          <w14:textFill>
            <w14:solidFill>
              <w14:schemeClr w14:val="tx1"/>
            </w14:solidFill>
          </w14:textFill>
        </w:rPr>
        <w:t>小时内解决的，应在120小时内提供备用产品，使采购人能够正常使用。</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ascii="宋体" w:hAnsi="宋体" w:cs="宋体"/>
          <w:color w:val="000000" w:themeColor="text1"/>
          <w:szCs w:val="28"/>
          <w14:textFill>
            <w14:solidFill>
              <w14:schemeClr w14:val="tx1"/>
            </w14:solidFill>
          </w14:textFill>
        </w:rPr>
        <w:t>1.3技术升级</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在质保期内，如果中标人和制造商的产品技术升级，投标人应及时通知采购人，如采购人有相应要求，中标人和制造商应对采购人购买的产品进行升级服务。</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ascii="宋体" w:hAnsi="宋体" w:cs="宋体"/>
          <w:color w:val="000000" w:themeColor="text1"/>
          <w:szCs w:val="28"/>
          <w14:textFill>
            <w14:solidFill>
              <w14:schemeClr w14:val="tx1"/>
            </w14:solidFill>
          </w14:textFill>
        </w:rPr>
        <w:t>2.质保期外服务要求</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ascii="宋体" w:hAnsi="宋体" w:cs="宋体"/>
          <w:color w:val="000000" w:themeColor="text1"/>
          <w:szCs w:val="28"/>
          <w14:textFill>
            <w14:solidFill>
              <w14:schemeClr w14:val="tx1"/>
            </w14:solidFill>
          </w14:textFill>
        </w:rPr>
        <w:t>2.1质量保证期过后，投标人和制造商应同样提供免费电话咨询服务，并应承诺提供产品上门维护服务。</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ascii="宋体" w:hAnsi="宋体" w:cs="宋体"/>
          <w:color w:val="000000" w:themeColor="text1"/>
          <w:szCs w:val="28"/>
          <w14:textFill>
            <w14:solidFill>
              <w14:schemeClr w14:val="tx1"/>
            </w14:solidFill>
          </w14:textFill>
        </w:rPr>
        <w:t>2.2质量保证期过后，采购人需要继续由原投标人和制造商提供售后服务的，该投标人和制造商应以优惠价格提供售后服务。</w:t>
      </w:r>
    </w:p>
    <w:p>
      <w:pPr>
        <w:snapToGrid w:val="0"/>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（三）备品备件及易损件</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中标人和制造商售后服务中，维修使用的备品备件及易损件应为原厂配件，未经采购人同意不得使用非原厂配件，常用的、容易损坏的备品备件及易损件的价格清单须在投标文件中列出。</w:t>
      </w:r>
    </w:p>
    <w:p>
      <w:pPr>
        <w:pStyle w:val="5"/>
        <w:spacing w:before="0" w:after="0" w:line="360" w:lineRule="auto"/>
        <w:rPr>
          <w:rFonts w:ascii="宋体" w:hAnsi="宋体" w:cs="宋体"/>
          <w:b w:val="0"/>
          <w:bCs/>
          <w:color w:val="000000" w:themeColor="text1"/>
          <w:sz w:val="28"/>
          <w:szCs w:val="28"/>
          <w14:textFill>
            <w14:solidFill>
              <w14:schemeClr w14:val="tx1"/>
            </w14:solidFill>
          </w14:textFill>
        </w:rPr>
      </w:pPr>
      <w:bookmarkStart w:id="65" w:name="_Toc20792"/>
      <w:bookmarkStart w:id="66" w:name="_Toc24371196"/>
      <w:bookmarkStart w:id="67" w:name="_Toc267320051"/>
      <w:bookmarkStart w:id="68" w:name="_Toc21533352"/>
      <w:r>
        <w:rPr>
          <w:rFonts w:hint="eastAsia" w:ascii="宋体" w:hAnsi="宋体" w:cs="宋体"/>
          <w:b w:val="0"/>
          <w:bCs/>
          <w:color w:val="000000" w:themeColor="text1"/>
          <w:sz w:val="28"/>
          <w:szCs w:val="28"/>
          <w14:textFill>
            <w14:solidFill>
              <w14:schemeClr w14:val="tx1"/>
            </w14:solidFill>
          </w14:textFill>
        </w:rPr>
        <w:t>四、付款方式</w:t>
      </w:r>
      <w:bookmarkEnd w:id="65"/>
      <w:bookmarkEnd w:id="66"/>
      <w:bookmarkEnd w:id="67"/>
      <w:bookmarkEnd w:id="68"/>
    </w:p>
    <w:p>
      <w:pPr>
        <w:snapToGrid w:val="0"/>
        <w:spacing w:line="360" w:lineRule="auto"/>
        <w:rPr>
          <w:rFonts w:ascii="宋体" w:hAnsi="宋体" w:cs="宋体"/>
          <w:color w:val="000000" w:themeColor="text1"/>
          <w:szCs w:val="28"/>
          <w14:textFill>
            <w14:solidFill>
              <w14:schemeClr w14:val="tx1"/>
            </w14:solidFill>
          </w14:textFill>
        </w:rPr>
      </w:pPr>
      <w:bookmarkStart w:id="69" w:name="_Toc344475123"/>
      <w:r>
        <w:rPr>
          <w:rFonts w:hint="eastAsia" w:ascii="宋体" w:hAnsi="宋体" w:cs="宋体"/>
          <w:color w:val="000000" w:themeColor="text1"/>
          <w:szCs w:val="28"/>
          <w14:textFill>
            <w14:solidFill>
              <w14:schemeClr w14:val="tx1"/>
            </w14:solidFill>
          </w14:textFill>
        </w:rPr>
        <w:t>（一）合同签订前，中标人向采购人缴纳合同金额5%的履约保证金；</w:t>
      </w:r>
    </w:p>
    <w:p>
      <w:pPr>
        <w:snapToGrid w:val="0"/>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（二）中标人按合同约定交货，经验收合格后，采购人出具项目验收报告；</w:t>
      </w:r>
    </w:p>
    <w:p>
      <w:pPr>
        <w:snapToGrid w:val="0"/>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（三）中标人向采购人开具发票，采购人以转账方式向中标人支付合同全款。</w:t>
      </w:r>
    </w:p>
    <w:p>
      <w:pPr>
        <w:snapToGrid w:val="0"/>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（四）履约保证金在质保期届满后，无廉政、无质量及售后服务问题时，无息退还。</w:t>
      </w:r>
    </w:p>
    <w:p>
      <w:pPr>
        <w:snapToGrid w:val="0"/>
        <w:spacing w:line="360" w:lineRule="auto"/>
        <w:rPr>
          <w:rFonts w:ascii="宋体" w:hAnsi="宋体" w:cs="宋体"/>
          <w:b/>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五、知识产权</w:t>
      </w:r>
      <w:bookmarkEnd w:id="69"/>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注：（若涉及软件开发等服务类项目知识产权的，知识产权归采购人所有）。</w:t>
      </w:r>
    </w:p>
    <w:p>
      <w:pPr>
        <w:pStyle w:val="5"/>
        <w:spacing w:before="0" w:after="0" w:line="360" w:lineRule="auto"/>
        <w:rPr>
          <w:rFonts w:ascii="宋体" w:hAnsi="宋体" w:cs="宋体"/>
          <w:b w:val="0"/>
          <w:color w:val="000000" w:themeColor="text1"/>
          <w:sz w:val="28"/>
          <w:szCs w:val="28"/>
          <w14:textFill>
            <w14:solidFill>
              <w14:schemeClr w14:val="tx1"/>
            </w14:solidFill>
          </w14:textFill>
        </w:rPr>
      </w:pPr>
      <w:bookmarkStart w:id="70" w:name="_Toc344475124"/>
      <w:bookmarkStart w:id="71" w:name="_Toc3882"/>
      <w:r>
        <w:rPr>
          <w:rFonts w:hint="eastAsia" w:ascii="宋体" w:hAnsi="宋体" w:cs="宋体"/>
          <w:b w:val="0"/>
          <w:color w:val="000000" w:themeColor="text1"/>
          <w:sz w:val="28"/>
          <w:szCs w:val="28"/>
          <w14:textFill>
            <w14:solidFill>
              <w14:schemeClr w14:val="tx1"/>
            </w14:solidFill>
          </w14:textFill>
        </w:rPr>
        <w:t>六、培训</w:t>
      </w:r>
      <w:bookmarkEnd w:id="70"/>
      <w:bookmarkEnd w:id="71"/>
    </w:p>
    <w:p>
      <w:pPr>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成交供应商须提供对设备的操作培训，使相关使用人员能够正常操作相关设备。</w:t>
      </w:r>
    </w:p>
    <w:p>
      <w:pPr>
        <w:pStyle w:val="5"/>
        <w:spacing w:before="0" w:after="0" w:line="360" w:lineRule="auto"/>
        <w:rPr>
          <w:rFonts w:ascii="宋体" w:hAnsi="宋体" w:cs="宋体"/>
          <w:b w:val="0"/>
          <w:color w:val="000000" w:themeColor="text1"/>
          <w:sz w:val="28"/>
          <w:szCs w:val="28"/>
          <w14:textFill>
            <w14:solidFill>
              <w14:schemeClr w14:val="tx1"/>
            </w14:solidFill>
          </w14:textFill>
        </w:rPr>
      </w:pPr>
      <w:bookmarkStart w:id="72" w:name="_Toc7781"/>
      <w:r>
        <w:rPr>
          <w:rFonts w:hint="eastAsia" w:ascii="宋体" w:hAnsi="宋体" w:cs="宋体"/>
          <w:b w:val="0"/>
          <w:color w:val="000000" w:themeColor="text1"/>
          <w:sz w:val="28"/>
          <w:szCs w:val="28"/>
          <w14:textFill>
            <w14:solidFill>
              <w14:schemeClr w14:val="tx1"/>
            </w14:solidFill>
          </w14:textFill>
        </w:rPr>
        <w:t>七、</w:t>
      </w:r>
      <w:bookmarkStart w:id="73" w:name="_Toc344475125"/>
      <w:r>
        <w:rPr>
          <w:rFonts w:hint="eastAsia" w:ascii="宋体" w:hAnsi="宋体" w:cs="宋体"/>
          <w:b w:val="0"/>
          <w:color w:val="000000" w:themeColor="text1"/>
          <w:sz w:val="28"/>
          <w:szCs w:val="28"/>
          <w14:textFill>
            <w14:solidFill>
              <w14:schemeClr w14:val="tx1"/>
            </w14:solidFill>
          </w14:textFill>
        </w:rPr>
        <w:t>其他</w:t>
      </w:r>
      <w:bookmarkEnd w:id="72"/>
    </w:p>
    <w:bookmarkEnd w:id="73"/>
    <w:p>
      <w:pPr>
        <w:snapToGrid w:val="0"/>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（一）供应商必须在响应文件中对以上条款和服务承诺明确列出，承诺内容必须达到本篇及竞争性谈判其他条款的要求。</w:t>
      </w:r>
    </w:p>
    <w:p>
      <w:pPr>
        <w:snapToGrid w:val="0"/>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（二）其他未尽事宜由供需双方在采购合同中详细约定。</w:t>
      </w:r>
    </w:p>
    <w:p>
      <w:pPr>
        <w:pStyle w:val="4"/>
        <w:spacing w:before="0" w:after="0" w:line="360" w:lineRule="auto"/>
        <w:jc w:val="center"/>
        <w:rPr>
          <w:rFonts w:ascii="宋体" w:hAnsi="宋体" w:eastAsia="宋体" w:cs="宋体"/>
          <w:bCs/>
          <w:color w:val="000000" w:themeColor="text1"/>
          <w:szCs w:val="32"/>
          <w14:textFill>
            <w14:solidFill>
              <w14:schemeClr w14:val="tx1"/>
            </w14:solidFill>
          </w14:textFill>
        </w:rPr>
      </w:pPr>
      <w:r>
        <w:rPr>
          <w:rFonts w:ascii="宋体" w:hAnsi="宋体" w:eastAsia="宋体" w:cs="宋体"/>
          <w:b w:val="0"/>
          <w:color w:val="000000" w:themeColor="text1"/>
          <w:sz w:val="28"/>
          <w:szCs w:val="28"/>
          <w14:textFill>
            <w14:solidFill>
              <w14:schemeClr w14:val="tx1"/>
            </w14:solidFill>
          </w14:textFill>
        </w:rPr>
        <w:br w:type="page"/>
      </w:r>
      <w:bookmarkStart w:id="74" w:name="_Toc27249"/>
      <w:r>
        <w:rPr>
          <w:rFonts w:hint="eastAsia" w:ascii="宋体" w:hAnsi="宋体" w:eastAsia="宋体" w:cs="宋体"/>
          <w:bCs/>
          <w:color w:val="000000" w:themeColor="text1"/>
          <w:szCs w:val="32"/>
          <w14:textFill>
            <w14:solidFill>
              <w14:schemeClr w14:val="tx1"/>
            </w14:solidFill>
          </w14:textFill>
        </w:rPr>
        <w:t>第五篇</w:t>
      </w:r>
      <w:r>
        <w:rPr>
          <w:rFonts w:ascii="宋体" w:hAnsi="宋体" w:eastAsia="宋体" w:cs="宋体"/>
          <w:bCs/>
          <w:color w:val="000000" w:themeColor="text1"/>
          <w:szCs w:val="32"/>
          <w14:textFill>
            <w14:solidFill>
              <w14:schemeClr w14:val="tx1"/>
            </w14:solidFill>
          </w14:textFill>
        </w:rPr>
        <w:t xml:space="preserve">  </w:t>
      </w:r>
      <w:bookmarkEnd w:id="56"/>
      <w:bookmarkEnd w:id="57"/>
      <w:r>
        <w:rPr>
          <w:rFonts w:hint="eastAsia" w:ascii="宋体" w:hAnsi="宋体" w:eastAsia="宋体" w:cs="宋体"/>
          <w:bCs/>
          <w:color w:val="000000" w:themeColor="text1"/>
          <w:szCs w:val="32"/>
          <w14:textFill>
            <w14:solidFill>
              <w14:schemeClr w14:val="tx1"/>
            </w14:solidFill>
          </w14:textFill>
        </w:rPr>
        <w:t>合同草案条款</w:t>
      </w:r>
      <w:bookmarkEnd w:id="74"/>
    </w:p>
    <w:p>
      <w:pPr>
        <w:snapToGrid w:val="0"/>
        <w:spacing w:line="560" w:lineRule="exact"/>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一、定义</w:t>
      </w:r>
    </w:p>
    <w:p>
      <w:pPr>
        <w:snapToGrid w:val="0"/>
        <w:spacing w:line="560" w:lineRule="exact"/>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（一）甲方（需方）即采购人，是指通过竞争性谈判采购，接受合同货物及服务的各级国家机关、事业单位和团体组织。</w:t>
      </w:r>
    </w:p>
    <w:p>
      <w:pPr>
        <w:snapToGrid w:val="0"/>
        <w:spacing w:line="560" w:lineRule="exact"/>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（二）乙方（供方）即成交供应商，是指成交后提供合同货物和服务的自然人、法人及其他组织。</w:t>
      </w:r>
    </w:p>
    <w:p>
      <w:pPr>
        <w:snapToGrid w:val="0"/>
        <w:spacing w:line="560" w:lineRule="exact"/>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（三）合同是指由甲乙双方按照竞争性谈判文件和响应文件的实质性内容，通过协商一致达成的书面协议。</w:t>
      </w:r>
    </w:p>
    <w:p>
      <w:pPr>
        <w:snapToGrid w:val="0"/>
        <w:spacing w:line="560" w:lineRule="exact"/>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（四）合同价格指以成交价格为依据，在供方全面履行合同义务后，需方（或财政部门）应支付给供方的金额。</w:t>
      </w:r>
    </w:p>
    <w:p>
      <w:pPr>
        <w:snapToGrid w:val="0"/>
        <w:spacing w:line="560" w:lineRule="exact"/>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（五）技术资料是指合同货物及其相关的设计、制造、监造、检验、验收等文件（包括图纸、各种文字说明、标准）。</w:t>
      </w:r>
    </w:p>
    <w:p>
      <w:pPr>
        <w:snapToGrid w:val="0"/>
        <w:spacing w:line="560" w:lineRule="exact"/>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二、货物内容</w:t>
      </w:r>
    </w:p>
    <w:p>
      <w:pPr>
        <w:snapToGrid w:val="0"/>
        <w:spacing w:line="560" w:lineRule="exact"/>
        <w:ind w:firstLine="560" w:firstLineChars="200"/>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合同包括以下内容：货物名称、型号规格、技术参数、数量（单位）等内容。</w:t>
      </w:r>
    </w:p>
    <w:p>
      <w:pPr>
        <w:snapToGrid w:val="0"/>
        <w:spacing w:line="560" w:lineRule="exact"/>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三、合同价格</w:t>
      </w:r>
    </w:p>
    <w:p>
      <w:pPr>
        <w:snapToGrid w:val="0"/>
        <w:spacing w:line="560" w:lineRule="exact"/>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（一）合同价格即合同总价。</w:t>
      </w:r>
    </w:p>
    <w:p>
      <w:pPr>
        <w:snapToGrid w:val="0"/>
        <w:spacing w:line="560" w:lineRule="exact"/>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（二）合同价格包括合同货物、技术资料、合同货物的税费、运杂费、保险费、包装费、装卸费及与货物有关的供方应纳的税费，所有税费由乙方负担。</w:t>
      </w:r>
    </w:p>
    <w:p>
      <w:pPr>
        <w:snapToGrid w:val="0"/>
        <w:spacing w:line="560" w:lineRule="exact"/>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（三）合同货物单价为不变价。</w:t>
      </w:r>
    </w:p>
    <w:p>
      <w:pPr>
        <w:snapToGrid w:val="0"/>
        <w:spacing w:line="560" w:lineRule="exact"/>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四、转包或分包</w:t>
      </w:r>
    </w:p>
    <w:p>
      <w:pPr>
        <w:snapToGrid w:val="0"/>
        <w:spacing w:line="560" w:lineRule="exact"/>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（一）本合同范围的货物，应由乙方直接供应，不得转让他人供应；</w:t>
      </w:r>
    </w:p>
    <w:p>
      <w:pPr>
        <w:snapToGrid w:val="0"/>
        <w:spacing w:line="560" w:lineRule="exact"/>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（二）非经甲方书面同意，乙方不得将本合同范围的货物全部或部分分包给他人供应；</w:t>
      </w:r>
    </w:p>
    <w:p>
      <w:pPr>
        <w:snapToGrid w:val="0"/>
        <w:spacing w:line="560" w:lineRule="exact"/>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（三）如有转让和未经甲方同意的分包行为，甲方有权解除合同，没收履约保证金并追究乙方的违约责任。</w:t>
      </w:r>
    </w:p>
    <w:p>
      <w:pPr>
        <w:snapToGrid w:val="0"/>
        <w:spacing w:line="560" w:lineRule="exact"/>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五、质量保证及售后服务</w:t>
      </w:r>
    </w:p>
    <w:p>
      <w:pPr>
        <w:snapToGrid w:val="0"/>
        <w:spacing w:line="560" w:lineRule="exact"/>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（一）乙方应按竞争性谈判文件规定的货物性能、技术要求、质量标准向甲方提供未经使用的全新产品。</w:t>
      </w:r>
    </w:p>
    <w:p>
      <w:pPr>
        <w:snapToGrid w:val="0"/>
        <w:spacing w:line="560" w:lineRule="exact"/>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（二）乙方提供的货物在质保期内因货物本身的质量问题发生故障，乙方应负责免费更换。对达不到技术要求者，根据实际情况，经双方协商，可按以下办法处理：</w:t>
      </w:r>
    </w:p>
    <w:p>
      <w:pPr>
        <w:snapToGrid w:val="0"/>
        <w:spacing w:line="560" w:lineRule="exact"/>
        <w:ind w:firstLine="560" w:firstLineChars="200"/>
        <w:outlineLvl w:val="0"/>
        <w:rPr>
          <w:rFonts w:ascii="宋体" w:hAnsi="宋体" w:cs="宋体"/>
          <w:bCs/>
          <w:color w:val="000000" w:themeColor="text1"/>
          <w:szCs w:val="28"/>
          <w14:textFill>
            <w14:solidFill>
              <w14:schemeClr w14:val="tx1"/>
            </w14:solidFill>
          </w14:textFill>
        </w:rPr>
      </w:pPr>
      <w:r>
        <w:rPr>
          <w:rFonts w:ascii="宋体" w:hAnsi="宋体" w:cs="宋体"/>
          <w:bCs/>
          <w:color w:val="000000" w:themeColor="text1"/>
          <w:szCs w:val="28"/>
          <w14:textFill>
            <w14:solidFill>
              <w14:schemeClr w14:val="tx1"/>
            </w14:solidFill>
          </w14:textFill>
        </w:rPr>
        <w:t>1.更换：由乙方承担所发生的全部费用。</w:t>
      </w:r>
    </w:p>
    <w:p>
      <w:pPr>
        <w:snapToGrid w:val="0"/>
        <w:spacing w:line="560" w:lineRule="exact"/>
        <w:ind w:firstLine="560" w:firstLineChars="200"/>
        <w:outlineLvl w:val="0"/>
        <w:rPr>
          <w:rFonts w:ascii="宋体" w:hAnsi="宋体" w:cs="宋体"/>
          <w:bCs/>
          <w:color w:val="000000" w:themeColor="text1"/>
          <w:szCs w:val="28"/>
          <w14:textFill>
            <w14:solidFill>
              <w14:schemeClr w14:val="tx1"/>
            </w14:solidFill>
          </w14:textFill>
        </w:rPr>
      </w:pPr>
      <w:r>
        <w:rPr>
          <w:rFonts w:ascii="宋体" w:hAnsi="宋体" w:cs="宋体"/>
          <w:bCs/>
          <w:color w:val="000000" w:themeColor="text1"/>
          <w:szCs w:val="28"/>
          <w14:textFill>
            <w14:solidFill>
              <w14:schemeClr w14:val="tx1"/>
            </w14:solidFill>
          </w14:textFill>
        </w:rPr>
        <w:t>2.贬值处理：由甲乙双方合议定价。</w:t>
      </w:r>
    </w:p>
    <w:p>
      <w:pPr>
        <w:snapToGrid w:val="0"/>
        <w:spacing w:line="560" w:lineRule="exact"/>
        <w:ind w:firstLine="560" w:firstLineChars="200"/>
        <w:outlineLvl w:val="0"/>
        <w:rPr>
          <w:rFonts w:ascii="宋体" w:hAnsi="宋体" w:cs="宋体"/>
          <w:bCs/>
          <w:color w:val="000000" w:themeColor="text1"/>
          <w:szCs w:val="28"/>
          <w14:textFill>
            <w14:solidFill>
              <w14:schemeClr w14:val="tx1"/>
            </w14:solidFill>
          </w14:textFill>
        </w:rPr>
      </w:pPr>
      <w:r>
        <w:rPr>
          <w:rFonts w:ascii="宋体" w:hAnsi="宋体" w:cs="宋体"/>
          <w:bCs/>
          <w:color w:val="000000" w:themeColor="text1"/>
          <w:szCs w:val="28"/>
          <w14:textFill>
            <w14:solidFill>
              <w14:schemeClr w14:val="tx1"/>
            </w14:solidFill>
          </w14:textFill>
        </w:rPr>
        <w:t>3.退货处理：乙方应退还甲方支付的合同款，同时应承担该货物的直接费用（运输、保险、检验、货款利息及银行手续费等）。</w:t>
      </w:r>
    </w:p>
    <w:p>
      <w:pPr>
        <w:snapToGrid w:val="0"/>
        <w:spacing w:line="560" w:lineRule="exact"/>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（三）如在使用过程中发生质量问题，乙方应同本项目“第四篇</w:t>
      </w:r>
      <w:r>
        <w:rPr>
          <w:rFonts w:ascii="宋体" w:hAnsi="宋体" w:cs="宋体"/>
          <w:bCs/>
          <w:color w:val="000000" w:themeColor="text1"/>
          <w:szCs w:val="28"/>
          <w14:textFill>
            <w14:solidFill>
              <w14:schemeClr w14:val="tx1"/>
            </w14:solidFill>
          </w14:textFill>
        </w:rPr>
        <w:t xml:space="preserve"> </w:t>
      </w:r>
      <w:r>
        <w:rPr>
          <w:rFonts w:hint="eastAsia" w:ascii="宋体" w:hAnsi="宋体" w:cs="宋体"/>
          <w:bCs/>
          <w:color w:val="000000" w:themeColor="text1"/>
          <w:szCs w:val="28"/>
          <w14:textFill>
            <w14:solidFill>
              <w14:schemeClr w14:val="tx1"/>
            </w14:solidFill>
          </w14:textFill>
        </w:rPr>
        <w:t>谈判项目服务需求”对质量保证及售后服务内容的约定。</w:t>
      </w:r>
    </w:p>
    <w:p>
      <w:pPr>
        <w:snapToGrid w:val="0"/>
        <w:spacing w:line="560" w:lineRule="exact"/>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（四）在质保期内，乙方应对货物出现的质量及安全问题负责处理解决并承担一切费用。</w:t>
      </w:r>
    </w:p>
    <w:p>
      <w:pPr>
        <w:snapToGrid w:val="0"/>
        <w:spacing w:line="560" w:lineRule="exact"/>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六、付款</w:t>
      </w:r>
    </w:p>
    <w:p>
      <w:pPr>
        <w:snapToGrid w:val="0"/>
        <w:spacing w:line="560" w:lineRule="exact"/>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（一）本合同使用货币币制如未作特别说明均为人民币。</w:t>
      </w:r>
    </w:p>
    <w:p>
      <w:pPr>
        <w:snapToGrid w:val="0"/>
        <w:spacing w:line="560" w:lineRule="exact"/>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（二）付款方式：银行转账、现金支票。</w:t>
      </w:r>
    </w:p>
    <w:p>
      <w:pPr>
        <w:snapToGrid w:val="0"/>
        <w:spacing w:line="560" w:lineRule="exact"/>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（三）付款方法：同本项目“第四篇</w:t>
      </w:r>
      <w:r>
        <w:rPr>
          <w:rFonts w:ascii="宋体" w:hAnsi="宋体" w:cs="宋体"/>
          <w:bCs/>
          <w:color w:val="000000" w:themeColor="text1"/>
          <w:szCs w:val="28"/>
          <w14:textFill>
            <w14:solidFill>
              <w14:schemeClr w14:val="tx1"/>
            </w14:solidFill>
          </w14:textFill>
        </w:rPr>
        <w:t xml:space="preserve"> </w:t>
      </w:r>
      <w:r>
        <w:rPr>
          <w:rFonts w:hint="eastAsia" w:ascii="宋体" w:hAnsi="宋体" w:cs="宋体"/>
          <w:bCs/>
          <w:color w:val="000000" w:themeColor="text1"/>
          <w:szCs w:val="28"/>
          <w14:textFill>
            <w14:solidFill>
              <w14:schemeClr w14:val="tx1"/>
            </w14:solidFill>
          </w14:textFill>
        </w:rPr>
        <w:t>谈判项目服务需求”中关于付款方式的约定。</w:t>
      </w:r>
    </w:p>
    <w:p>
      <w:pPr>
        <w:snapToGrid w:val="0"/>
        <w:spacing w:line="560" w:lineRule="exact"/>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七、检查验收</w:t>
      </w:r>
    </w:p>
    <w:p>
      <w:pPr>
        <w:snapToGrid w:val="0"/>
        <w:spacing w:line="560" w:lineRule="exact"/>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（一）供方应随货物提供合格证和质量证明文件，如是国外进口的货物还须提供入关证明。</w:t>
      </w:r>
    </w:p>
    <w:p>
      <w:pPr>
        <w:snapToGrid w:val="0"/>
        <w:spacing w:line="560" w:lineRule="exact"/>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（二）货物验收</w:t>
      </w:r>
    </w:p>
    <w:p>
      <w:pPr>
        <w:adjustRightInd w:val="0"/>
        <w:snapToGrid w:val="0"/>
        <w:spacing w:line="560" w:lineRule="exact"/>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供方所交货物的各种质量指标不得低于供方提供样品的质量指标（无样品时按供方响应文件中所提供的“技术文件”执行），售后服务质量要求按照竞争性谈判文件和响应文件的内容执行。供方交货时，需方可根据需要随机抽取一部分货物送有关权威检测部门检测，如检测不合格，供方负责赔偿需方一切损失。</w:t>
      </w:r>
    </w:p>
    <w:p>
      <w:pPr>
        <w:snapToGrid w:val="0"/>
        <w:spacing w:line="560" w:lineRule="exact"/>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（三）货物验收报告应由需方、供方经办人签字，并加盖双方公章，以此作为支付凭据。</w:t>
      </w:r>
    </w:p>
    <w:p>
      <w:pPr>
        <w:snapToGrid w:val="0"/>
        <w:spacing w:line="560" w:lineRule="exact"/>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八、索赔</w:t>
      </w:r>
    </w:p>
    <w:p>
      <w:pPr>
        <w:snapToGrid w:val="0"/>
        <w:spacing w:line="560" w:lineRule="exact"/>
        <w:ind w:firstLine="560" w:firstLineChars="200"/>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供方对货物与合同要求不符负有责任，并且需方已于规定交货内和质量保证期内提出索赔，供方应按需方同意的下述一种或多种方法解决索赔事宜。</w:t>
      </w:r>
    </w:p>
    <w:p>
      <w:pPr>
        <w:snapToGrid w:val="0"/>
        <w:spacing w:line="560" w:lineRule="exact"/>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一）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snapToGrid w:val="0"/>
        <w:spacing w:line="560" w:lineRule="exact"/>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（二）根据货物的疵劣和受损程度以及需方遭受损失的金额，经双方同意降低货物价格。</w:t>
      </w:r>
    </w:p>
    <w:p>
      <w:pPr>
        <w:snapToGrid w:val="0"/>
        <w:spacing w:line="560" w:lineRule="exact"/>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九、知识产权</w:t>
      </w:r>
    </w:p>
    <w:p>
      <w:pPr>
        <w:snapToGrid w:val="0"/>
        <w:spacing w:line="560" w:lineRule="exact"/>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（一）甲方在中华人民共和国境内使用乙方提供的货物及服务时免受第三方提出的侵犯其专利权或其它知识产权的起诉。如果第三方提出侵权指控，乙方承担由此而引起的一切法律责任和费用。</w:t>
      </w:r>
    </w:p>
    <w:p>
      <w:pPr>
        <w:snapToGrid w:val="0"/>
        <w:spacing w:line="560" w:lineRule="exact"/>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（二）若涉及软件开发等服务类项目知识产权的，知识产权归采购人所有。</w:t>
      </w:r>
    </w:p>
    <w:p>
      <w:pPr>
        <w:snapToGrid w:val="0"/>
        <w:spacing w:line="560" w:lineRule="exact"/>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十、合同争议的解决</w:t>
      </w:r>
    </w:p>
    <w:p>
      <w:pPr>
        <w:snapToGrid w:val="0"/>
        <w:spacing w:line="560" w:lineRule="exact"/>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（一）当事人友好协商达成一致</w:t>
      </w:r>
    </w:p>
    <w:p>
      <w:pPr>
        <w:snapToGrid w:val="0"/>
        <w:spacing w:line="560" w:lineRule="exact"/>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（二）在</w:t>
      </w:r>
      <w:r>
        <w:rPr>
          <w:rFonts w:ascii="宋体" w:hAnsi="宋体" w:cs="宋体"/>
          <w:bCs/>
          <w:color w:val="000000" w:themeColor="text1"/>
          <w:szCs w:val="28"/>
          <w14:textFill>
            <w14:solidFill>
              <w14:schemeClr w14:val="tx1"/>
            </w14:solidFill>
          </w14:textFill>
        </w:rPr>
        <w:t>60天内当事人协商不能达成协议的，可提请采购人当地仲裁机构仲裁。</w:t>
      </w:r>
    </w:p>
    <w:p>
      <w:pPr>
        <w:snapToGrid w:val="0"/>
        <w:spacing w:line="560" w:lineRule="exact"/>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十一、违约责任</w:t>
      </w:r>
    </w:p>
    <w:p>
      <w:pPr>
        <w:snapToGrid w:val="0"/>
        <w:spacing w:line="560" w:lineRule="exact"/>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按《中华人民共和国合同法》、《中华人民共和国政府采购法》有关条款，或由供需双方约定。</w:t>
      </w:r>
    </w:p>
    <w:p>
      <w:pPr>
        <w:snapToGrid w:val="0"/>
        <w:spacing w:line="560" w:lineRule="exact"/>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十二、合同生效及其它</w:t>
      </w:r>
    </w:p>
    <w:p>
      <w:pPr>
        <w:snapToGrid w:val="0"/>
        <w:spacing w:line="560" w:lineRule="exact"/>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（一）合同生效及其效力应符合《中华人民共和国合同法》有关规定。</w:t>
      </w:r>
    </w:p>
    <w:p>
      <w:pPr>
        <w:snapToGrid w:val="0"/>
        <w:spacing w:line="560" w:lineRule="exact"/>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（二）合同应经当事人法定代表人或委托代理人签字，加盖双方合同专用章或公章。</w:t>
      </w:r>
    </w:p>
    <w:p>
      <w:pPr>
        <w:snapToGrid w:val="0"/>
        <w:spacing w:line="560" w:lineRule="exact"/>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（三）合同所包括附件，是合同不可分割的一部分，具有同等法法律效力。</w:t>
      </w:r>
    </w:p>
    <w:p>
      <w:pPr>
        <w:snapToGrid w:val="0"/>
        <w:spacing w:line="560" w:lineRule="exact"/>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（四）合同需提供担保的，按《中华人民共和国担保法》规定执行。</w:t>
      </w:r>
    </w:p>
    <w:p>
      <w:pPr>
        <w:snapToGrid w:val="0"/>
        <w:spacing w:line="560" w:lineRule="exact"/>
        <w:outlineLvl w:val="0"/>
        <w:rPr>
          <w:rFonts w:ascii="宋体" w:hAnsi="宋体" w:cs="宋体"/>
          <w:bCs/>
          <w:color w:val="000000" w:themeColor="text1"/>
          <w:szCs w:val="28"/>
          <w14:textFill>
            <w14:solidFill>
              <w14:schemeClr w14:val="tx1"/>
            </w14:solidFill>
          </w14:textFill>
        </w:rPr>
      </w:pPr>
      <w:r>
        <w:rPr>
          <w:rFonts w:hint="eastAsia" w:ascii="宋体" w:hAnsi="宋体" w:cs="宋体"/>
          <w:bCs/>
          <w:color w:val="000000" w:themeColor="text1"/>
          <w:szCs w:val="28"/>
          <w14:textFill>
            <w14:solidFill>
              <w14:schemeClr w14:val="tx1"/>
            </w14:solidFill>
          </w14:textFill>
        </w:rPr>
        <w:t>（五）本合同条件未尽事宜依照《中华人民共和国合同法》，由供需双方共同协商确定。</w:t>
      </w:r>
    </w:p>
    <w:p>
      <w:pPr>
        <w:snapToGrid w:val="0"/>
        <w:spacing w:line="560" w:lineRule="exact"/>
        <w:rPr>
          <w:rFonts w:ascii="宋体" w:hAnsi="宋体" w:eastAsia="方正仿宋_GBK" w:cs="宋体"/>
          <w:color w:val="000000" w:themeColor="text1"/>
          <w:szCs w:val="28"/>
          <w14:textFill>
            <w14:solidFill>
              <w14:schemeClr w14:val="tx1"/>
            </w14:solidFill>
          </w14:textFill>
        </w:rPr>
        <w:sectPr>
          <w:pgSz w:w="11907" w:h="16840"/>
          <w:pgMar w:top="1134" w:right="1191" w:bottom="1134" w:left="1304" w:header="964" w:footer="992" w:gutter="0"/>
          <w:pgNumType w:fmt="numberInDash"/>
          <w:cols w:space="720" w:num="1"/>
          <w:docGrid w:linePitch="312" w:charSpace="0"/>
        </w:sectPr>
      </w:pPr>
    </w:p>
    <w:p>
      <w:pPr>
        <w:spacing w:line="560" w:lineRule="exact"/>
        <w:rPr>
          <w:rFonts w:ascii="宋体" w:hAnsi="宋体" w:cs="宋体"/>
          <w:color w:val="000000" w:themeColor="text1"/>
          <w:szCs w:val="28"/>
          <w14:textFill>
            <w14:solidFill>
              <w14:schemeClr w14:val="tx1"/>
            </w14:solidFill>
          </w14:textFill>
        </w:rPr>
      </w:pPr>
      <w:bookmarkStart w:id="75" w:name="_Toc303945820"/>
      <w:bookmarkStart w:id="76" w:name="_Toc148265480"/>
      <w:r>
        <w:rPr>
          <w:rFonts w:hint="eastAsia" w:ascii="宋体" w:hAnsi="宋体" w:cs="宋体"/>
          <w:color w:val="000000" w:themeColor="text1"/>
          <w:szCs w:val="28"/>
          <w14:textFill>
            <w14:solidFill>
              <w14:schemeClr w14:val="tx1"/>
            </w14:solidFill>
          </w14:textFill>
        </w:rPr>
        <w:t>附页：合同格式</w:t>
      </w:r>
    </w:p>
    <w:p>
      <w:pPr>
        <w:tabs>
          <w:tab w:val="left" w:pos="9000"/>
        </w:tabs>
        <w:spacing w:line="560" w:lineRule="exact"/>
        <w:rPr>
          <w:rFonts w:ascii="宋体" w:hAnsi="宋体"/>
          <w:color w:val="000000" w:themeColor="text1"/>
          <w:szCs w:val="28"/>
          <w14:textFill>
            <w14:solidFill>
              <w14:schemeClr w14:val="tx1"/>
            </w14:solidFill>
          </w14:textFill>
        </w:rPr>
      </w:pPr>
    </w:p>
    <w:p>
      <w:pPr>
        <w:spacing w:line="560" w:lineRule="exact"/>
        <w:jc w:val="center"/>
        <w:rPr>
          <w:rFonts w:ascii="宋体" w:hAnsi="宋体"/>
          <w:color w:val="000000" w:themeColor="text1"/>
          <w:sz w:val="32"/>
          <w:szCs w:val="32"/>
          <w:u w:val="single"/>
          <w14:textFill>
            <w14:solidFill>
              <w14:schemeClr w14:val="tx1"/>
            </w14:solidFill>
          </w14:textFill>
        </w:rPr>
      </w:pPr>
      <w:r>
        <w:rPr>
          <w:rFonts w:hint="eastAsia" w:ascii="宋体" w:hAnsi="宋体"/>
          <w:color w:val="000000" w:themeColor="text1"/>
          <w:szCs w:val="28"/>
          <w14:textFill>
            <w14:solidFill>
              <w14:schemeClr w14:val="tx1"/>
            </w14:solidFill>
          </w14:textFill>
        </w:rPr>
        <w:t xml:space="preserve">                       </w:t>
      </w:r>
      <w:r>
        <w:rPr>
          <w:rFonts w:hint="eastAsia" w:ascii="宋体" w:hAnsi="宋体"/>
          <w:color w:val="000000" w:themeColor="text1"/>
          <w:sz w:val="32"/>
          <w:szCs w:val="32"/>
          <w14:textFill>
            <w14:solidFill>
              <w14:schemeClr w14:val="tx1"/>
            </w14:solidFill>
          </w14:textFill>
        </w:rPr>
        <w:t xml:space="preserve">  合同编号：</w:t>
      </w:r>
      <w:r>
        <w:rPr>
          <w:rFonts w:hint="eastAsia" w:ascii="宋体" w:hAnsi="宋体"/>
          <w:color w:val="000000" w:themeColor="text1"/>
          <w:sz w:val="32"/>
          <w:szCs w:val="32"/>
          <w:u w:val="single"/>
          <w14:textFill>
            <w14:solidFill>
              <w14:schemeClr w14:val="tx1"/>
            </w14:solidFill>
          </w14:textFill>
        </w:rPr>
        <w:t xml:space="preserve">         </w:t>
      </w:r>
    </w:p>
    <w:p>
      <w:pPr>
        <w:spacing w:line="560" w:lineRule="exact"/>
        <w:jc w:val="center"/>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 xml:space="preserve">                               </w:t>
      </w:r>
      <w:r>
        <w:rPr>
          <w:rFonts w:hint="eastAsia" w:ascii="宋体" w:hAnsi="宋体"/>
          <w:color w:val="000000" w:themeColor="text1"/>
          <w:sz w:val="32"/>
          <w:szCs w:val="32"/>
          <w14:textFill>
            <w14:solidFill>
              <w14:schemeClr w14:val="tx1"/>
            </w14:solidFill>
          </w14:textFill>
        </w:rPr>
        <w:sym w:font="Wingdings 2" w:char="00A3"/>
      </w:r>
      <w:r>
        <w:rPr>
          <w:rFonts w:hint="eastAsia" w:ascii="宋体" w:hAnsi="宋体"/>
          <w:color w:val="000000" w:themeColor="text1"/>
          <w:sz w:val="32"/>
          <w:szCs w:val="32"/>
          <w14:textFill>
            <w14:solidFill>
              <w14:schemeClr w14:val="tx1"/>
            </w14:solidFill>
          </w14:textFill>
        </w:rPr>
        <w:t xml:space="preserve">正本      </w:t>
      </w:r>
      <w:r>
        <w:rPr>
          <w:rFonts w:hint="eastAsia" w:ascii="宋体" w:hAnsi="宋体"/>
          <w:color w:val="000000" w:themeColor="text1"/>
          <w:sz w:val="32"/>
          <w:szCs w:val="32"/>
          <w14:textFill>
            <w14:solidFill>
              <w14:schemeClr w14:val="tx1"/>
            </w14:solidFill>
          </w14:textFill>
        </w:rPr>
        <w:sym w:font="Wingdings 2" w:char="00A3"/>
      </w:r>
      <w:r>
        <w:rPr>
          <w:rFonts w:hint="eastAsia" w:ascii="宋体" w:hAnsi="宋体"/>
          <w:color w:val="000000" w:themeColor="text1"/>
          <w:sz w:val="32"/>
          <w:szCs w:val="32"/>
          <w14:textFill>
            <w14:solidFill>
              <w14:schemeClr w14:val="tx1"/>
            </w14:solidFill>
          </w14:textFill>
        </w:rPr>
        <w:t>副本</w:t>
      </w:r>
    </w:p>
    <w:p>
      <w:pPr>
        <w:spacing w:line="560" w:lineRule="exact"/>
        <w:rPr>
          <w:rFonts w:ascii="宋体" w:hAnsi="宋体"/>
          <w:color w:val="000000" w:themeColor="text1"/>
          <w:szCs w:val="28"/>
          <w14:textFill>
            <w14:solidFill>
              <w14:schemeClr w14:val="tx1"/>
            </w14:solidFill>
          </w14:textFill>
        </w:rPr>
      </w:pPr>
    </w:p>
    <w:p>
      <w:pPr>
        <w:spacing w:line="560" w:lineRule="exact"/>
        <w:rPr>
          <w:rFonts w:ascii="宋体" w:hAnsi="宋体"/>
          <w:color w:val="000000" w:themeColor="text1"/>
          <w:szCs w:val="28"/>
          <w14:textFill>
            <w14:solidFill>
              <w14:schemeClr w14:val="tx1"/>
            </w14:solidFill>
          </w14:textFill>
        </w:rPr>
      </w:pPr>
    </w:p>
    <w:p>
      <w:pPr>
        <w:spacing w:line="900" w:lineRule="exact"/>
        <w:jc w:val="center"/>
        <w:rPr>
          <w:rFonts w:ascii="宋体" w:hAnsi="宋体"/>
          <w:color w:val="000000" w:themeColor="text1"/>
          <w:sz w:val="72"/>
          <w:szCs w:val="72"/>
          <w14:textFill>
            <w14:solidFill>
              <w14:schemeClr w14:val="tx1"/>
            </w14:solidFill>
          </w14:textFill>
        </w:rPr>
      </w:pPr>
      <w:r>
        <w:rPr>
          <w:rFonts w:hint="eastAsia" w:ascii="宋体" w:hAnsi="宋体"/>
          <w:color w:val="000000" w:themeColor="text1"/>
          <w:sz w:val="72"/>
          <w:szCs w:val="72"/>
          <w14:textFill>
            <w14:solidFill>
              <w14:schemeClr w14:val="tx1"/>
            </w14:solidFill>
          </w14:textFill>
        </w:rPr>
        <w:t>重庆医科大学经济合同</w:t>
      </w:r>
    </w:p>
    <w:p>
      <w:pPr>
        <w:spacing w:line="640" w:lineRule="exact"/>
        <w:jc w:val="center"/>
        <w:rPr>
          <w:rFonts w:ascii="宋体" w:hAnsi="宋体"/>
          <w:color w:val="000000" w:themeColor="text1"/>
          <w:szCs w:val="28"/>
          <w14:textFill>
            <w14:solidFill>
              <w14:schemeClr w14:val="tx1"/>
            </w14:solidFill>
          </w14:textFill>
        </w:rPr>
      </w:pPr>
    </w:p>
    <w:p>
      <w:pPr>
        <w:spacing w:line="640" w:lineRule="exact"/>
        <w:rPr>
          <w:rFonts w:ascii="宋体" w:hAnsi="宋体"/>
          <w:color w:val="000000" w:themeColor="text1"/>
          <w:szCs w:val="28"/>
          <w14:textFill>
            <w14:solidFill>
              <w14:schemeClr w14:val="tx1"/>
            </w14:solidFill>
          </w14:textFill>
        </w:rPr>
      </w:pPr>
    </w:p>
    <w:p>
      <w:pPr>
        <w:spacing w:line="640" w:lineRule="exact"/>
        <w:rPr>
          <w:rFonts w:ascii="宋体" w:hAnsi="宋体"/>
          <w:color w:val="000000" w:themeColor="text1"/>
          <w:szCs w:val="28"/>
          <w14:textFill>
            <w14:solidFill>
              <w14:schemeClr w14:val="tx1"/>
            </w14:solidFill>
          </w14:textFill>
        </w:rPr>
      </w:pPr>
    </w:p>
    <w:p>
      <w:pPr>
        <w:spacing w:line="640" w:lineRule="exact"/>
        <w:ind w:firstLine="480" w:firstLineChars="15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 xml:space="preserve">合同类型：■买卖合同  </w:t>
      </w:r>
      <w:r>
        <w:rPr>
          <w:rFonts w:hint="eastAsia" w:ascii="宋体" w:hAnsi="宋体"/>
          <w:color w:val="000000" w:themeColor="text1"/>
          <w:sz w:val="32"/>
          <w:szCs w:val="32"/>
          <w14:textFill>
            <w14:solidFill>
              <w14:schemeClr w14:val="tx1"/>
            </w14:solidFill>
          </w14:textFill>
        </w:rPr>
        <w:sym w:font="Wingdings 2" w:char="00A3"/>
      </w:r>
      <w:r>
        <w:rPr>
          <w:rFonts w:hint="eastAsia" w:ascii="宋体" w:hAnsi="宋体"/>
          <w:color w:val="000000" w:themeColor="text1"/>
          <w:sz w:val="32"/>
          <w:szCs w:val="32"/>
          <w14:textFill>
            <w14:solidFill>
              <w14:schemeClr w14:val="tx1"/>
            </w14:solidFill>
          </w14:textFill>
        </w:rPr>
        <w:t xml:space="preserve">技术合同 </w:t>
      </w:r>
      <w:r>
        <w:rPr>
          <w:rFonts w:hint="eastAsia" w:ascii="宋体" w:hAnsi="宋体"/>
          <w:color w:val="000000" w:themeColor="text1"/>
          <w:sz w:val="32"/>
          <w:szCs w:val="32"/>
          <w14:textFill>
            <w14:solidFill>
              <w14:schemeClr w14:val="tx1"/>
            </w14:solidFill>
          </w14:textFill>
        </w:rPr>
        <w:sym w:font="Wingdings 2" w:char="00A3"/>
      </w:r>
      <w:r>
        <w:rPr>
          <w:rFonts w:hint="eastAsia" w:ascii="宋体" w:hAnsi="宋体"/>
          <w:color w:val="000000" w:themeColor="text1"/>
          <w:sz w:val="32"/>
          <w:szCs w:val="32"/>
          <w14:textFill>
            <w14:solidFill>
              <w14:schemeClr w14:val="tx1"/>
            </w14:solidFill>
          </w14:textFill>
        </w:rPr>
        <w:t>建设工程合同</w:t>
      </w:r>
    </w:p>
    <w:p>
      <w:pPr>
        <w:spacing w:line="640" w:lineRule="exact"/>
        <w:ind w:firstLine="2080" w:firstLineChars="65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sym w:font="Wingdings 2" w:char="00A3"/>
      </w:r>
      <w:r>
        <w:rPr>
          <w:rFonts w:hint="eastAsia" w:ascii="宋体" w:hAnsi="宋体"/>
          <w:color w:val="000000" w:themeColor="text1"/>
          <w:sz w:val="32"/>
          <w:szCs w:val="32"/>
          <w14:textFill>
            <w14:solidFill>
              <w14:schemeClr w14:val="tx1"/>
            </w14:solidFill>
          </w14:textFill>
        </w:rPr>
        <w:t xml:space="preserve">委托合同  </w:t>
      </w:r>
      <w:r>
        <w:rPr>
          <w:rFonts w:hint="eastAsia" w:ascii="宋体" w:hAnsi="宋体"/>
          <w:color w:val="000000" w:themeColor="text1"/>
          <w:sz w:val="32"/>
          <w:szCs w:val="32"/>
          <w14:textFill>
            <w14:solidFill>
              <w14:schemeClr w14:val="tx1"/>
            </w14:solidFill>
          </w14:textFill>
        </w:rPr>
        <w:sym w:font="Wingdings 2" w:char="00A3"/>
      </w:r>
      <w:r>
        <w:rPr>
          <w:rFonts w:hint="eastAsia" w:ascii="宋体" w:hAnsi="宋体"/>
          <w:color w:val="000000" w:themeColor="text1"/>
          <w:sz w:val="32"/>
          <w:szCs w:val="32"/>
          <w14:textFill>
            <w14:solidFill>
              <w14:schemeClr w14:val="tx1"/>
            </w14:solidFill>
          </w14:textFill>
        </w:rPr>
        <w:t xml:space="preserve">租赁合同 </w:t>
      </w:r>
      <w:r>
        <w:rPr>
          <w:rFonts w:hint="eastAsia" w:ascii="宋体" w:hAnsi="宋体"/>
          <w:color w:val="000000" w:themeColor="text1"/>
          <w:sz w:val="32"/>
          <w:szCs w:val="32"/>
          <w14:textFill>
            <w14:solidFill>
              <w14:schemeClr w14:val="tx1"/>
            </w14:solidFill>
          </w14:textFill>
        </w:rPr>
        <w:sym w:font="Wingdings 2" w:char="00A3"/>
      </w:r>
      <w:r>
        <w:rPr>
          <w:rFonts w:hint="eastAsia" w:ascii="宋体" w:hAnsi="宋体"/>
          <w:color w:val="000000" w:themeColor="text1"/>
          <w:sz w:val="32"/>
          <w:szCs w:val="32"/>
          <w14:textFill>
            <w14:solidFill>
              <w14:schemeClr w14:val="tx1"/>
            </w14:solidFill>
          </w14:textFill>
        </w:rPr>
        <w:t>承揽合同</w:t>
      </w:r>
    </w:p>
    <w:p>
      <w:pPr>
        <w:spacing w:line="640" w:lineRule="exact"/>
        <w:ind w:firstLine="2080" w:firstLineChars="65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sym w:font="Wingdings 2" w:char="00A3"/>
      </w:r>
      <w:r>
        <w:rPr>
          <w:rFonts w:hint="eastAsia" w:ascii="宋体" w:hAnsi="宋体"/>
          <w:color w:val="000000" w:themeColor="text1"/>
          <w:sz w:val="32"/>
          <w:szCs w:val="32"/>
          <w14:textFill>
            <w14:solidFill>
              <w14:schemeClr w14:val="tx1"/>
            </w14:solidFill>
          </w14:textFill>
        </w:rPr>
        <w:t xml:space="preserve">赠与合同  </w:t>
      </w:r>
      <w:r>
        <w:rPr>
          <w:rFonts w:hint="eastAsia" w:ascii="宋体" w:hAnsi="宋体"/>
          <w:color w:val="000000" w:themeColor="text1"/>
          <w:sz w:val="32"/>
          <w:szCs w:val="32"/>
          <w14:textFill>
            <w14:solidFill>
              <w14:schemeClr w14:val="tx1"/>
            </w14:solidFill>
          </w14:textFill>
        </w:rPr>
        <w:sym w:font="Wingdings 2" w:char="00A3"/>
      </w:r>
      <w:r>
        <w:rPr>
          <w:rFonts w:hint="eastAsia" w:ascii="宋体" w:hAnsi="宋体"/>
          <w:color w:val="000000" w:themeColor="text1"/>
          <w:sz w:val="32"/>
          <w:szCs w:val="32"/>
          <w14:textFill>
            <w14:solidFill>
              <w14:schemeClr w14:val="tx1"/>
            </w14:solidFill>
          </w14:textFill>
        </w:rPr>
        <w:t xml:space="preserve">运输合同 </w:t>
      </w:r>
      <w:r>
        <w:rPr>
          <w:rFonts w:hint="eastAsia" w:ascii="宋体" w:hAnsi="宋体"/>
          <w:color w:val="000000" w:themeColor="text1"/>
          <w:sz w:val="32"/>
          <w:szCs w:val="32"/>
          <w14:textFill>
            <w14:solidFill>
              <w14:schemeClr w14:val="tx1"/>
            </w14:solidFill>
          </w14:textFill>
        </w:rPr>
        <w:sym w:font="Wingdings 2" w:char="00A3"/>
      </w:r>
      <w:r>
        <w:rPr>
          <w:rFonts w:hint="eastAsia" w:ascii="宋体" w:hAnsi="宋体"/>
          <w:color w:val="000000" w:themeColor="text1"/>
          <w:sz w:val="32"/>
          <w:szCs w:val="32"/>
          <w14:textFill>
            <w14:solidFill>
              <w14:schemeClr w14:val="tx1"/>
            </w14:solidFill>
          </w14:textFill>
        </w:rPr>
        <w:t>物业服务合同</w:t>
      </w:r>
    </w:p>
    <w:p>
      <w:pPr>
        <w:spacing w:line="640" w:lineRule="exact"/>
        <w:ind w:firstLine="2080" w:firstLineChars="650"/>
        <w:rPr>
          <w:rFonts w:ascii="宋体" w:hAnsi="宋体"/>
          <w:color w:val="000000" w:themeColor="text1"/>
          <w:sz w:val="32"/>
          <w:szCs w:val="32"/>
          <w:u w:val="single"/>
          <w14:textFill>
            <w14:solidFill>
              <w14:schemeClr w14:val="tx1"/>
            </w14:solidFill>
          </w14:textFill>
        </w:rPr>
      </w:pPr>
      <w:r>
        <w:rPr>
          <w:rFonts w:hint="eastAsia" w:ascii="宋体" w:hAnsi="宋体"/>
          <w:color w:val="000000" w:themeColor="text1"/>
          <w:sz w:val="32"/>
          <w:szCs w:val="32"/>
          <w14:textFill>
            <w14:solidFill>
              <w14:schemeClr w14:val="tx1"/>
            </w14:solidFill>
          </w14:textFill>
        </w:rPr>
        <w:sym w:font="Wingdings 2" w:char="00A3"/>
      </w:r>
      <w:r>
        <w:rPr>
          <w:rFonts w:hint="eastAsia" w:ascii="宋体" w:hAnsi="宋体"/>
          <w:color w:val="000000" w:themeColor="text1"/>
          <w:sz w:val="32"/>
          <w:szCs w:val="32"/>
          <w14:textFill>
            <w14:solidFill>
              <w14:schemeClr w14:val="tx1"/>
            </w14:solidFill>
          </w14:textFill>
        </w:rPr>
        <w:t>其它典型合同</w:t>
      </w:r>
      <w:r>
        <w:rPr>
          <w:rFonts w:hint="eastAsia" w:ascii="宋体" w:hAnsi="宋体"/>
          <w:color w:val="000000" w:themeColor="text1"/>
          <w:sz w:val="32"/>
          <w:szCs w:val="32"/>
          <w:u w:val="single"/>
          <w14:textFill>
            <w14:solidFill>
              <w14:schemeClr w14:val="tx1"/>
            </w14:solidFill>
          </w14:textFill>
        </w:rPr>
        <w:t xml:space="preserve">                       </w:t>
      </w:r>
    </w:p>
    <w:p>
      <w:pPr>
        <w:spacing w:line="640" w:lineRule="exact"/>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 xml:space="preserve">    合同甲方：重庆医科大学</w:t>
      </w:r>
    </w:p>
    <w:p>
      <w:pPr>
        <w:spacing w:line="640" w:lineRule="exact"/>
        <w:ind w:firstLine="640" w:firstLineChars="20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合同乙方：</w:t>
      </w:r>
    </w:p>
    <w:p>
      <w:pPr>
        <w:spacing w:line="640" w:lineRule="exact"/>
        <w:ind w:firstLine="640" w:firstLineChars="20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合同金额：人民币</w:t>
      </w:r>
      <w:r>
        <w:rPr>
          <w:rFonts w:hint="eastAsia" w:ascii="宋体" w:hAnsi="宋体"/>
          <w:color w:val="000000" w:themeColor="text1"/>
          <w:sz w:val="32"/>
          <w:szCs w:val="32"/>
          <w:u w:val="single"/>
          <w14:textFill>
            <w14:solidFill>
              <w14:schemeClr w14:val="tx1"/>
            </w14:solidFill>
          </w14:textFill>
        </w:rPr>
        <w:t xml:space="preserve">      </w:t>
      </w:r>
      <w:r>
        <w:rPr>
          <w:rFonts w:hint="eastAsia" w:ascii="宋体" w:hAnsi="宋体"/>
          <w:color w:val="000000" w:themeColor="text1"/>
          <w:sz w:val="32"/>
          <w:szCs w:val="32"/>
          <w14:textFill>
            <w14:solidFill>
              <w14:schemeClr w14:val="tx1"/>
            </w14:solidFill>
          </w14:textFill>
        </w:rPr>
        <w:t>元</w:t>
      </w:r>
    </w:p>
    <w:p>
      <w:pPr>
        <w:spacing w:line="640" w:lineRule="exact"/>
        <w:ind w:firstLine="640" w:firstLineChars="20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经费项目：</w:t>
      </w:r>
    </w:p>
    <w:p>
      <w:pPr>
        <w:spacing w:line="640" w:lineRule="exact"/>
        <w:rPr>
          <w:rFonts w:ascii="宋体" w:hAnsi="宋体"/>
          <w:color w:val="000000" w:themeColor="text1"/>
          <w:sz w:val="32"/>
          <w:szCs w:val="32"/>
          <w14:textFill>
            <w14:solidFill>
              <w14:schemeClr w14:val="tx1"/>
            </w14:solidFill>
          </w14:textFill>
        </w:rPr>
      </w:pPr>
    </w:p>
    <w:p>
      <w:pPr>
        <w:spacing w:line="640" w:lineRule="exact"/>
        <w:jc w:val="center"/>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签订时间：     年   月   日</w:t>
      </w:r>
    </w:p>
    <w:p>
      <w:pPr>
        <w:rPr>
          <w:rFonts w:ascii="宋体" w:hAnsi="宋体"/>
          <w:color w:val="000000" w:themeColor="text1"/>
          <w:sz w:val="36"/>
          <w:szCs w:val="36"/>
          <w14:textFill>
            <w14:solidFill>
              <w14:schemeClr w14:val="tx1"/>
            </w14:solidFill>
          </w14:textFill>
        </w:rPr>
      </w:pPr>
    </w:p>
    <w:p>
      <w:pPr>
        <w:spacing w:line="640" w:lineRule="exact"/>
        <w:jc w:val="center"/>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重庆医科大学财务处 监制</w:t>
      </w:r>
    </w:p>
    <w:p>
      <w:pPr>
        <w:snapToGrid w:val="0"/>
        <w:spacing w:line="500" w:lineRule="exact"/>
        <w:jc w:val="center"/>
        <w:outlineLvl w:val="0"/>
        <w:rPr>
          <w:rFonts w:ascii="宋体" w:hAnsi="宋体"/>
          <w:color w:val="000000" w:themeColor="text1"/>
          <w:sz w:val="44"/>
          <w14:textFill>
            <w14:solidFill>
              <w14:schemeClr w14:val="tx1"/>
            </w14:solidFill>
          </w14:textFill>
        </w:rPr>
        <w:sectPr>
          <w:footerReference r:id="rId16" w:type="default"/>
          <w:pgSz w:w="11907" w:h="16840"/>
          <w:pgMar w:top="1134" w:right="1191" w:bottom="1134" w:left="1304" w:header="964" w:footer="992" w:gutter="0"/>
          <w:cols w:space="720" w:num="1"/>
          <w:docGrid w:linePitch="312" w:charSpace="0"/>
        </w:sectPr>
      </w:pPr>
    </w:p>
    <w:bookmarkEnd w:id="75"/>
    <w:bookmarkEnd w:id="76"/>
    <w:p>
      <w:pPr>
        <w:spacing w:line="480" w:lineRule="exact"/>
        <w:jc w:val="center"/>
        <w:rPr>
          <w:rFonts w:ascii="宋体" w:hAnsi="宋体"/>
          <w:b/>
          <w:color w:val="000000" w:themeColor="text1"/>
          <w:sz w:val="44"/>
          <w14:textFill>
            <w14:solidFill>
              <w14:schemeClr w14:val="tx1"/>
            </w14:solidFill>
          </w14:textFill>
        </w:rPr>
      </w:pPr>
      <w:r>
        <w:rPr>
          <w:rFonts w:hint="eastAsia" w:ascii="宋体" w:hAnsi="宋体"/>
          <w:b/>
          <w:color w:val="000000" w:themeColor="text1"/>
          <w:sz w:val="44"/>
          <w14:textFill>
            <w14:solidFill>
              <w14:schemeClr w14:val="tx1"/>
            </w14:solidFill>
          </w14:textFill>
        </w:rPr>
        <w:t>经济合同</w:t>
      </w:r>
    </w:p>
    <w:p>
      <w:pPr>
        <w:spacing w:line="48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（项目号：              ）</w:t>
      </w:r>
    </w:p>
    <w:p>
      <w:pPr>
        <w:spacing w:line="48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甲方（需方、</w:t>
      </w:r>
      <w:r>
        <w:rPr>
          <w:rFonts w:hint="eastAsia" w:ascii="仿宋" w:hAnsi="仿宋" w:eastAsia="仿宋"/>
          <w:bCs/>
          <w:color w:val="000000" w:themeColor="text1"/>
          <w:sz w:val="24"/>
          <w14:textFill>
            <w14:solidFill>
              <w14:schemeClr w14:val="tx1"/>
            </w14:solidFill>
          </w14:textFill>
        </w:rPr>
        <w:t>采购人</w:t>
      </w:r>
      <w:r>
        <w:rPr>
          <w:rFonts w:hint="eastAsia"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u w:val="single"/>
          <w14:textFill>
            <w14:solidFill>
              <w14:schemeClr w14:val="tx1"/>
            </w14:solidFill>
          </w14:textFill>
        </w:rPr>
        <w:t xml:space="preserve"> 重庆医科大学  </w:t>
      </w:r>
      <w:r>
        <w:rPr>
          <w:rFonts w:hint="eastAsia" w:ascii="仿宋" w:hAnsi="仿宋" w:eastAsia="仿宋"/>
          <w:color w:val="000000" w:themeColor="text1"/>
          <w:sz w:val="24"/>
          <w14:textFill>
            <w14:solidFill>
              <w14:schemeClr w14:val="tx1"/>
            </w14:solidFill>
          </w14:textFill>
        </w:rPr>
        <w:t xml:space="preserve">    计价单位：</w:t>
      </w:r>
      <w:r>
        <w:rPr>
          <w:rFonts w:hint="eastAsia" w:ascii="仿宋" w:hAnsi="仿宋" w:eastAsia="仿宋"/>
          <w:color w:val="000000" w:themeColor="text1"/>
          <w:sz w:val="24"/>
          <w:u w:val="single"/>
          <w14:textFill>
            <w14:solidFill>
              <w14:schemeClr w14:val="tx1"/>
            </w14:solidFill>
          </w14:textFill>
        </w:rPr>
        <w:t xml:space="preserve"> 人民币：元  </w:t>
      </w:r>
    </w:p>
    <w:p>
      <w:pPr>
        <w:spacing w:line="480" w:lineRule="exact"/>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乙方（供方、</w:t>
      </w:r>
      <w:r>
        <w:rPr>
          <w:rFonts w:hint="eastAsia" w:ascii="仿宋" w:hAnsi="仿宋" w:eastAsia="仿宋"/>
          <w:bCs/>
          <w:color w:val="000000" w:themeColor="text1"/>
          <w:sz w:val="24"/>
          <w14:textFill>
            <w14:solidFill>
              <w14:schemeClr w14:val="tx1"/>
            </w14:solidFill>
          </w14:textFill>
        </w:rPr>
        <w:t>中标人</w:t>
      </w:r>
      <w:r>
        <w:rPr>
          <w:rFonts w:hint="eastAsia"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 xml:space="preserve">   计量单位：</w:t>
      </w:r>
      <w:r>
        <w:rPr>
          <w:rFonts w:hint="eastAsia" w:ascii="仿宋" w:hAnsi="仿宋" w:eastAsia="仿宋"/>
          <w:color w:val="000000" w:themeColor="text1"/>
          <w:sz w:val="24"/>
          <w:u w:val="single"/>
          <w14:textFill>
            <w14:solidFill>
              <w14:schemeClr w14:val="tx1"/>
            </w14:solidFill>
          </w14:textFill>
        </w:rPr>
        <w:t>台</w:t>
      </w:r>
    </w:p>
    <w:p>
      <w:pPr>
        <w:spacing w:line="480" w:lineRule="exact"/>
        <w:rPr>
          <w:rFonts w:ascii="仿宋" w:hAnsi="仿宋" w:eastAsia="仿宋"/>
          <w:color w:val="000000" w:themeColor="text1"/>
          <w:sz w:val="24"/>
          <w14:textFill>
            <w14:solidFill>
              <w14:schemeClr w14:val="tx1"/>
            </w14:solidFill>
          </w14:textFill>
        </w:rPr>
      </w:pPr>
    </w:p>
    <w:p>
      <w:pPr>
        <w:spacing w:line="48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根据《中华人民共和国民法典》《中华人民共和国政府采购法》等法律规定，经双方协商一致，达成以下经济合同：</w:t>
      </w:r>
    </w:p>
    <w:tbl>
      <w:tblPr>
        <w:tblStyle w:val="5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3"/>
        <w:gridCol w:w="1373"/>
        <w:gridCol w:w="1373"/>
        <w:gridCol w:w="1374"/>
        <w:gridCol w:w="1374"/>
        <w:gridCol w:w="1374"/>
        <w:gridCol w:w="1374"/>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52" w:hRule="atLeast"/>
          <w:jc w:val="center"/>
        </w:trPr>
        <w:tc>
          <w:tcPr>
            <w:tcW w:w="1373" w:type="dxa"/>
            <w:vAlign w:val="center"/>
          </w:tcPr>
          <w:p>
            <w:pPr>
              <w:widowControl/>
              <w:jc w:val="left"/>
              <w:rPr>
                <w:rFonts w:ascii="仿宋" w:hAnsi="仿宋" w:eastAsia="仿宋" w:cs="仿宋"/>
                <w:color w:val="000000" w:themeColor="text1"/>
                <w:kern w:val="0"/>
                <w:sz w:val="20"/>
                <w:lang w:bidi="ar"/>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项目名称</w:t>
            </w:r>
          </w:p>
        </w:tc>
        <w:tc>
          <w:tcPr>
            <w:tcW w:w="1373" w:type="dxa"/>
            <w:vAlign w:val="center"/>
          </w:tcPr>
          <w:p>
            <w:pPr>
              <w:widowControl/>
              <w:jc w:val="left"/>
              <w:rPr>
                <w:rFonts w:ascii="仿宋" w:hAnsi="仿宋" w:eastAsia="仿宋" w:cs="仿宋"/>
                <w:color w:val="000000" w:themeColor="text1"/>
                <w:kern w:val="0"/>
                <w:sz w:val="20"/>
                <w:lang w:bidi="ar"/>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规格型号</w:t>
            </w:r>
          </w:p>
        </w:tc>
        <w:tc>
          <w:tcPr>
            <w:tcW w:w="1373" w:type="dxa"/>
            <w:vAlign w:val="center"/>
          </w:tcPr>
          <w:p>
            <w:pPr>
              <w:widowControl/>
              <w:jc w:val="left"/>
              <w:rPr>
                <w:rFonts w:ascii="仿宋" w:hAnsi="仿宋" w:eastAsia="仿宋" w:cs="仿宋"/>
                <w:color w:val="000000" w:themeColor="text1"/>
                <w:kern w:val="0"/>
                <w:sz w:val="20"/>
                <w:lang w:bidi="ar"/>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数量</w:t>
            </w:r>
          </w:p>
        </w:tc>
        <w:tc>
          <w:tcPr>
            <w:tcW w:w="1374" w:type="dxa"/>
            <w:vAlign w:val="center"/>
          </w:tcPr>
          <w:p>
            <w:pPr>
              <w:widowControl/>
              <w:jc w:val="left"/>
              <w:rPr>
                <w:rFonts w:ascii="仿宋" w:hAnsi="仿宋" w:eastAsia="仿宋" w:cs="仿宋"/>
                <w:color w:val="000000" w:themeColor="text1"/>
                <w:kern w:val="0"/>
                <w:sz w:val="20"/>
                <w:lang w:bidi="ar"/>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单价（不变价）</w:t>
            </w:r>
          </w:p>
        </w:tc>
        <w:tc>
          <w:tcPr>
            <w:tcW w:w="1374" w:type="dxa"/>
            <w:vAlign w:val="center"/>
          </w:tcPr>
          <w:p>
            <w:pPr>
              <w:widowControl/>
              <w:jc w:val="left"/>
              <w:rPr>
                <w:rFonts w:ascii="仿宋" w:hAnsi="仿宋" w:eastAsia="仿宋" w:cs="仿宋"/>
                <w:color w:val="000000" w:themeColor="text1"/>
                <w:kern w:val="0"/>
                <w:sz w:val="20"/>
                <w:lang w:bidi="ar"/>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总价</w:t>
            </w:r>
          </w:p>
        </w:tc>
        <w:tc>
          <w:tcPr>
            <w:tcW w:w="1374" w:type="dxa"/>
            <w:vAlign w:val="center"/>
          </w:tcPr>
          <w:p>
            <w:pPr>
              <w:widowControl/>
              <w:jc w:val="left"/>
              <w:rPr>
                <w:rFonts w:ascii="仿宋" w:hAnsi="仿宋" w:eastAsia="仿宋" w:cs="仿宋"/>
                <w:color w:val="000000" w:themeColor="text1"/>
                <w:kern w:val="0"/>
                <w:sz w:val="20"/>
                <w:lang w:bidi="ar"/>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交货时间</w:t>
            </w:r>
          </w:p>
        </w:tc>
        <w:tc>
          <w:tcPr>
            <w:tcW w:w="1374" w:type="dxa"/>
            <w:vAlign w:val="center"/>
          </w:tcPr>
          <w:p>
            <w:pPr>
              <w:widowControl/>
              <w:jc w:val="left"/>
              <w:rPr>
                <w:rFonts w:ascii="仿宋" w:hAnsi="仿宋" w:eastAsia="仿宋" w:cs="仿宋"/>
                <w:color w:val="000000" w:themeColor="text1"/>
                <w:kern w:val="0"/>
                <w:sz w:val="20"/>
                <w:lang w:bidi="ar"/>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jc w:val="center"/>
        </w:trPr>
        <w:tc>
          <w:tcPr>
            <w:tcW w:w="1373" w:type="dxa"/>
            <w:vAlign w:val="center"/>
          </w:tcPr>
          <w:p>
            <w:pPr>
              <w:widowControl/>
              <w:jc w:val="left"/>
              <w:rPr>
                <w:rFonts w:ascii="仿宋" w:hAnsi="仿宋" w:eastAsia="仿宋" w:cs="仿宋"/>
                <w:color w:val="000000" w:themeColor="text1"/>
                <w:kern w:val="0"/>
                <w:sz w:val="20"/>
                <w:lang w:bidi="ar"/>
                <w14:textFill>
                  <w14:solidFill>
                    <w14:schemeClr w14:val="tx1"/>
                  </w14:solidFill>
                </w14:textFill>
              </w:rPr>
            </w:pPr>
          </w:p>
        </w:tc>
        <w:tc>
          <w:tcPr>
            <w:tcW w:w="1373" w:type="dxa"/>
            <w:vAlign w:val="center"/>
          </w:tcPr>
          <w:p>
            <w:pPr>
              <w:widowControl/>
              <w:jc w:val="left"/>
              <w:rPr>
                <w:rFonts w:ascii="仿宋" w:hAnsi="仿宋" w:eastAsia="仿宋" w:cs="仿宋"/>
                <w:color w:val="000000" w:themeColor="text1"/>
                <w:kern w:val="0"/>
                <w:sz w:val="20"/>
                <w:lang w:bidi="ar"/>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详见附件1</w:t>
            </w:r>
          </w:p>
        </w:tc>
        <w:tc>
          <w:tcPr>
            <w:tcW w:w="1373" w:type="dxa"/>
            <w:vAlign w:val="center"/>
          </w:tcPr>
          <w:p>
            <w:pPr>
              <w:widowControl/>
              <w:jc w:val="left"/>
              <w:rPr>
                <w:rFonts w:ascii="仿宋" w:hAnsi="仿宋" w:eastAsia="仿宋" w:cs="仿宋"/>
                <w:color w:val="000000" w:themeColor="text1"/>
                <w:kern w:val="0"/>
                <w:sz w:val="20"/>
                <w:lang w:bidi="ar"/>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详见附件1</w:t>
            </w:r>
          </w:p>
        </w:tc>
        <w:tc>
          <w:tcPr>
            <w:tcW w:w="1374" w:type="dxa"/>
            <w:vAlign w:val="center"/>
          </w:tcPr>
          <w:p>
            <w:pPr>
              <w:widowControl/>
              <w:jc w:val="left"/>
              <w:rPr>
                <w:rFonts w:ascii="仿宋" w:hAnsi="仿宋" w:eastAsia="仿宋" w:cs="仿宋"/>
                <w:color w:val="000000" w:themeColor="text1"/>
                <w:kern w:val="0"/>
                <w:sz w:val="20"/>
                <w:lang w:bidi="ar"/>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详见附件1</w:t>
            </w:r>
          </w:p>
        </w:tc>
        <w:tc>
          <w:tcPr>
            <w:tcW w:w="1374" w:type="dxa"/>
            <w:vAlign w:val="center"/>
          </w:tcPr>
          <w:p>
            <w:pPr>
              <w:widowControl/>
              <w:jc w:val="left"/>
              <w:rPr>
                <w:rFonts w:ascii="仿宋" w:hAnsi="仿宋" w:eastAsia="仿宋" w:cs="仿宋"/>
                <w:color w:val="000000" w:themeColor="text1"/>
                <w:kern w:val="0"/>
                <w:sz w:val="20"/>
                <w:lang w:bidi="ar"/>
                <w14:textFill>
                  <w14:solidFill>
                    <w14:schemeClr w14:val="tx1"/>
                  </w14:solidFill>
                </w14:textFill>
              </w:rPr>
            </w:pPr>
          </w:p>
        </w:tc>
        <w:tc>
          <w:tcPr>
            <w:tcW w:w="1374" w:type="dxa"/>
            <w:vAlign w:val="center"/>
          </w:tcPr>
          <w:p>
            <w:pPr>
              <w:widowControl/>
              <w:jc w:val="left"/>
              <w:rPr>
                <w:rFonts w:ascii="仿宋" w:hAnsi="仿宋" w:eastAsia="仿宋" w:cs="仿宋"/>
                <w:color w:val="000000" w:themeColor="text1"/>
                <w:kern w:val="0"/>
                <w:sz w:val="20"/>
                <w:lang w:bidi="ar"/>
                <w14:textFill>
                  <w14:solidFill>
                    <w14:schemeClr w14:val="tx1"/>
                  </w14:solidFill>
                </w14:textFill>
              </w:rPr>
            </w:pPr>
          </w:p>
        </w:tc>
        <w:tc>
          <w:tcPr>
            <w:tcW w:w="1374" w:type="dxa"/>
            <w:vAlign w:val="center"/>
          </w:tcPr>
          <w:p>
            <w:pPr>
              <w:widowControl/>
              <w:jc w:val="left"/>
              <w:rPr>
                <w:rFonts w:ascii="仿宋" w:hAnsi="仿宋" w:eastAsia="仿宋" w:cs="仿宋"/>
                <w:color w:val="000000" w:themeColor="text1"/>
                <w:kern w:val="0"/>
                <w:sz w:val="20"/>
                <w:lang w:bidi="ar"/>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重庆医科大学用户单位指定地点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268" w:hRule="atLeast"/>
          <w:jc w:val="center"/>
        </w:trPr>
        <w:tc>
          <w:tcPr>
            <w:tcW w:w="9615" w:type="dxa"/>
            <w:gridSpan w:val="7"/>
            <w:vAlign w:val="center"/>
          </w:tcPr>
          <w:p>
            <w:pPr>
              <w:widowControl/>
              <w:jc w:val="left"/>
              <w:rPr>
                <w:color w:val="000000" w:themeColor="text1"/>
                <w14:textFill>
                  <w14:solidFill>
                    <w14:schemeClr w14:val="tx1"/>
                  </w14:solidFill>
                </w14:textFill>
              </w:rPr>
            </w:pPr>
            <w:r>
              <w:rPr>
                <w:rFonts w:ascii="仿宋" w:hAnsi="仿宋" w:eastAsia="仿宋" w:cs="仿宋"/>
                <w:color w:val="000000" w:themeColor="text1"/>
                <w:kern w:val="0"/>
                <w:sz w:val="20"/>
                <w:lang w:bidi="ar"/>
                <w14:textFill>
                  <w14:solidFill>
                    <w14:schemeClr w14:val="tx1"/>
                  </w14:solidFill>
                </w14:textFill>
              </w:rPr>
              <w:t xml:space="preserve">合同总价（含税）：人民币（小写） </w:t>
            </w: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 xml:space="preserve">人民币（大写） </w:t>
            </w: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 xml:space="preserve">备注： </w:t>
            </w: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 xml:space="preserve">1.本项目为“交钥匙工程”，上述合同总价为“包干价”，包括但不限于：乙方为履行合同所需的货款、技术资料费、安装调试费、运输费、保险费、包装费、装卸费及与所有税费。乙方投标时已充分考虑到所有费用，甲方后续不额外支付任何费用。 </w:t>
            </w: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 xml:space="preserve">2.本合同技术参数详见附件，甲方用户单位已逐页确认，符合其采购需求。 </w:t>
            </w:r>
          </w:p>
          <w:p>
            <w:pPr>
              <w:widowControl/>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3.税率为：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268" w:hRule="atLeast"/>
          <w:jc w:val="center"/>
        </w:trPr>
        <w:tc>
          <w:tcPr>
            <w:tcW w:w="9615" w:type="dxa"/>
            <w:gridSpan w:val="7"/>
            <w:vAlign w:val="center"/>
          </w:tcPr>
          <w:p>
            <w:pPr>
              <w:widowControl/>
              <w:jc w:val="left"/>
              <w:rPr>
                <w:color w:val="000000" w:themeColor="text1"/>
                <w14:textFill>
                  <w14:solidFill>
                    <w14:schemeClr w14:val="tx1"/>
                  </w14:solidFill>
                </w14:textFill>
              </w:rPr>
            </w:pPr>
            <w:r>
              <w:rPr>
                <w:rFonts w:ascii="仿宋" w:hAnsi="仿宋" w:eastAsia="仿宋" w:cs="仿宋"/>
                <w:color w:val="000000" w:themeColor="text1"/>
                <w:kern w:val="0"/>
                <w:sz w:val="20"/>
                <w:lang w:bidi="ar"/>
                <w14:textFill>
                  <w14:solidFill>
                    <w14:schemeClr w14:val="tx1"/>
                  </w14:solidFill>
                </w14:textFill>
              </w:rPr>
              <w:t>一、质量要求和技术标准。乙方提供的商品必须是全新的（按招标文件规定的货物性能、技术要求、</w:t>
            </w:r>
            <w:r>
              <w:rPr>
                <w:rFonts w:hint="eastAsia" w:ascii="仿宋" w:hAnsi="仿宋" w:eastAsia="仿宋" w:cs="仿宋"/>
                <w:color w:val="000000" w:themeColor="text1"/>
                <w:kern w:val="0"/>
                <w:sz w:val="20"/>
                <w:lang w:bidi="ar"/>
                <w14:textFill>
                  <w14:solidFill>
                    <w14:schemeClr w14:val="tx1"/>
                  </w14:solidFill>
                </w14:textFill>
              </w:rPr>
              <w:t xml:space="preserve">质量标准），完全符合国家有关技术标准。乙方的质量保证及售后服务承诺如下： </w:t>
            </w: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（一）质保期限：</w:t>
            </w:r>
            <w:r>
              <w:rPr>
                <w:rFonts w:hint="eastAsia" w:ascii="仿宋" w:hAnsi="仿宋" w:eastAsia="仿宋" w:cs="仿宋"/>
                <w:color w:val="000000" w:themeColor="text1"/>
                <w:kern w:val="0"/>
                <w:sz w:val="20"/>
                <w:u w:val="single"/>
                <w:lang w:bidi="ar"/>
                <w14:textFill>
                  <w14:solidFill>
                    <w14:schemeClr w14:val="tx1"/>
                  </w14:solidFill>
                </w14:textFill>
              </w:rPr>
              <w:t xml:space="preserve">   </w:t>
            </w:r>
            <w:r>
              <w:rPr>
                <w:rFonts w:hint="eastAsia" w:ascii="仿宋" w:hAnsi="仿宋" w:eastAsia="仿宋" w:cs="仿宋"/>
                <w:color w:val="000000" w:themeColor="text1"/>
                <w:kern w:val="0"/>
                <w:sz w:val="20"/>
                <w:lang w:bidi="ar"/>
                <w14:textFill>
                  <w14:solidFill>
                    <w14:schemeClr w14:val="tx1"/>
                  </w14:solidFill>
                </w14:textFill>
              </w:rPr>
              <w:t xml:space="preserve">年。自验收合格且通过安装调试之日起计算。 </w:t>
            </w: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 xml:space="preserve">（二）保修范围：上述列表所示的所有货物均属保修范围。质保期限内，乙方应当对甲方正常使用中、非人为原因、基于不可抗力出现质量及安全问题的货物，负责处理解决并承担一切费用。 </w:t>
            </w: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 xml:space="preserve">（三）服务措施： </w:t>
            </w: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1. 质保期限内，乙方提供的货物因货物本身的质量问题发生故障，乙方应负责免费更换。对达不到技术要求者，甲方可根据实际情况，选择按以下第</w:t>
            </w:r>
            <w:r>
              <w:rPr>
                <w:rFonts w:hint="eastAsia" w:ascii="仿宋" w:hAnsi="仿宋" w:eastAsia="仿宋" w:cs="仿宋"/>
                <w:color w:val="000000" w:themeColor="text1"/>
                <w:kern w:val="0"/>
                <w:sz w:val="20"/>
                <w:u w:val="single"/>
                <w:lang w:bidi="ar"/>
                <w14:textFill>
                  <w14:solidFill>
                    <w14:schemeClr w14:val="tx1"/>
                  </w14:solidFill>
                </w14:textFill>
              </w:rPr>
              <w:t xml:space="preserve">  </w:t>
            </w:r>
            <w:r>
              <w:rPr>
                <w:rFonts w:hint="eastAsia" w:ascii="仿宋" w:hAnsi="仿宋" w:eastAsia="仿宋" w:cs="仿宋"/>
                <w:color w:val="000000" w:themeColor="text1"/>
                <w:kern w:val="0"/>
                <w:sz w:val="20"/>
                <w:lang w:bidi="ar"/>
                <w14:textFill>
                  <w14:solidFill>
                    <w14:schemeClr w14:val="tx1"/>
                  </w14:solidFill>
                </w14:textFill>
              </w:rPr>
              <w:t xml:space="preserve">类办法处理： </w:t>
            </w: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 xml:space="preserve">（1）更换：由乙方承担所发生的全部费用。 </w:t>
            </w: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 xml:space="preserve">（2）退货处理：乙方应退还甲方支付的全部合同款，同时应承担该货物的直接费用（运输、保险、检验、货款利息及银行手续费等）。 </w:t>
            </w: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 xml:space="preserve">2. 质保期限内，乙方应当及时采取以下措施，并承担所有费用： </w:t>
            </w: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 xml:space="preserve">（1）电话或网络在线咨询：甲方用户单位求助时，乙方应当立即响应，提供相关的技术支持，帮助用户单位迅速解决问题。 </w:t>
            </w:r>
          </w:p>
          <w:p>
            <w:pPr>
              <w:widowControl/>
              <w:jc w:val="left"/>
              <w:rPr>
                <w:rFonts w:ascii="仿宋" w:hAnsi="仿宋" w:eastAsia="仿宋" w:cs="仿宋"/>
                <w:color w:val="000000" w:themeColor="text1"/>
                <w:kern w:val="0"/>
                <w:sz w:val="20"/>
                <w:lang w:bidi="ar"/>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2）上门服务：当不能解决产品问题时，乙方应当在24小时内到达甲方现场处置，确保产品正常工作；到达后，无法在8小时内解决的，应当在24小时内提供符合质量标准且确保正常工作的备用品，协助甲方用户单位正常开展科研教学工作。</w:t>
            </w: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 xml:space="preserve">（四）质保期后服务： </w:t>
            </w: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 xml:space="preserve">1. 继续提供或网络在线咨询；乙方接到甲方的求助后应当立即响应，提供技术咨询服务。 </w:t>
            </w: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 xml:space="preserve">2. 继续提供上门服务：在无法解决时，乙方应当于 24 小时内达到甲方现场处置。若维护维修甲方服务涉及费用，乙方应当按成本价及最惠价据实收取原厂零配件费、服务费；若甲方需要添购，乙方应当依法与甲方另行达成补充协议。 </w:t>
            </w:r>
          </w:p>
          <w:p>
            <w:pPr>
              <w:widowControl/>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3. 继续提供技术升级：乙方向甲方交付货物所附随的所有软件，乙方终身提供免费维护、升级服务。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16" w:hRule="atLeast"/>
          <w:jc w:val="center"/>
        </w:trPr>
        <w:tc>
          <w:tcPr>
            <w:tcW w:w="9615" w:type="dxa"/>
            <w:gridSpan w:val="7"/>
          </w:tcPr>
          <w:p>
            <w:pPr>
              <w:widowControl/>
              <w:jc w:val="left"/>
              <w:rPr>
                <w:color w:val="000000" w:themeColor="text1"/>
                <w14:textFill>
                  <w14:solidFill>
                    <w14:schemeClr w14:val="tx1"/>
                  </w14:solidFill>
                </w14:textFill>
              </w:rPr>
            </w:pPr>
            <w:r>
              <w:rPr>
                <w:rFonts w:ascii="仿宋" w:hAnsi="仿宋" w:eastAsia="仿宋" w:cs="仿宋"/>
                <w:color w:val="000000" w:themeColor="text1"/>
                <w:kern w:val="0"/>
                <w:sz w:val="20"/>
                <w:lang w:bidi="ar"/>
                <w14:textFill>
                  <w14:solidFill>
                    <w14:schemeClr w14:val="tx1"/>
                  </w14:solidFill>
                </w14:textFill>
              </w:rPr>
              <w:t xml:space="preserve">二、随机备品、附件、工具数量及供应方法： </w:t>
            </w:r>
          </w:p>
          <w:p>
            <w:pPr>
              <w:widowControl/>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货物所附的备件、产品使用说明书、技术资料及配套工具应当随货物主体一次性交付至甲方，由甲方用户单位统一保管。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628" w:type="dxa"/>
            <w:gridSpan w:val="8"/>
          </w:tcPr>
          <w:p>
            <w:pPr>
              <w:widowControl/>
              <w:jc w:val="left"/>
              <w:rPr>
                <w:color w:val="000000" w:themeColor="text1"/>
                <w14:textFill>
                  <w14:solidFill>
                    <w14:schemeClr w14:val="tx1"/>
                  </w14:solidFill>
                </w14:textFill>
              </w:rPr>
            </w:pPr>
            <w:r>
              <w:rPr>
                <w:rFonts w:ascii="仿宋" w:hAnsi="仿宋" w:eastAsia="仿宋" w:cs="仿宋"/>
                <w:color w:val="000000" w:themeColor="text1"/>
                <w:kern w:val="0"/>
                <w:sz w:val="20"/>
                <w:lang w:bidi="ar"/>
                <w14:textFill>
                  <w14:solidFill>
                    <w14:schemeClr w14:val="tx1"/>
                  </w14:solidFill>
                </w14:textFill>
              </w:rPr>
              <w:t xml:space="preserve">三、交提货方式： </w:t>
            </w: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 xml:space="preserve">（一）本合同范围的货物，应由乙方直接供应，不得转让他人供应；非经甲方书面同意，乙方不得将本合同范围的货物全部或部分分包给他人供应；如有转让和未经甲方书面同意的分包行为，甲方有权解除合同，没收履约保证金并追究乙方的违约责任。 </w:t>
            </w:r>
          </w:p>
          <w:p>
            <w:pPr>
              <w:widowControl/>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（二）乙方应当在本合同签订后</w:t>
            </w:r>
            <w:r>
              <w:rPr>
                <w:rFonts w:hint="eastAsia" w:ascii="仿宋" w:hAnsi="仿宋" w:eastAsia="仿宋" w:cs="仿宋"/>
                <w:color w:val="000000" w:themeColor="text1"/>
                <w:kern w:val="0"/>
                <w:sz w:val="20"/>
                <w:u w:val="single"/>
                <w:lang w:bidi="ar"/>
                <w14:textFill>
                  <w14:solidFill>
                    <w14:schemeClr w14:val="tx1"/>
                  </w14:solidFill>
                </w14:textFill>
              </w:rPr>
              <w:t xml:space="preserve">   </w:t>
            </w:r>
            <w:r>
              <w:rPr>
                <w:rFonts w:hint="eastAsia" w:ascii="仿宋" w:hAnsi="仿宋" w:eastAsia="仿宋" w:cs="仿宋"/>
                <w:color w:val="000000" w:themeColor="text1"/>
                <w:kern w:val="0"/>
                <w:sz w:val="20"/>
                <w:lang w:bidi="ar"/>
                <w14:textFill>
                  <w14:solidFill>
                    <w14:schemeClr w14:val="tx1"/>
                  </w14:solidFill>
                </w14:textFill>
              </w:rPr>
              <w:t>个自然日内，将货物交付至甲方用户单位指定地点并完成安装调试。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9628" w:type="dxa"/>
            <w:gridSpan w:val="8"/>
          </w:tcPr>
          <w:p>
            <w:pPr>
              <w:widowControl/>
              <w:jc w:val="left"/>
              <w:rPr>
                <w:color w:val="000000" w:themeColor="text1"/>
                <w14:textFill>
                  <w14:solidFill>
                    <w14:schemeClr w14:val="tx1"/>
                  </w14:solidFill>
                </w14:textFill>
              </w:rPr>
            </w:pPr>
            <w:r>
              <w:rPr>
                <w:rFonts w:ascii="仿宋" w:hAnsi="仿宋" w:eastAsia="仿宋" w:cs="仿宋"/>
                <w:color w:val="000000" w:themeColor="text1"/>
                <w:kern w:val="0"/>
                <w:sz w:val="20"/>
                <w:lang w:bidi="ar"/>
                <w14:textFill>
                  <w14:solidFill>
                    <w14:schemeClr w14:val="tx1"/>
                  </w14:solidFill>
                </w14:textFill>
              </w:rPr>
              <w:t xml:space="preserve">四、验收标准、方法： </w:t>
            </w: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 xml:space="preserve">（一）交付货物时，乙方应与甲方用户单位人员当面开箱，共同清点、检查外观，作出开箱记录，双方签字确认。 </w:t>
            </w: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 xml:space="preserve">（二）乙方应随货物提供合格证、质量证明文件、检验报告等资料。 </w:t>
            </w: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 xml:space="preserve">（三）乙方所交货物的质量指标不得低于甲方招标文件要求、乙方提供样品的质量指标、乙方承诺的质量指标或有关国家标准（标准不一致的，以高标准计）；售后服务质量要求，按招标文件和投标文件的内容执行。乙方交货时，甲方可根据需要随机抽取一部分货物送有关权威检测部门检测；如检测不合格，乙方应承担甲方所支出的检测费用并向甲方赔偿一切损失。 </w:t>
            </w: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 xml:space="preserve">（四）如验收不合格，甲方有权解除本合同，并没收履约保证金；乙方应当赔偿甲方一切损失，并返还甲方已支付的全部合同款，并接受被全市通报、被取消两年政府采购供应商资格的处理结果。 </w:t>
            </w:r>
          </w:p>
          <w:p>
            <w:pPr>
              <w:widowControl/>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五）甲方对乙方交付货物的验收仅为表面验收，验收合格不视为乙方对质量问题免责；甲方验收时未提出异议不视为对乙方货物质量合格之认定。若乙方货物存在任何质量问题，甲方有权要求乙方承担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9628" w:type="dxa"/>
            <w:gridSpan w:val="8"/>
          </w:tcPr>
          <w:p>
            <w:pPr>
              <w:widowControl/>
              <w:jc w:val="left"/>
              <w:rPr>
                <w:color w:val="000000" w:themeColor="text1"/>
                <w14:textFill>
                  <w14:solidFill>
                    <w14:schemeClr w14:val="tx1"/>
                  </w14:solidFill>
                </w14:textFill>
              </w:rPr>
            </w:pPr>
            <w:r>
              <w:rPr>
                <w:rFonts w:ascii="仿宋" w:hAnsi="仿宋" w:eastAsia="仿宋" w:cs="仿宋"/>
                <w:color w:val="000000" w:themeColor="text1"/>
                <w:kern w:val="0"/>
                <w:sz w:val="20"/>
                <w:lang w:bidi="ar"/>
                <w14:textFill>
                  <w14:solidFill>
                    <w14:schemeClr w14:val="tx1"/>
                  </w14:solidFill>
                </w14:textFill>
              </w:rPr>
              <w:t xml:space="preserve">五、付款方式： </w:t>
            </w: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（一）甲方按以下第</w:t>
            </w:r>
            <w:r>
              <w:rPr>
                <w:rFonts w:hint="eastAsia" w:ascii="仿宋" w:hAnsi="仿宋" w:eastAsia="仿宋" w:cs="仿宋"/>
                <w:color w:val="000000" w:themeColor="text1"/>
                <w:kern w:val="0"/>
                <w:sz w:val="20"/>
                <w:u w:val="single"/>
                <w:lang w:bidi="ar"/>
                <w14:textFill>
                  <w14:solidFill>
                    <w14:schemeClr w14:val="tx1"/>
                  </w14:solidFill>
                </w14:textFill>
              </w:rPr>
              <w:t xml:space="preserve">   </w:t>
            </w:r>
            <w:r>
              <w:rPr>
                <w:rFonts w:hint="eastAsia" w:ascii="仿宋" w:hAnsi="仿宋" w:eastAsia="仿宋" w:cs="仿宋"/>
                <w:color w:val="000000" w:themeColor="text1"/>
                <w:kern w:val="0"/>
                <w:sz w:val="20"/>
                <w:lang w:bidi="ar"/>
                <w14:textFill>
                  <w14:solidFill>
                    <w14:schemeClr w14:val="tx1"/>
                  </w14:solidFill>
                </w14:textFill>
              </w:rPr>
              <w:t xml:space="preserve">种方式，向乙方付款。 </w:t>
            </w: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 xml:space="preserve">1. 银行转账。2. 现金支票。 </w:t>
            </w: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 xml:space="preserve">（二）付款方法：货物全部到货并验收合格后，乙方按合同总价的 5%向甲方交纳质保金，甲方向乙方按合同总价支付价款，乙方未支付质保金的，甲方有权拒绝付款，且不承担迟延付款的责任。质保期内乙方提供的货物无质量问题且没有其他违约行为，质保期届满后由甲方全额无息退还。 </w:t>
            </w:r>
          </w:p>
          <w:p>
            <w:pPr>
              <w:widowControl/>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 xml:space="preserve">（三）甲方要求乙方提供的履约保证金，其收取和退还应按招标文件相关要求处理（合同履行期内，履约保证金减少的，乙方应当补足，逾期未补足的视为违约）。涉及提供担保的，按《中华人民共和国民法典》规定执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628" w:type="dxa"/>
            <w:gridSpan w:val="8"/>
          </w:tcPr>
          <w:p>
            <w:pPr>
              <w:widowControl/>
              <w:jc w:val="left"/>
              <w:rPr>
                <w:color w:val="000000" w:themeColor="text1"/>
                <w14:textFill>
                  <w14:solidFill>
                    <w14:schemeClr w14:val="tx1"/>
                  </w14:solidFill>
                </w14:textFill>
              </w:rPr>
            </w:pPr>
            <w:r>
              <w:rPr>
                <w:rFonts w:ascii="仿宋" w:hAnsi="仿宋" w:eastAsia="仿宋" w:cs="仿宋"/>
                <w:color w:val="000000" w:themeColor="text1"/>
                <w:kern w:val="0"/>
                <w:sz w:val="20"/>
                <w:lang w:bidi="ar"/>
                <w14:textFill>
                  <w14:solidFill>
                    <w14:schemeClr w14:val="tx1"/>
                  </w14:solidFill>
                </w14:textFill>
              </w:rPr>
              <w:t xml:space="preserve">六、合同争议及违约责任： </w:t>
            </w: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 xml:space="preserve">（一）乙方在投标时未明确提出异议，视为完全响应甲方在本合同内的各项要求。 </w:t>
            </w: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（二）乙方应按本合同第一条“质量要求和技术标准”提供货物。若乙方超过 7 个自然日未履行上述服务承诺的，或者在紧急情况下未在甲方指定时间内履行服务承诺的，甲方有权自行联系其他单位提供维保服务，涉及的费用从乙方缴纳的质保金或履约保证金内扣除。若质保金或履约保证金不足以抵扣维保费用的，甲方有权向乙方主张进行补足。乙方应当按第三条“交提货方式”按时交付合格货物。若乙方逾期，每延期1个自然日应当按合同总价的 1‰向甲方支付违约金（最高不超过合同总价的 10%），甲方可在乙方缴纳的质保金或履约保证金内扣除；若乙方逾期超过60个自然日的，甲方有权解除本合同，没收全部履约保证金，赔偿甲方全部损失。</w:t>
            </w: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 xml:space="preserve">（三）乙方应当按照本合同列明的货物名称、规格、数量全面履行义务。若乙方向甲方交付的货物与本合同不符，甲方有权拒绝接收并不延长交付时间，乙方应承担由此造成甲方的损失以及逾期交付的违约责任。若甲方同意让步接收的，除要求乙方赔偿损失外，甲方有权根据货物的疵劣和受损程度要求乙方降低货物价格并承担违约责任。 </w:t>
            </w: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四）甲方、乙方中的任何一方违约，不履行合同义务或者履行合同义务不符合约定的，应当向守约方承担继续履行、采取补救措施、赔偿损失等违约责任。乙方因过错给甲方造成损失的，或乙方超越权限行使代理权给甲方造成损失的，乙方承担赔偿损失的责任。双方都违反合同的，应当各自承担相应的责任。</w:t>
            </w: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 xml:space="preserve">（五）履约保证金减少的，乙方未按照甲方要求补足履约保证金的，每逾期 1 个自然日，甲方有权要求乙方支付履约保证金总额0.1 %的违约金；逾期超过60个自然日，甲方有权解除合同，要求乙方支付前述违约金并没收剩余的履约保证金。 </w:t>
            </w: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 xml:space="preserve">（六）因台风、地震、水灾、政府政策变化、传染性疾病以及其它非一方责任造成的，不能预见、不能避免、并不能克服的客观情况为不可抗力。因不可抗力致使本经济合同不能履行或不能完全履行时，遭受不可抗力一方应在发生不可抗力之日起 3 个工作日内向对方通报相关情况并向对方提供相应证明，在双方共同商议（或有关主管机关裁决）后，可以根据决议延期履行、部分履行或不履行，并可根据情况部分或全部免于承担违约责任。 </w:t>
            </w: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 xml:space="preserve">（七）乙方承诺本合同履行期间持续具有履行本经济合同所需合法、有效资质，否则视为重大违约，甲方有权立即解除本合同，已交付的费用乙方须无条件全额退还，甲方没收全部履约保证金并追究乙方违约责任。 </w:t>
            </w: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 xml:space="preserve">（八）甲乙双方若不能按互谅互惠原则协商解决争议，任何一方均可向重庆仲裁委员会提请仲裁。 </w:t>
            </w: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 xml:space="preserve">（九）甲方或乙方一方违约时，守约方据此向违约方主张权利的，违约方应向守约方支付违约金及由此产生的一切损失（包括但不限于直接损失、间接损失、诉讼费、仲裁费、律师费、保全费、保全担保费、鉴定费、差旅费等）。 </w:t>
            </w:r>
          </w:p>
          <w:p>
            <w:pPr>
              <w:widowControl/>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（十）本合同项下各违约责任相互独立，可同时、一并适用。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628" w:type="dxa"/>
            <w:gridSpan w:val="8"/>
          </w:tcPr>
          <w:p>
            <w:pPr>
              <w:widowControl/>
              <w:jc w:val="left"/>
              <w:rPr>
                <w:color w:val="000000" w:themeColor="text1"/>
                <w14:textFill>
                  <w14:solidFill>
                    <w14:schemeClr w14:val="tx1"/>
                  </w14:solidFill>
                </w14:textFill>
              </w:rPr>
            </w:pPr>
            <w:r>
              <w:rPr>
                <w:rFonts w:ascii="仿宋" w:hAnsi="仿宋" w:eastAsia="仿宋" w:cs="仿宋"/>
                <w:color w:val="000000" w:themeColor="text1"/>
                <w:kern w:val="0"/>
                <w:sz w:val="20"/>
                <w:lang w:bidi="ar"/>
                <w14:textFill>
                  <w14:solidFill>
                    <w14:schemeClr w14:val="tx1"/>
                  </w14:solidFill>
                </w14:textFill>
              </w:rPr>
              <w:t xml:space="preserve">七、其他约定事项： </w:t>
            </w: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 xml:space="preserve">（一）甲方招标文件及其补遗文件、乙方投标文件和承诺不可分割，具有同等法律效力。若本经济合同存在歧义或不一致，则根据如下优先次序来判断：合同签订后达成的有关会议纪要或补充文件、本经济合同、中标通知书、招标文件及其补遗文件、投标文件及其承诺，上述各项合同文件包括合同当事人就该项合同文件所作出的补充和修改，属于同一类内容的文件，应以最新签署的为准。未尽事宜，执行《中华人民共和国民法典》《中华人民共和国政府采购法》规定，由甲乙双方共商解决。 </w:t>
            </w: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 xml:space="preserve">（二）甲方在中华人民共和国境内使用乙方提供的货物及服务时免受第三方提出的侵犯其专利权或其它知识产权的起诉。如果第三方提出侵权指控，乙方应承担由此而引起的一切法律责任和费用，甲方有权解除本合同，要求乙方退还甲方已支付的费用，并没收全部履约保证金。 </w:t>
            </w: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 xml:space="preserve">（三）乙方负责及时将货物包装材料清运离开甲方所在地，由此产生的费用由乙方自行承担。 </w:t>
            </w: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 xml:space="preserve">（四）乙方向甲方申请付款时，应当按甲方财务管理要求开具增值税专用发票。若乙方未提供有效增值税专用发票的，甲方有权拒绝支付合同价款且不承担任何延迟履行的责任。 </w:t>
            </w: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 xml:space="preserve">（五）本经济合同尾部载明的联系方式为一方通知对方、以及涉及诉讼或者仲裁时接收法律文书的送达地址。地址应当真实有效。任何一方送达地址变更的，应当自变更之日起 5 个工作日内书面通知对方。如地址有误、地址变更、未及时书面通知对方而导致法律文书送达不能的，应当自行承担后果。 </w:t>
            </w: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 xml:space="preserve">（六）本经济合同的任何修订、变更或调整，须经甲方、乙方共同书面确认。补充协议与本经济合同具有同等法律效力，不一致之处，以补充协议为准。 </w:t>
            </w: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 xml:space="preserve">（七）本合同一式__份，甲方__份，乙方__份。其中，正本__份，副本__份，具备同等法律效力。 </w:t>
            </w: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 xml:space="preserve">（八）本经济合同自当事人法定代表人或委托代理人签字并加盖双方合同专用章或公章后生效。 </w:t>
            </w:r>
          </w:p>
          <w:p>
            <w:pPr>
              <w:widowControl/>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（以下无正文）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4119" w:type="dxa"/>
            <w:gridSpan w:val="3"/>
          </w:tcPr>
          <w:p>
            <w:pPr>
              <w:widowControl/>
              <w:spacing w:line="360" w:lineRule="auto"/>
              <w:jc w:val="left"/>
              <w:rPr>
                <w:color w:val="000000" w:themeColor="text1"/>
                <w14:textFill>
                  <w14:solidFill>
                    <w14:schemeClr w14:val="tx1"/>
                  </w14:solidFill>
                </w14:textFill>
              </w:rPr>
            </w:pPr>
            <w:r>
              <w:rPr>
                <w:rFonts w:ascii="仿宋" w:hAnsi="仿宋" w:eastAsia="仿宋" w:cs="仿宋"/>
                <w:color w:val="000000" w:themeColor="text1"/>
                <w:kern w:val="0"/>
                <w:sz w:val="20"/>
                <w:lang w:bidi="ar"/>
                <w14:textFill>
                  <w14:solidFill>
                    <w14:schemeClr w14:val="tx1"/>
                  </w14:solidFill>
                </w14:textFill>
              </w:rPr>
              <w:t xml:space="preserve">甲方（需方）：重庆医科大学 </w:t>
            </w:r>
          </w:p>
          <w:p>
            <w:pPr>
              <w:widowControl/>
              <w:spacing w:line="360" w:lineRule="auto"/>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 xml:space="preserve">地址：重庆市渝中区医学院路 1 号 </w:t>
            </w:r>
          </w:p>
          <w:p>
            <w:pPr>
              <w:widowControl/>
              <w:spacing w:line="360" w:lineRule="auto"/>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 xml:space="preserve">统一社会信用代码：12500000450401805G </w:t>
            </w:r>
          </w:p>
          <w:p>
            <w:pPr>
              <w:widowControl/>
              <w:spacing w:line="360" w:lineRule="auto"/>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开户行：中国建设银行股份有限公司重庆高新区分行</w:t>
            </w:r>
          </w:p>
          <w:p>
            <w:pPr>
              <w:widowControl/>
              <w:spacing w:line="360" w:lineRule="auto"/>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 xml:space="preserve">账号：50001033600050008726 </w:t>
            </w:r>
          </w:p>
          <w:p>
            <w:pPr>
              <w:widowControl/>
              <w:jc w:val="left"/>
              <w:rPr>
                <w:rFonts w:ascii="仿宋" w:hAnsi="仿宋" w:eastAsia="仿宋" w:cs="仿宋"/>
                <w:color w:val="000000" w:themeColor="text1"/>
                <w:kern w:val="0"/>
                <w:sz w:val="20"/>
                <w:lang w:bidi="ar"/>
                <w14:textFill>
                  <w14:solidFill>
                    <w14:schemeClr w14:val="tx1"/>
                  </w14:solidFill>
                </w14:textFill>
              </w:rPr>
            </w:pP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 xml:space="preserve">法定代表人： </w:t>
            </w:r>
          </w:p>
          <w:p>
            <w:pPr>
              <w:widowControl/>
              <w:jc w:val="left"/>
              <w:rPr>
                <w:rFonts w:ascii="仿宋" w:hAnsi="仿宋" w:eastAsia="仿宋" w:cs="仿宋"/>
                <w:color w:val="000000" w:themeColor="text1"/>
                <w:kern w:val="0"/>
                <w:sz w:val="20"/>
                <w:lang w:bidi="ar"/>
                <w14:textFill>
                  <w14:solidFill>
                    <w14:schemeClr w14:val="tx1"/>
                  </w14:solidFill>
                </w14:textFill>
              </w:rPr>
            </w:pPr>
          </w:p>
          <w:p>
            <w:pPr>
              <w:widowControl/>
              <w:jc w:val="left"/>
              <w:rPr>
                <w:rFonts w:ascii="仿宋" w:hAnsi="仿宋" w:eastAsia="仿宋" w:cs="仿宋"/>
                <w:color w:val="000000" w:themeColor="text1"/>
                <w:kern w:val="0"/>
                <w:sz w:val="20"/>
                <w:lang w:bidi="ar"/>
                <w14:textFill>
                  <w14:solidFill>
                    <w14:schemeClr w14:val="tx1"/>
                  </w14:solidFill>
                </w14:textFill>
              </w:rPr>
            </w:pPr>
          </w:p>
          <w:p>
            <w:pPr>
              <w:widowControl/>
              <w:jc w:val="left"/>
              <w:rPr>
                <w:rFonts w:ascii="仿宋" w:hAnsi="仿宋" w:eastAsia="仿宋" w:cs="仿宋"/>
                <w:color w:val="000000" w:themeColor="text1"/>
                <w:kern w:val="0"/>
                <w:sz w:val="20"/>
                <w:lang w:bidi="ar"/>
                <w14:textFill>
                  <w14:solidFill>
                    <w14:schemeClr w14:val="tx1"/>
                  </w14:solidFill>
                </w14:textFill>
              </w:rPr>
            </w:pP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 xml:space="preserve">授权代表人： </w:t>
            </w:r>
          </w:p>
          <w:p>
            <w:pPr>
              <w:widowControl/>
              <w:jc w:val="left"/>
              <w:rPr>
                <w:rFonts w:ascii="仿宋" w:hAnsi="仿宋" w:eastAsia="仿宋" w:cs="仿宋"/>
                <w:color w:val="000000" w:themeColor="text1"/>
                <w:kern w:val="0"/>
                <w:sz w:val="20"/>
                <w:lang w:bidi="ar"/>
                <w14:textFill>
                  <w14:solidFill>
                    <w14:schemeClr w14:val="tx1"/>
                  </w14:solidFill>
                </w14:textFill>
              </w:rPr>
            </w:pPr>
          </w:p>
          <w:p>
            <w:pPr>
              <w:widowControl/>
              <w:jc w:val="left"/>
              <w:rPr>
                <w:rFonts w:ascii="仿宋" w:hAnsi="仿宋" w:eastAsia="仿宋" w:cs="仿宋"/>
                <w:color w:val="000000" w:themeColor="text1"/>
                <w:kern w:val="0"/>
                <w:sz w:val="20"/>
                <w:lang w:bidi="ar"/>
                <w14:textFill>
                  <w14:solidFill>
                    <w14:schemeClr w14:val="tx1"/>
                  </w14:solidFill>
                </w14:textFill>
              </w:rPr>
            </w:pP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联系电话：（请备注用户单位联系人电话）</w:t>
            </w:r>
          </w:p>
          <w:p>
            <w:pPr>
              <w:spacing w:line="240" w:lineRule="atLeast"/>
              <w:rPr>
                <w:rFonts w:ascii="仿宋" w:hAnsi="仿宋" w:eastAsia="仿宋"/>
                <w:color w:val="000000" w:themeColor="text1"/>
                <w:sz w:val="24"/>
                <w:szCs w:val="24"/>
                <w14:textFill>
                  <w14:solidFill>
                    <w14:schemeClr w14:val="tx1"/>
                  </w14:solidFill>
                </w14:textFill>
              </w:rPr>
            </w:pPr>
          </w:p>
        </w:tc>
        <w:tc>
          <w:tcPr>
            <w:tcW w:w="5509" w:type="dxa"/>
            <w:gridSpan w:val="5"/>
          </w:tcPr>
          <w:p>
            <w:pPr>
              <w:widowControl/>
              <w:spacing w:line="360" w:lineRule="auto"/>
              <w:jc w:val="left"/>
              <w:rPr>
                <w:rFonts w:ascii="仿宋" w:hAnsi="仿宋" w:eastAsia="仿宋" w:cs="仿宋"/>
                <w:color w:val="000000" w:themeColor="text1"/>
                <w:kern w:val="0"/>
                <w:sz w:val="20"/>
                <w:lang w:bidi="ar"/>
                <w14:textFill>
                  <w14:solidFill>
                    <w14:schemeClr w14:val="tx1"/>
                  </w14:solidFill>
                </w14:textFill>
              </w:rPr>
            </w:pPr>
            <w:r>
              <w:rPr>
                <w:rFonts w:ascii="仿宋" w:hAnsi="仿宋" w:eastAsia="仿宋" w:cs="仿宋"/>
                <w:color w:val="000000" w:themeColor="text1"/>
                <w:kern w:val="0"/>
                <w:sz w:val="20"/>
                <w:lang w:bidi="ar"/>
                <w14:textFill>
                  <w14:solidFill>
                    <w14:schemeClr w14:val="tx1"/>
                  </w14:solidFill>
                </w14:textFill>
              </w:rPr>
              <w:t xml:space="preserve">乙方（供方）： </w:t>
            </w:r>
          </w:p>
          <w:p>
            <w:pPr>
              <w:widowControl/>
              <w:spacing w:line="360" w:lineRule="auto"/>
              <w:jc w:val="left"/>
              <w:rPr>
                <w:rFonts w:ascii="仿宋" w:hAnsi="仿宋" w:eastAsia="仿宋" w:cs="仿宋"/>
                <w:color w:val="000000" w:themeColor="text1"/>
                <w:kern w:val="0"/>
                <w:sz w:val="20"/>
                <w:lang w:bidi="ar"/>
                <w14:textFill>
                  <w14:solidFill>
                    <w14:schemeClr w14:val="tx1"/>
                  </w14:solidFill>
                </w14:textFill>
              </w:rPr>
            </w:pPr>
            <w:r>
              <w:rPr>
                <w:rFonts w:ascii="仿宋" w:hAnsi="仿宋" w:eastAsia="仿宋" w:cs="仿宋"/>
                <w:color w:val="000000" w:themeColor="text1"/>
                <w:kern w:val="0"/>
                <w:sz w:val="20"/>
                <w:lang w:bidi="ar"/>
                <w14:textFill>
                  <w14:solidFill>
                    <w14:schemeClr w14:val="tx1"/>
                  </w14:solidFill>
                </w14:textFill>
              </w:rPr>
              <w:t xml:space="preserve">地址： </w:t>
            </w:r>
          </w:p>
          <w:p>
            <w:pPr>
              <w:widowControl/>
              <w:spacing w:line="360" w:lineRule="auto"/>
              <w:jc w:val="left"/>
              <w:rPr>
                <w:rFonts w:ascii="仿宋" w:hAnsi="仿宋" w:eastAsia="仿宋" w:cs="仿宋"/>
                <w:color w:val="000000" w:themeColor="text1"/>
                <w:kern w:val="0"/>
                <w:sz w:val="20"/>
                <w:lang w:bidi="ar"/>
                <w14:textFill>
                  <w14:solidFill>
                    <w14:schemeClr w14:val="tx1"/>
                  </w14:solidFill>
                </w14:textFill>
              </w:rPr>
            </w:pPr>
            <w:r>
              <w:rPr>
                <w:rFonts w:ascii="仿宋" w:hAnsi="仿宋" w:eastAsia="仿宋" w:cs="仿宋"/>
                <w:color w:val="000000" w:themeColor="text1"/>
                <w:kern w:val="0"/>
                <w:sz w:val="20"/>
                <w:lang w:bidi="ar"/>
                <w14:textFill>
                  <w14:solidFill>
                    <w14:schemeClr w14:val="tx1"/>
                  </w14:solidFill>
                </w14:textFill>
              </w:rPr>
              <w:t xml:space="preserve">统一社会信用代码： </w:t>
            </w:r>
          </w:p>
          <w:p>
            <w:pPr>
              <w:widowControl/>
              <w:spacing w:line="360" w:lineRule="auto"/>
              <w:jc w:val="left"/>
              <w:rPr>
                <w:rFonts w:ascii="仿宋" w:hAnsi="仿宋" w:eastAsia="仿宋" w:cs="仿宋"/>
                <w:color w:val="000000" w:themeColor="text1"/>
                <w:kern w:val="0"/>
                <w:sz w:val="20"/>
                <w:lang w:bidi="ar"/>
                <w14:textFill>
                  <w14:solidFill>
                    <w14:schemeClr w14:val="tx1"/>
                  </w14:solidFill>
                </w14:textFill>
              </w:rPr>
            </w:pPr>
            <w:r>
              <w:rPr>
                <w:rFonts w:ascii="仿宋" w:hAnsi="仿宋" w:eastAsia="仿宋" w:cs="仿宋"/>
                <w:color w:val="000000" w:themeColor="text1"/>
                <w:kern w:val="0"/>
                <w:sz w:val="20"/>
                <w:lang w:bidi="ar"/>
                <w14:textFill>
                  <w14:solidFill>
                    <w14:schemeClr w14:val="tx1"/>
                  </w14:solidFill>
                </w14:textFill>
              </w:rPr>
              <w:t xml:space="preserve">开户行： </w:t>
            </w:r>
          </w:p>
          <w:p>
            <w:pPr>
              <w:widowControl/>
              <w:spacing w:line="360" w:lineRule="auto"/>
              <w:jc w:val="left"/>
              <w:rPr>
                <w:rFonts w:ascii="仿宋" w:hAnsi="仿宋" w:eastAsia="仿宋" w:cs="仿宋"/>
                <w:color w:val="000000" w:themeColor="text1"/>
                <w:kern w:val="0"/>
                <w:sz w:val="20"/>
                <w:lang w:bidi="ar"/>
                <w14:textFill>
                  <w14:solidFill>
                    <w14:schemeClr w14:val="tx1"/>
                  </w14:solidFill>
                </w14:textFill>
              </w:rPr>
            </w:pPr>
          </w:p>
          <w:p>
            <w:pPr>
              <w:widowControl/>
              <w:spacing w:line="360" w:lineRule="auto"/>
              <w:jc w:val="left"/>
              <w:rPr>
                <w:rFonts w:ascii="仿宋" w:hAnsi="仿宋" w:eastAsia="仿宋" w:cs="仿宋"/>
                <w:color w:val="000000" w:themeColor="text1"/>
                <w:kern w:val="0"/>
                <w:sz w:val="20"/>
                <w:lang w:bidi="ar"/>
                <w14:textFill>
                  <w14:solidFill>
                    <w14:schemeClr w14:val="tx1"/>
                  </w14:solidFill>
                </w14:textFill>
              </w:rPr>
            </w:pPr>
            <w:r>
              <w:rPr>
                <w:rFonts w:ascii="仿宋" w:hAnsi="仿宋" w:eastAsia="仿宋" w:cs="仿宋"/>
                <w:color w:val="000000" w:themeColor="text1"/>
                <w:kern w:val="0"/>
                <w:sz w:val="20"/>
                <w:lang w:bidi="ar"/>
                <w14:textFill>
                  <w14:solidFill>
                    <w14:schemeClr w14:val="tx1"/>
                  </w14:solidFill>
                </w14:textFill>
              </w:rPr>
              <w:t xml:space="preserve">账号： </w:t>
            </w:r>
          </w:p>
          <w:p>
            <w:pPr>
              <w:widowControl/>
              <w:spacing w:line="360" w:lineRule="auto"/>
              <w:jc w:val="left"/>
              <w:rPr>
                <w:rFonts w:ascii="仿宋" w:hAnsi="仿宋" w:eastAsia="仿宋" w:cs="仿宋"/>
                <w:color w:val="000000" w:themeColor="text1"/>
                <w:kern w:val="0"/>
                <w:sz w:val="20"/>
                <w:lang w:bidi="ar"/>
                <w14:textFill>
                  <w14:solidFill>
                    <w14:schemeClr w14:val="tx1"/>
                  </w14:solidFill>
                </w14:textFill>
              </w:rPr>
            </w:pPr>
          </w:p>
          <w:p>
            <w:pPr>
              <w:widowControl/>
              <w:jc w:val="left"/>
              <w:rPr>
                <w:rFonts w:ascii="仿宋" w:hAnsi="仿宋" w:eastAsia="仿宋" w:cs="仿宋"/>
                <w:color w:val="000000" w:themeColor="text1"/>
                <w:kern w:val="0"/>
                <w:sz w:val="20"/>
                <w:lang w:bidi="ar"/>
                <w14:textFill>
                  <w14:solidFill>
                    <w14:schemeClr w14:val="tx1"/>
                  </w14:solidFill>
                </w14:textFill>
              </w:rPr>
            </w:pP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 xml:space="preserve">法定代表人： </w:t>
            </w:r>
          </w:p>
          <w:p>
            <w:pPr>
              <w:widowControl/>
              <w:jc w:val="left"/>
              <w:rPr>
                <w:rFonts w:ascii="仿宋" w:hAnsi="仿宋" w:eastAsia="仿宋" w:cs="仿宋"/>
                <w:color w:val="000000" w:themeColor="text1"/>
                <w:kern w:val="0"/>
                <w:sz w:val="20"/>
                <w:lang w:bidi="ar"/>
                <w14:textFill>
                  <w14:solidFill>
                    <w14:schemeClr w14:val="tx1"/>
                  </w14:solidFill>
                </w14:textFill>
              </w:rPr>
            </w:pPr>
          </w:p>
          <w:p>
            <w:pPr>
              <w:widowControl/>
              <w:jc w:val="left"/>
              <w:rPr>
                <w:rFonts w:ascii="仿宋" w:hAnsi="仿宋" w:eastAsia="仿宋" w:cs="仿宋"/>
                <w:color w:val="000000" w:themeColor="text1"/>
                <w:kern w:val="0"/>
                <w:sz w:val="20"/>
                <w:lang w:bidi="ar"/>
                <w14:textFill>
                  <w14:solidFill>
                    <w14:schemeClr w14:val="tx1"/>
                  </w14:solidFill>
                </w14:textFill>
              </w:rPr>
            </w:pPr>
          </w:p>
          <w:p>
            <w:pPr>
              <w:widowControl/>
              <w:jc w:val="left"/>
              <w:rPr>
                <w:rFonts w:ascii="仿宋" w:hAnsi="仿宋" w:eastAsia="仿宋" w:cs="仿宋"/>
                <w:color w:val="000000" w:themeColor="text1"/>
                <w:kern w:val="0"/>
                <w:sz w:val="20"/>
                <w:lang w:bidi="ar"/>
                <w14:textFill>
                  <w14:solidFill>
                    <w14:schemeClr w14:val="tx1"/>
                  </w14:solidFill>
                </w14:textFill>
              </w:rPr>
            </w:pP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 xml:space="preserve">授权代表人： </w:t>
            </w:r>
          </w:p>
          <w:p>
            <w:pPr>
              <w:widowControl/>
              <w:jc w:val="left"/>
              <w:rPr>
                <w:rFonts w:ascii="仿宋" w:hAnsi="仿宋" w:eastAsia="仿宋" w:cs="仿宋"/>
                <w:color w:val="000000" w:themeColor="text1"/>
                <w:kern w:val="0"/>
                <w:sz w:val="20"/>
                <w:lang w:bidi="ar"/>
                <w14:textFill>
                  <w14:solidFill>
                    <w14:schemeClr w14:val="tx1"/>
                  </w14:solidFill>
                </w14:textFill>
              </w:rPr>
            </w:pPr>
          </w:p>
          <w:p>
            <w:pPr>
              <w:widowControl/>
              <w:jc w:val="left"/>
              <w:rPr>
                <w:rFonts w:ascii="仿宋" w:hAnsi="仿宋" w:eastAsia="仿宋" w:cs="仿宋"/>
                <w:color w:val="000000" w:themeColor="text1"/>
                <w:kern w:val="0"/>
                <w:sz w:val="20"/>
                <w:lang w:bidi="ar"/>
                <w14:textFill>
                  <w14:solidFill>
                    <w14:schemeClr w14:val="tx1"/>
                  </w14:solidFill>
                </w14:textFill>
              </w:rPr>
            </w:pP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20"/>
                <w:lang w:bidi="ar"/>
                <w14:textFill>
                  <w14:solidFill>
                    <w14:schemeClr w14:val="tx1"/>
                  </w14:solidFill>
                </w14:textFill>
              </w:rPr>
              <w:t xml:space="preserve">联系电话： </w:t>
            </w:r>
          </w:p>
          <w:p>
            <w:pPr>
              <w:spacing w:line="240" w:lineRule="atLeast"/>
              <w:rPr>
                <w:rFonts w:ascii="仿宋" w:hAnsi="仿宋" w:eastAsia="仿宋"/>
                <w:color w:val="000000" w:themeColor="text1"/>
                <w:sz w:val="24"/>
                <w:szCs w:val="24"/>
                <w14:textFill>
                  <w14:solidFill>
                    <w14:schemeClr w14:val="tx1"/>
                  </w14:solidFill>
                </w14:textFill>
              </w:rPr>
            </w:pPr>
          </w:p>
          <w:p>
            <w:pPr>
              <w:spacing w:line="240" w:lineRule="atLeast"/>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9628" w:type="dxa"/>
            <w:gridSpan w:val="8"/>
          </w:tcPr>
          <w:p>
            <w:pPr>
              <w:spacing w:line="240" w:lineRule="atLeas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备注：</w:t>
            </w:r>
          </w:p>
        </w:tc>
      </w:tr>
    </w:tbl>
    <w:p>
      <w:pPr>
        <w:ind w:left="-708" w:leftChars="-253"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生效时间：  年   月   日（财务处）          签约地点：重庆医科大学袁家岗校区</w:t>
      </w:r>
    </w:p>
    <w:p>
      <w:pPr>
        <w:rPr>
          <w:rFonts w:ascii="仿宋" w:hAnsi="仿宋" w:eastAsia="仿宋"/>
          <w:color w:val="000000" w:themeColor="text1"/>
          <w:sz w:val="24"/>
          <w:szCs w:val="24"/>
          <w14:textFill>
            <w14:solidFill>
              <w14:schemeClr w14:val="tx1"/>
            </w14:solidFill>
          </w14:textFill>
        </w:rPr>
      </w:pPr>
    </w:p>
    <w:p>
      <w:pPr>
        <w:spacing w:line="560" w:lineRule="exact"/>
        <w:jc w:val="center"/>
        <w:rPr>
          <w:rFonts w:ascii="方正仿宋_GBK" w:eastAsia="方正仿宋_GBK"/>
          <w:color w:val="000000" w:themeColor="text1"/>
          <w:szCs w:val="28"/>
          <w14:textFill>
            <w14:solidFill>
              <w14:schemeClr w14:val="tx1"/>
            </w14:solidFill>
          </w14:textFill>
        </w:rPr>
      </w:pPr>
    </w:p>
    <w:p>
      <w:pPr>
        <w:spacing w:line="560" w:lineRule="exact"/>
        <w:rPr>
          <w:rFonts w:ascii="方正仿宋_GBK" w:eastAsia="方正仿宋_GBK"/>
          <w:color w:val="000000" w:themeColor="text1"/>
          <w:szCs w:val="28"/>
          <w14:textFill>
            <w14:solidFill>
              <w14:schemeClr w14:val="tx1"/>
            </w14:solidFill>
          </w14:textFill>
        </w:rPr>
      </w:pPr>
    </w:p>
    <w:p>
      <w:pPr>
        <w:pStyle w:val="4"/>
        <w:spacing w:before="0" w:after="0" w:line="560" w:lineRule="exact"/>
        <w:jc w:val="center"/>
        <w:rPr>
          <w:rFonts w:ascii="黑体" w:hAnsi="黑体"/>
          <w:b w:val="0"/>
          <w:color w:val="000000" w:themeColor="text1"/>
          <w:szCs w:val="32"/>
          <w14:textFill>
            <w14:solidFill>
              <w14:schemeClr w14:val="tx1"/>
            </w14:solidFill>
          </w14:textFill>
        </w:rPr>
        <w:sectPr>
          <w:pgSz w:w="11907" w:h="16840"/>
          <w:pgMar w:top="1134" w:right="1191" w:bottom="1134" w:left="1304" w:header="851" w:footer="992" w:gutter="0"/>
          <w:pgNumType w:fmt="numberInDash"/>
          <w:cols w:space="720" w:num="1"/>
          <w:docGrid w:linePitch="380" w:charSpace="-5735"/>
        </w:sectPr>
      </w:pPr>
      <w:bookmarkStart w:id="77" w:name="_Hlt41879464"/>
      <w:bookmarkEnd w:id="77"/>
      <w:bookmarkStart w:id="78" w:name="_Toc12789072"/>
      <w:bookmarkStart w:id="79" w:name="_Toc23105"/>
    </w:p>
    <w:p>
      <w:pPr>
        <w:spacing w:line="560" w:lineRule="exact"/>
        <w:jc w:val="left"/>
        <w:rPr>
          <w:rFonts w:ascii="仿宋" w:hAnsi="仿宋" w:eastAsia="仿宋"/>
          <w:color w:val="000000" w:themeColor="text1"/>
          <w:szCs w:val="28"/>
          <w14:textFill>
            <w14:solidFill>
              <w14:schemeClr w14:val="tx1"/>
            </w14:solidFill>
          </w14:textFill>
        </w:rPr>
      </w:pPr>
      <w:r>
        <w:rPr>
          <w:rFonts w:hint="eastAsia" w:ascii="仿宋" w:hAnsi="仿宋" w:eastAsia="仿宋"/>
          <w:color w:val="000000" w:themeColor="text1"/>
          <w:szCs w:val="28"/>
          <w14:textFill>
            <w14:solidFill>
              <w14:schemeClr w14:val="tx1"/>
            </w14:solidFill>
          </w14:textFill>
        </w:rPr>
        <w:t>附件1</w:t>
      </w:r>
    </w:p>
    <w:p>
      <w:pPr>
        <w:spacing w:line="560" w:lineRule="exact"/>
        <w:rPr>
          <w:rFonts w:ascii="仿宋" w:hAnsi="仿宋" w:eastAsia="仿宋"/>
          <w:b/>
          <w:color w:val="000000" w:themeColor="text1"/>
          <w:szCs w:val="28"/>
          <w14:textFill>
            <w14:solidFill>
              <w14:schemeClr w14:val="tx1"/>
            </w14:solidFill>
          </w14:textFill>
        </w:rPr>
      </w:pPr>
    </w:p>
    <w:p>
      <w:pPr>
        <w:spacing w:line="560" w:lineRule="exact"/>
        <w:jc w:val="center"/>
        <w:rPr>
          <w:rFonts w:ascii="仿宋" w:hAnsi="仿宋" w:eastAsia="仿宋"/>
          <w:b/>
          <w:color w:val="000000" w:themeColor="text1"/>
          <w:szCs w:val="28"/>
          <w14:textFill>
            <w14:solidFill>
              <w14:schemeClr w14:val="tx1"/>
            </w14:solidFill>
          </w14:textFill>
        </w:rPr>
      </w:pPr>
      <w:r>
        <w:rPr>
          <w:rFonts w:hint="eastAsia" w:ascii="仿宋" w:hAnsi="仿宋" w:eastAsia="仿宋"/>
          <w:b/>
          <w:color w:val="000000" w:themeColor="text1"/>
          <w:szCs w:val="28"/>
          <w14:textFill>
            <w14:solidFill>
              <w14:schemeClr w14:val="tx1"/>
            </w14:solidFill>
          </w14:textFill>
        </w:rPr>
        <w:t>商务参数明细</w:t>
      </w:r>
    </w:p>
    <w:tbl>
      <w:tblPr>
        <w:tblStyle w:val="5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1"/>
        <w:gridCol w:w="3118"/>
        <w:gridCol w:w="1276"/>
        <w:gridCol w:w="1751"/>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2221" w:type="dxa"/>
            <w:vAlign w:val="center"/>
          </w:tcPr>
          <w:p>
            <w:pPr>
              <w:spacing w:line="360" w:lineRule="auto"/>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货物名称</w:t>
            </w:r>
          </w:p>
        </w:tc>
        <w:tc>
          <w:tcPr>
            <w:tcW w:w="3118" w:type="dxa"/>
            <w:vAlign w:val="center"/>
          </w:tcPr>
          <w:p>
            <w:pPr>
              <w:spacing w:line="360" w:lineRule="auto"/>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规格型号</w:t>
            </w:r>
          </w:p>
        </w:tc>
        <w:tc>
          <w:tcPr>
            <w:tcW w:w="1276" w:type="dxa"/>
            <w:vAlign w:val="center"/>
          </w:tcPr>
          <w:p>
            <w:pPr>
              <w:spacing w:line="360" w:lineRule="auto"/>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数量</w:t>
            </w:r>
          </w:p>
        </w:tc>
        <w:tc>
          <w:tcPr>
            <w:tcW w:w="1751" w:type="dxa"/>
            <w:vAlign w:val="center"/>
          </w:tcPr>
          <w:p>
            <w:pPr>
              <w:spacing w:line="360" w:lineRule="auto"/>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单价（不变价）</w:t>
            </w:r>
          </w:p>
        </w:tc>
        <w:tc>
          <w:tcPr>
            <w:tcW w:w="1262" w:type="dxa"/>
            <w:vAlign w:val="center"/>
          </w:tcPr>
          <w:p>
            <w:pPr>
              <w:spacing w:line="360" w:lineRule="auto"/>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1"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c>
          <w:tcPr>
            <w:tcW w:w="3118"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c>
          <w:tcPr>
            <w:tcW w:w="1276"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c>
          <w:tcPr>
            <w:tcW w:w="1751"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c>
          <w:tcPr>
            <w:tcW w:w="1262"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1"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c>
          <w:tcPr>
            <w:tcW w:w="3118"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c>
          <w:tcPr>
            <w:tcW w:w="1276"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c>
          <w:tcPr>
            <w:tcW w:w="1751"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c>
          <w:tcPr>
            <w:tcW w:w="1262"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1"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c>
          <w:tcPr>
            <w:tcW w:w="3118"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c>
          <w:tcPr>
            <w:tcW w:w="1276"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c>
          <w:tcPr>
            <w:tcW w:w="1751"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c>
          <w:tcPr>
            <w:tcW w:w="1262"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1"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c>
          <w:tcPr>
            <w:tcW w:w="3118"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c>
          <w:tcPr>
            <w:tcW w:w="1276"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c>
          <w:tcPr>
            <w:tcW w:w="1751"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c>
          <w:tcPr>
            <w:tcW w:w="1262"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1"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c>
          <w:tcPr>
            <w:tcW w:w="3118"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c>
          <w:tcPr>
            <w:tcW w:w="1276"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c>
          <w:tcPr>
            <w:tcW w:w="1751"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c>
          <w:tcPr>
            <w:tcW w:w="1262"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r>
    </w:tbl>
    <w:p>
      <w:pPr>
        <w:jc w:val="left"/>
        <w:rPr>
          <w:rFonts w:ascii="仿宋" w:hAnsi="仿宋" w:eastAsia="仿宋"/>
          <w:color w:val="000000" w:themeColor="text1"/>
          <w:szCs w:val="28"/>
          <w14:textFill>
            <w14:solidFill>
              <w14:schemeClr w14:val="tx1"/>
            </w14:solidFill>
          </w14:textFill>
        </w:rPr>
      </w:pPr>
      <w:r>
        <w:rPr>
          <w:rFonts w:hint="eastAsia" w:ascii="仿宋" w:hAnsi="仿宋" w:eastAsia="仿宋"/>
          <w:color w:val="000000" w:themeColor="text1"/>
          <w:szCs w:val="28"/>
          <w14:textFill>
            <w14:solidFill>
              <w14:schemeClr w14:val="tx1"/>
            </w14:solidFill>
          </w14:textFill>
        </w:rPr>
        <w:br w:type="page"/>
      </w:r>
    </w:p>
    <w:p>
      <w:pPr>
        <w:spacing w:line="560" w:lineRule="exact"/>
        <w:jc w:val="left"/>
        <w:rPr>
          <w:rFonts w:ascii="仿宋" w:hAnsi="仿宋" w:eastAsia="仿宋"/>
          <w:color w:val="000000" w:themeColor="text1"/>
          <w:szCs w:val="28"/>
          <w14:textFill>
            <w14:solidFill>
              <w14:schemeClr w14:val="tx1"/>
            </w14:solidFill>
          </w14:textFill>
        </w:rPr>
      </w:pPr>
      <w:r>
        <w:rPr>
          <w:rFonts w:hint="eastAsia" w:ascii="仿宋" w:hAnsi="仿宋" w:eastAsia="仿宋"/>
          <w:color w:val="000000" w:themeColor="text1"/>
          <w:szCs w:val="28"/>
          <w14:textFill>
            <w14:solidFill>
              <w14:schemeClr w14:val="tx1"/>
            </w14:solidFill>
          </w14:textFill>
        </w:rPr>
        <w:t>附件2</w:t>
      </w:r>
    </w:p>
    <w:p>
      <w:pPr>
        <w:spacing w:line="560" w:lineRule="exact"/>
        <w:jc w:val="center"/>
        <w:rPr>
          <w:rFonts w:ascii="仿宋" w:hAnsi="仿宋" w:eastAsia="仿宋"/>
          <w:b/>
          <w:color w:val="000000" w:themeColor="text1"/>
          <w:szCs w:val="28"/>
          <w14:textFill>
            <w14:solidFill>
              <w14:schemeClr w14:val="tx1"/>
            </w14:solidFill>
          </w14:textFill>
        </w:rPr>
      </w:pPr>
      <w:r>
        <w:rPr>
          <w:rFonts w:hint="eastAsia" w:ascii="仿宋" w:hAnsi="仿宋" w:eastAsia="仿宋"/>
          <w:b/>
          <w:color w:val="000000" w:themeColor="text1"/>
          <w:szCs w:val="28"/>
          <w14:textFill>
            <w14:solidFill>
              <w14:schemeClr w14:val="tx1"/>
            </w14:solidFill>
          </w14:textFill>
        </w:rPr>
        <w:t>技术参数明细</w:t>
      </w:r>
    </w:p>
    <w:tbl>
      <w:tblPr>
        <w:tblStyle w:val="57"/>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297"/>
        <w:gridCol w:w="7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706" w:type="dxa"/>
            <w:vAlign w:val="center"/>
          </w:tcPr>
          <w:p>
            <w:pPr>
              <w:adjustRightInd w:val="0"/>
              <w:snapToGrid w:val="0"/>
              <w:spacing w:line="360" w:lineRule="auto"/>
              <w:jc w:val="center"/>
              <w:outlineLvl w:val="2"/>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序号</w:t>
            </w:r>
          </w:p>
        </w:tc>
        <w:tc>
          <w:tcPr>
            <w:tcW w:w="1297" w:type="dxa"/>
            <w:vAlign w:val="center"/>
          </w:tcPr>
          <w:p>
            <w:pPr>
              <w:adjustRightInd w:val="0"/>
              <w:snapToGrid w:val="0"/>
              <w:spacing w:line="360" w:lineRule="auto"/>
              <w:jc w:val="center"/>
              <w:outlineLvl w:val="2"/>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商品名称</w:t>
            </w:r>
          </w:p>
        </w:tc>
        <w:tc>
          <w:tcPr>
            <w:tcW w:w="7514" w:type="dxa"/>
            <w:noWrap/>
            <w:vAlign w:val="center"/>
          </w:tcPr>
          <w:p>
            <w:pPr>
              <w:adjustRightInd w:val="0"/>
              <w:snapToGrid w:val="0"/>
              <w:spacing w:line="360" w:lineRule="auto"/>
              <w:jc w:val="center"/>
              <w:outlineLvl w:val="2"/>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706" w:type="dxa"/>
            <w:vAlign w:val="center"/>
          </w:tcPr>
          <w:p>
            <w:pPr>
              <w:adjustRightInd w:val="0"/>
              <w:snapToGrid w:val="0"/>
              <w:spacing w:line="360" w:lineRule="auto"/>
              <w:outlineLvl w:val="2"/>
              <w:rPr>
                <w:rFonts w:ascii="仿宋" w:hAnsi="仿宋" w:eastAsia="仿宋"/>
                <w:color w:val="000000" w:themeColor="text1"/>
                <w:sz w:val="24"/>
                <w:szCs w:val="24"/>
                <w14:textFill>
                  <w14:solidFill>
                    <w14:schemeClr w14:val="tx1"/>
                  </w14:solidFill>
                </w14:textFill>
              </w:rPr>
            </w:pPr>
          </w:p>
        </w:tc>
        <w:tc>
          <w:tcPr>
            <w:tcW w:w="1297" w:type="dxa"/>
            <w:vAlign w:val="center"/>
          </w:tcPr>
          <w:p>
            <w:pPr>
              <w:adjustRightInd w:val="0"/>
              <w:snapToGrid w:val="0"/>
              <w:spacing w:line="360" w:lineRule="auto"/>
              <w:outlineLvl w:val="2"/>
              <w:rPr>
                <w:rFonts w:ascii="仿宋" w:hAnsi="仿宋" w:eastAsia="仿宋"/>
                <w:color w:val="000000" w:themeColor="text1"/>
                <w:sz w:val="24"/>
                <w:szCs w:val="24"/>
                <w14:textFill>
                  <w14:solidFill>
                    <w14:schemeClr w14:val="tx1"/>
                  </w14:solidFill>
                </w14:textFill>
              </w:rPr>
            </w:pPr>
          </w:p>
        </w:tc>
        <w:tc>
          <w:tcPr>
            <w:tcW w:w="7514" w:type="dxa"/>
            <w:vAlign w:val="center"/>
          </w:tcPr>
          <w:p>
            <w:pPr>
              <w:adjustRightInd w:val="0"/>
              <w:spacing w:line="288" w:lineRule="auto"/>
              <w:textAlignment w:val="center"/>
              <w:rPr>
                <w:rFonts w:ascii="仿宋" w:hAnsi="仿宋" w:eastAsia="仿宋"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706" w:type="dxa"/>
            <w:vAlign w:val="center"/>
          </w:tcPr>
          <w:p>
            <w:pPr>
              <w:adjustRightInd w:val="0"/>
              <w:snapToGrid w:val="0"/>
              <w:spacing w:line="360" w:lineRule="auto"/>
              <w:outlineLvl w:val="2"/>
              <w:rPr>
                <w:rFonts w:ascii="仿宋" w:hAnsi="仿宋" w:eastAsia="仿宋"/>
                <w:color w:val="000000" w:themeColor="text1"/>
                <w:sz w:val="24"/>
                <w:szCs w:val="24"/>
                <w14:textFill>
                  <w14:solidFill>
                    <w14:schemeClr w14:val="tx1"/>
                  </w14:solidFill>
                </w14:textFill>
              </w:rPr>
            </w:pPr>
          </w:p>
        </w:tc>
        <w:tc>
          <w:tcPr>
            <w:tcW w:w="1297" w:type="dxa"/>
            <w:vAlign w:val="center"/>
          </w:tcPr>
          <w:p>
            <w:pPr>
              <w:adjustRightInd w:val="0"/>
              <w:snapToGrid w:val="0"/>
              <w:spacing w:line="360" w:lineRule="auto"/>
              <w:outlineLvl w:val="2"/>
              <w:rPr>
                <w:rFonts w:ascii="仿宋" w:hAnsi="仿宋" w:eastAsia="仿宋"/>
                <w:color w:val="000000" w:themeColor="text1"/>
                <w:sz w:val="24"/>
                <w:szCs w:val="24"/>
                <w14:textFill>
                  <w14:solidFill>
                    <w14:schemeClr w14:val="tx1"/>
                  </w14:solidFill>
                </w14:textFill>
              </w:rPr>
            </w:pPr>
          </w:p>
        </w:tc>
        <w:tc>
          <w:tcPr>
            <w:tcW w:w="7514" w:type="dxa"/>
            <w:vAlign w:val="center"/>
          </w:tcPr>
          <w:p>
            <w:pPr>
              <w:adjustRightInd w:val="0"/>
              <w:spacing w:line="288" w:lineRule="auto"/>
              <w:textAlignment w:val="center"/>
              <w:rPr>
                <w:rFonts w:ascii="仿宋" w:hAnsi="仿宋" w:eastAsia="仿宋"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706" w:type="dxa"/>
            <w:vAlign w:val="center"/>
          </w:tcPr>
          <w:p>
            <w:pPr>
              <w:adjustRightInd w:val="0"/>
              <w:snapToGrid w:val="0"/>
              <w:spacing w:line="360" w:lineRule="auto"/>
              <w:outlineLvl w:val="2"/>
              <w:rPr>
                <w:rFonts w:ascii="仿宋" w:hAnsi="仿宋" w:eastAsia="仿宋"/>
                <w:color w:val="000000" w:themeColor="text1"/>
                <w:sz w:val="24"/>
                <w:szCs w:val="24"/>
                <w14:textFill>
                  <w14:solidFill>
                    <w14:schemeClr w14:val="tx1"/>
                  </w14:solidFill>
                </w14:textFill>
              </w:rPr>
            </w:pPr>
          </w:p>
        </w:tc>
        <w:tc>
          <w:tcPr>
            <w:tcW w:w="1297" w:type="dxa"/>
            <w:vAlign w:val="center"/>
          </w:tcPr>
          <w:p>
            <w:pPr>
              <w:adjustRightInd w:val="0"/>
              <w:snapToGrid w:val="0"/>
              <w:spacing w:line="360" w:lineRule="auto"/>
              <w:outlineLvl w:val="2"/>
              <w:rPr>
                <w:rFonts w:ascii="仿宋" w:hAnsi="仿宋" w:eastAsia="仿宋"/>
                <w:color w:val="000000" w:themeColor="text1"/>
                <w:sz w:val="24"/>
                <w:szCs w:val="24"/>
                <w14:textFill>
                  <w14:solidFill>
                    <w14:schemeClr w14:val="tx1"/>
                  </w14:solidFill>
                </w14:textFill>
              </w:rPr>
            </w:pPr>
          </w:p>
        </w:tc>
        <w:tc>
          <w:tcPr>
            <w:tcW w:w="7514" w:type="dxa"/>
            <w:vAlign w:val="center"/>
          </w:tcPr>
          <w:p>
            <w:pPr>
              <w:adjustRightInd w:val="0"/>
              <w:spacing w:line="288" w:lineRule="auto"/>
              <w:textAlignment w:val="center"/>
              <w:rPr>
                <w:rFonts w:ascii="仿宋" w:hAnsi="仿宋" w:eastAsia="仿宋"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Align w:val="center"/>
          </w:tcPr>
          <w:p>
            <w:pPr>
              <w:adjustRightInd w:val="0"/>
              <w:snapToGrid w:val="0"/>
              <w:spacing w:line="360" w:lineRule="auto"/>
              <w:outlineLvl w:val="2"/>
              <w:rPr>
                <w:rFonts w:ascii="仿宋" w:hAnsi="仿宋" w:eastAsia="仿宋"/>
                <w:color w:val="000000" w:themeColor="text1"/>
                <w:sz w:val="24"/>
                <w:szCs w:val="24"/>
                <w14:textFill>
                  <w14:solidFill>
                    <w14:schemeClr w14:val="tx1"/>
                  </w14:solidFill>
                </w14:textFill>
              </w:rPr>
            </w:pPr>
          </w:p>
        </w:tc>
        <w:tc>
          <w:tcPr>
            <w:tcW w:w="1297" w:type="dxa"/>
            <w:vAlign w:val="center"/>
          </w:tcPr>
          <w:p>
            <w:pPr>
              <w:adjustRightInd w:val="0"/>
              <w:snapToGrid w:val="0"/>
              <w:spacing w:line="360" w:lineRule="auto"/>
              <w:outlineLvl w:val="2"/>
              <w:rPr>
                <w:rFonts w:ascii="仿宋" w:hAnsi="仿宋" w:eastAsia="仿宋"/>
                <w:color w:val="000000" w:themeColor="text1"/>
                <w:sz w:val="24"/>
                <w:szCs w:val="24"/>
                <w14:textFill>
                  <w14:solidFill>
                    <w14:schemeClr w14:val="tx1"/>
                  </w14:solidFill>
                </w14:textFill>
              </w:rPr>
            </w:pPr>
          </w:p>
        </w:tc>
        <w:tc>
          <w:tcPr>
            <w:tcW w:w="7514" w:type="dxa"/>
            <w:vAlign w:val="center"/>
          </w:tcPr>
          <w:p>
            <w:pPr>
              <w:adjustRightInd w:val="0"/>
              <w:spacing w:line="288" w:lineRule="auto"/>
              <w:textAlignment w:val="center"/>
              <w:rPr>
                <w:rFonts w:ascii="仿宋" w:hAnsi="仿宋" w:eastAsia="仿宋"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Align w:val="center"/>
          </w:tcPr>
          <w:p>
            <w:pPr>
              <w:adjustRightInd w:val="0"/>
              <w:snapToGrid w:val="0"/>
              <w:spacing w:line="360" w:lineRule="auto"/>
              <w:outlineLvl w:val="2"/>
              <w:rPr>
                <w:rFonts w:ascii="仿宋" w:hAnsi="仿宋" w:eastAsia="仿宋"/>
                <w:color w:val="000000" w:themeColor="text1"/>
                <w:sz w:val="24"/>
                <w:szCs w:val="24"/>
                <w14:textFill>
                  <w14:solidFill>
                    <w14:schemeClr w14:val="tx1"/>
                  </w14:solidFill>
                </w14:textFill>
              </w:rPr>
            </w:pPr>
          </w:p>
        </w:tc>
        <w:tc>
          <w:tcPr>
            <w:tcW w:w="1297" w:type="dxa"/>
            <w:vAlign w:val="center"/>
          </w:tcPr>
          <w:p>
            <w:pPr>
              <w:adjustRightInd w:val="0"/>
              <w:snapToGrid w:val="0"/>
              <w:spacing w:line="360" w:lineRule="auto"/>
              <w:outlineLvl w:val="2"/>
              <w:rPr>
                <w:rFonts w:ascii="仿宋" w:hAnsi="仿宋" w:eastAsia="仿宋"/>
                <w:color w:val="000000" w:themeColor="text1"/>
                <w:sz w:val="24"/>
                <w:szCs w:val="24"/>
                <w14:textFill>
                  <w14:solidFill>
                    <w14:schemeClr w14:val="tx1"/>
                  </w14:solidFill>
                </w14:textFill>
              </w:rPr>
            </w:pPr>
          </w:p>
        </w:tc>
        <w:tc>
          <w:tcPr>
            <w:tcW w:w="7514" w:type="dxa"/>
            <w:vAlign w:val="center"/>
          </w:tcPr>
          <w:p>
            <w:pPr>
              <w:adjustRightInd w:val="0"/>
              <w:spacing w:line="288" w:lineRule="auto"/>
              <w:textAlignment w:val="center"/>
              <w:rPr>
                <w:rFonts w:ascii="仿宋" w:hAnsi="仿宋" w:eastAsia="仿宋" w:cs="宋体"/>
                <w:color w:val="000000" w:themeColor="text1"/>
                <w:sz w:val="24"/>
                <w:szCs w:val="24"/>
                <w14:textFill>
                  <w14:solidFill>
                    <w14:schemeClr w14:val="tx1"/>
                  </w14:solidFill>
                </w14:textFill>
              </w:rPr>
            </w:pPr>
          </w:p>
        </w:tc>
      </w:tr>
    </w:tbl>
    <w:p>
      <w:pPr>
        <w:adjustRightInd w:val="0"/>
        <w:snapToGrid w:val="0"/>
        <w:spacing w:line="360" w:lineRule="auto"/>
        <w:outlineLvl w:val="2"/>
        <w:rPr>
          <w:rFonts w:ascii="宋体" w:hAnsi="宋体"/>
          <w:color w:val="000000" w:themeColor="text1"/>
          <w:sz w:val="21"/>
          <w:szCs w:val="21"/>
          <w14:textFill>
            <w14:solidFill>
              <w14:schemeClr w14:val="tx1"/>
            </w14:solidFill>
          </w14:textFill>
        </w:rPr>
      </w:pPr>
    </w:p>
    <w:p>
      <w:pPr>
        <w:rPr>
          <w:rFonts w:ascii="黑体" w:hAnsi="黑体"/>
          <w:color w:val="000000" w:themeColor="text1"/>
          <w:szCs w:val="32"/>
          <w14:textFill>
            <w14:solidFill>
              <w14:schemeClr w14:val="tx1"/>
            </w14:solidFill>
          </w14:textFill>
        </w:rPr>
      </w:pPr>
      <w:r>
        <w:rPr>
          <w:rFonts w:hint="eastAsia" w:ascii="黑体" w:hAnsi="黑体"/>
          <w:color w:val="000000" w:themeColor="text1"/>
          <w:szCs w:val="32"/>
          <w14:textFill>
            <w14:solidFill>
              <w14:schemeClr w14:val="tx1"/>
            </w14:solidFill>
          </w14:textFill>
        </w:rPr>
        <w:br w:type="page"/>
      </w:r>
    </w:p>
    <w:p>
      <w:pPr>
        <w:pStyle w:val="4"/>
        <w:spacing w:before="0" w:after="0" w:line="560" w:lineRule="exact"/>
        <w:jc w:val="center"/>
        <w:rPr>
          <w:rFonts w:ascii="宋体" w:hAnsi="宋体" w:eastAsia="宋体" w:cs="宋体"/>
          <w:bCs/>
          <w:color w:val="000000" w:themeColor="text1"/>
          <w:szCs w:val="32"/>
          <w14:textFill>
            <w14:solidFill>
              <w14:schemeClr w14:val="tx1"/>
            </w14:solidFill>
          </w14:textFill>
        </w:rPr>
      </w:pPr>
      <w:r>
        <w:rPr>
          <w:rFonts w:hint="eastAsia" w:ascii="宋体" w:hAnsi="宋体" w:eastAsia="宋体" w:cs="宋体"/>
          <w:bCs/>
          <w:color w:val="000000" w:themeColor="text1"/>
          <w:szCs w:val="32"/>
          <w14:textFill>
            <w14:solidFill>
              <w14:schemeClr w14:val="tx1"/>
            </w14:solidFill>
          </w14:textFill>
        </w:rPr>
        <w:t>第六篇  响应文件格式要求</w:t>
      </w:r>
      <w:bookmarkEnd w:id="78"/>
      <w:bookmarkEnd w:id="79"/>
    </w:p>
    <w:p>
      <w:pPr>
        <w:rPr>
          <w:color w:val="000000" w:themeColor="text1"/>
          <w14:textFill>
            <w14:solidFill>
              <w14:schemeClr w14:val="tx1"/>
            </w14:solidFill>
          </w14:textFill>
        </w:rPr>
      </w:pPr>
    </w:p>
    <w:p>
      <w:pPr>
        <w:spacing w:line="360" w:lineRule="auto"/>
        <w:ind w:firstLine="560" w:firstLineChars="200"/>
        <w:rPr>
          <w:color w:val="000000" w:themeColor="text1"/>
          <w:szCs w:val="28"/>
          <w14:textFill>
            <w14:solidFill>
              <w14:schemeClr w14:val="tx1"/>
            </w14:solidFill>
          </w14:textFill>
        </w:rPr>
      </w:pPr>
      <w:r>
        <w:rPr>
          <w:color w:val="000000" w:themeColor="text1"/>
          <w:szCs w:val="28"/>
          <w14:textFill>
            <w14:solidFill>
              <w14:schemeClr w14:val="tx1"/>
            </w14:solidFill>
          </w14:textFill>
        </w:rPr>
        <w:t>一、经济部分</w:t>
      </w:r>
    </w:p>
    <w:p>
      <w:pPr>
        <w:spacing w:line="360" w:lineRule="auto"/>
        <w:ind w:firstLine="560" w:firstLineChars="200"/>
        <w:rPr>
          <w:color w:val="000000" w:themeColor="text1"/>
          <w:szCs w:val="28"/>
          <w14:textFill>
            <w14:solidFill>
              <w14:schemeClr w14:val="tx1"/>
            </w14:solidFill>
          </w14:textFill>
        </w:rPr>
      </w:pPr>
      <w:r>
        <w:rPr>
          <w:color w:val="000000" w:themeColor="text1"/>
          <w:szCs w:val="28"/>
          <w14:textFill>
            <w14:solidFill>
              <w14:schemeClr w14:val="tx1"/>
            </w14:solidFill>
          </w14:textFill>
        </w:rPr>
        <w:t>（一）竞争性报价函</w:t>
      </w:r>
    </w:p>
    <w:p>
      <w:pPr>
        <w:spacing w:line="360" w:lineRule="auto"/>
        <w:ind w:firstLine="560" w:firstLineChars="200"/>
        <w:rPr>
          <w:color w:val="000000" w:themeColor="text1"/>
          <w:szCs w:val="28"/>
          <w14:textFill>
            <w14:solidFill>
              <w14:schemeClr w14:val="tx1"/>
            </w14:solidFill>
          </w14:textFill>
        </w:rPr>
      </w:pPr>
      <w:r>
        <w:rPr>
          <w:color w:val="000000" w:themeColor="text1"/>
          <w:szCs w:val="28"/>
          <w14:textFill>
            <w14:solidFill>
              <w14:schemeClr w14:val="tx1"/>
            </w14:solidFill>
          </w14:textFill>
        </w:rPr>
        <w:t>（二）明细报价表</w:t>
      </w:r>
    </w:p>
    <w:p>
      <w:pPr>
        <w:spacing w:line="360" w:lineRule="auto"/>
        <w:ind w:firstLine="560" w:firstLineChars="200"/>
        <w:rPr>
          <w:color w:val="000000" w:themeColor="text1"/>
          <w:szCs w:val="28"/>
          <w14:textFill>
            <w14:solidFill>
              <w14:schemeClr w14:val="tx1"/>
            </w14:solidFill>
          </w14:textFill>
        </w:rPr>
      </w:pPr>
      <w:r>
        <w:rPr>
          <w:color w:val="000000" w:themeColor="text1"/>
          <w:szCs w:val="28"/>
          <w14:textFill>
            <w14:solidFill>
              <w14:schemeClr w14:val="tx1"/>
            </w14:solidFill>
          </w14:textFill>
        </w:rPr>
        <w:t>二、技术部分</w:t>
      </w:r>
    </w:p>
    <w:p>
      <w:pPr>
        <w:spacing w:line="360" w:lineRule="auto"/>
        <w:ind w:firstLine="560" w:firstLineChars="200"/>
        <w:rPr>
          <w:color w:val="000000" w:themeColor="text1"/>
          <w:szCs w:val="28"/>
          <w14:textFill>
            <w14:solidFill>
              <w14:schemeClr w14:val="tx1"/>
            </w14:solidFill>
          </w14:textFill>
        </w:rPr>
      </w:pPr>
      <w:r>
        <w:rPr>
          <w:color w:val="000000" w:themeColor="text1"/>
          <w:szCs w:val="28"/>
          <w14:textFill>
            <w14:solidFill>
              <w14:schemeClr w14:val="tx1"/>
            </w14:solidFill>
          </w14:textFill>
        </w:rPr>
        <w:t>技术响应偏离表</w:t>
      </w:r>
    </w:p>
    <w:p>
      <w:pPr>
        <w:spacing w:line="360" w:lineRule="auto"/>
        <w:ind w:firstLine="560" w:firstLineChars="200"/>
        <w:rPr>
          <w:color w:val="000000" w:themeColor="text1"/>
          <w:szCs w:val="28"/>
          <w14:textFill>
            <w14:solidFill>
              <w14:schemeClr w14:val="tx1"/>
            </w14:solidFill>
          </w14:textFill>
        </w:rPr>
      </w:pPr>
      <w:r>
        <w:rPr>
          <w:color w:val="000000" w:themeColor="text1"/>
          <w:szCs w:val="28"/>
          <w14:textFill>
            <w14:solidFill>
              <w14:schemeClr w14:val="tx1"/>
            </w14:solidFill>
          </w14:textFill>
        </w:rPr>
        <w:t>三、服务部分</w:t>
      </w:r>
    </w:p>
    <w:p>
      <w:pPr>
        <w:spacing w:line="360" w:lineRule="auto"/>
        <w:ind w:firstLine="560" w:firstLineChars="200"/>
        <w:rPr>
          <w:color w:val="000000" w:themeColor="text1"/>
          <w:szCs w:val="28"/>
          <w14:textFill>
            <w14:solidFill>
              <w14:schemeClr w14:val="tx1"/>
            </w14:solidFill>
          </w14:textFill>
        </w:rPr>
      </w:pPr>
      <w:r>
        <w:rPr>
          <w:color w:val="000000" w:themeColor="text1"/>
          <w:szCs w:val="28"/>
          <w14:textFill>
            <w14:solidFill>
              <w14:schemeClr w14:val="tx1"/>
            </w14:solidFill>
          </w14:textFill>
        </w:rPr>
        <w:t>服务响应偏离表</w:t>
      </w:r>
    </w:p>
    <w:p>
      <w:pPr>
        <w:spacing w:line="360" w:lineRule="auto"/>
        <w:ind w:firstLine="560" w:firstLineChars="200"/>
        <w:rPr>
          <w:color w:val="000000" w:themeColor="text1"/>
          <w:szCs w:val="28"/>
          <w14:textFill>
            <w14:solidFill>
              <w14:schemeClr w14:val="tx1"/>
            </w14:solidFill>
          </w14:textFill>
        </w:rPr>
      </w:pPr>
      <w:r>
        <w:rPr>
          <w:color w:val="000000" w:themeColor="text1"/>
          <w:szCs w:val="28"/>
          <w14:textFill>
            <w14:solidFill>
              <w14:schemeClr w14:val="tx1"/>
            </w14:solidFill>
          </w14:textFill>
        </w:rPr>
        <w:t>四、资格条件及其他</w:t>
      </w:r>
    </w:p>
    <w:p>
      <w:pPr>
        <w:snapToGrid w:val="0"/>
        <w:spacing w:line="360" w:lineRule="auto"/>
        <w:ind w:firstLine="560" w:firstLineChars="200"/>
        <w:rPr>
          <w:color w:val="000000" w:themeColor="text1"/>
          <w:szCs w:val="28"/>
          <w14:textFill>
            <w14:solidFill>
              <w14:schemeClr w14:val="tx1"/>
            </w14:solidFill>
          </w14:textFill>
        </w:rPr>
      </w:pPr>
      <w:r>
        <w:rPr>
          <w:color w:val="000000" w:themeColor="text1"/>
          <w:szCs w:val="28"/>
          <w14:textFill>
            <w14:solidFill>
              <w14:schemeClr w14:val="tx1"/>
            </w14:solidFill>
          </w14:textFill>
        </w:rPr>
        <w:t>（一）营业执照（副本）或事业单位法人证书（副本）复印件</w:t>
      </w:r>
    </w:p>
    <w:p>
      <w:pPr>
        <w:snapToGrid w:val="0"/>
        <w:spacing w:line="360" w:lineRule="auto"/>
        <w:ind w:firstLine="560" w:firstLineChars="200"/>
        <w:rPr>
          <w:color w:val="000000" w:themeColor="text1"/>
          <w:szCs w:val="28"/>
          <w14:textFill>
            <w14:solidFill>
              <w14:schemeClr w14:val="tx1"/>
            </w14:solidFill>
          </w14:textFill>
        </w:rPr>
      </w:pPr>
      <w:r>
        <w:rPr>
          <w:color w:val="000000" w:themeColor="text1"/>
          <w:szCs w:val="28"/>
          <w14:textFill>
            <w14:solidFill>
              <w14:schemeClr w14:val="tx1"/>
            </w14:solidFill>
          </w14:textFill>
        </w:rPr>
        <w:t>（二）组织机构代码证复印件</w:t>
      </w:r>
    </w:p>
    <w:p>
      <w:pPr>
        <w:snapToGrid w:val="0"/>
        <w:spacing w:line="360" w:lineRule="auto"/>
        <w:ind w:firstLine="560" w:firstLineChars="200"/>
        <w:rPr>
          <w:color w:val="000000" w:themeColor="text1"/>
          <w:szCs w:val="28"/>
          <w14:textFill>
            <w14:solidFill>
              <w14:schemeClr w14:val="tx1"/>
            </w14:solidFill>
          </w14:textFill>
        </w:rPr>
      </w:pPr>
      <w:r>
        <w:rPr>
          <w:color w:val="000000" w:themeColor="text1"/>
          <w:szCs w:val="28"/>
          <w14:textFill>
            <w14:solidFill>
              <w14:schemeClr w14:val="tx1"/>
            </w14:solidFill>
          </w14:textFill>
        </w:rPr>
        <w:t>（三）法定代表人身份证明书（格式）</w:t>
      </w:r>
    </w:p>
    <w:p>
      <w:pPr>
        <w:snapToGrid w:val="0"/>
        <w:spacing w:line="360" w:lineRule="auto"/>
        <w:ind w:firstLine="560" w:firstLineChars="200"/>
        <w:rPr>
          <w:color w:val="000000" w:themeColor="text1"/>
          <w:szCs w:val="28"/>
          <w14:textFill>
            <w14:solidFill>
              <w14:schemeClr w14:val="tx1"/>
            </w14:solidFill>
          </w14:textFill>
        </w:rPr>
      </w:pPr>
      <w:r>
        <w:rPr>
          <w:color w:val="000000" w:themeColor="text1"/>
          <w:szCs w:val="28"/>
          <w14:textFill>
            <w14:solidFill>
              <w14:schemeClr w14:val="tx1"/>
            </w14:solidFill>
          </w14:textFill>
        </w:rPr>
        <w:t>（四）法定代表人授权委托书（格式）</w:t>
      </w:r>
    </w:p>
    <w:p>
      <w:pPr>
        <w:snapToGrid w:val="0"/>
        <w:spacing w:line="360" w:lineRule="auto"/>
        <w:ind w:firstLine="560" w:firstLineChars="200"/>
        <w:rPr>
          <w:color w:val="000000" w:themeColor="text1"/>
          <w:szCs w:val="28"/>
          <w14:textFill>
            <w14:solidFill>
              <w14:schemeClr w14:val="tx1"/>
            </w14:solidFill>
          </w14:textFill>
        </w:rPr>
      </w:pPr>
      <w:r>
        <w:rPr>
          <w:color w:val="000000" w:themeColor="text1"/>
          <w:szCs w:val="28"/>
          <w14:textFill>
            <w14:solidFill>
              <w14:schemeClr w14:val="tx1"/>
            </w14:solidFill>
          </w14:textFill>
        </w:rPr>
        <w:t>（五）2020或2021年度财务状况报告（表）或其基本开户银行出具的资信证明复印件，本年度新成立或成立不满一年的组织和自然人无法提供财务状况报告（表）的，可提供银行出具的资信证明复印件。</w:t>
      </w:r>
    </w:p>
    <w:p>
      <w:pPr>
        <w:snapToGrid w:val="0"/>
        <w:spacing w:line="360" w:lineRule="auto"/>
        <w:ind w:firstLine="560" w:firstLineChars="200"/>
        <w:rPr>
          <w:color w:val="000000" w:themeColor="text1"/>
          <w:szCs w:val="28"/>
          <w14:textFill>
            <w14:solidFill>
              <w14:schemeClr w14:val="tx1"/>
            </w14:solidFill>
          </w14:textFill>
        </w:rPr>
      </w:pPr>
      <w:r>
        <w:rPr>
          <w:color w:val="000000" w:themeColor="text1"/>
          <w:szCs w:val="28"/>
          <w14:textFill>
            <w14:solidFill>
              <w14:schemeClr w14:val="tx1"/>
            </w14:solidFill>
          </w14:textFill>
        </w:rPr>
        <w:t>（六）书面声明（格式）</w:t>
      </w:r>
    </w:p>
    <w:p>
      <w:pPr>
        <w:snapToGrid w:val="0"/>
        <w:spacing w:line="360" w:lineRule="auto"/>
        <w:ind w:firstLine="560" w:firstLineChars="200"/>
        <w:rPr>
          <w:color w:val="000000" w:themeColor="text1"/>
          <w:szCs w:val="28"/>
          <w14:textFill>
            <w14:solidFill>
              <w14:schemeClr w14:val="tx1"/>
            </w14:solidFill>
          </w14:textFill>
        </w:rPr>
      </w:pPr>
      <w:r>
        <w:rPr>
          <w:color w:val="000000" w:themeColor="text1"/>
          <w:szCs w:val="28"/>
          <w14:textFill>
            <w14:solidFill>
              <w14:schemeClr w14:val="tx1"/>
            </w14:solidFill>
          </w14:textFill>
        </w:rPr>
        <w:t>（七）税务登记证（副本）复印件</w:t>
      </w:r>
    </w:p>
    <w:p>
      <w:pPr>
        <w:snapToGrid w:val="0"/>
        <w:spacing w:line="360" w:lineRule="auto"/>
        <w:ind w:firstLine="560" w:firstLineChars="200"/>
        <w:rPr>
          <w:color w:val="000000" w:themeColor="text1"/>
          <w:szCs w:val="28"/>
          <w14:textFill>
            <w14:solidFill>
              <w14:schemeClr w14:val="tx1"/>
            </w14:solidFill>
          </w14:textFill>
        </w:rPr>
      </w:pPr>
      <w:r>
        <w:rPr>
          <w:color w:val="000000" w:themeColor="text1"/>
          <w:szCs w:val="28"/>
          <w14:textFill>
            <w14:solidFill>
              <w14:schemeClr w14:val="tx1"/>
            </w14:solidFill>
          </w14:textFill>
        </w:rPr>
        <w:t>（八）缴纳社会保障金的证明材料复印件（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pPr>
        <w:spacing w:line="360" w:lineRule="auto"/>
        <w:ind w:firstLine="560" w:firstLineChars="200"/>
        <w:rPr>
          <w:color w:val="000000" w:themeColor="text1"/>
          <w:szCs w:val="28"/>
          <w14:textFill>
            <w14:solidFill>
              <w14:schemeClr w14:val="tx1"/>
            </w14:solidFill>
          </w14:textFill>
        </w:rPr>
      </w:pPr>
      <w:r>
        <w:rPr>
          <w:color w:val="000000" w:themeColor="text1"/>
          <w:szCs w:val="28"/>
          <w14:textFill>
            <w14:solidFill>
              <w14:schemeClr w14:val="tx1"/>
            </w14:solidFill>
          </w14:textFill>
        </w:rPr>
        <w:t>说明：供应商按“多证合一”登记制度办理营业执照的，</w:t>
      </w:r>
      <w:r>
        <w:rPr>
          <w:color w:val="000000" w:themeColor="text1"/>
          <w:kern w:val="0"/>
          <w:szCs w:val="28"/>
          <w14:textFill>
            <w14:solidFill>
              <w14:schemeClr w14:val="tx1"/>
            </w14:solidFill>
          </w14:textFill>
        </w:rPr>
        <w:t>组织机构代码证、税务登记证（副本）和社会保险登记证</w:t>
      </w:r>
      <w:r>
        <w:rPr>
          <w:color w:val="000000" w:themeColor="text1"/>
          <w:szCs w:val="28"/>
          <w14:textFill>
            <w14:solidFill>
              <w14:schemeClr w14:val="tx1"/>
            </w14:solidFill>
          </w14:textFill>
        </w:rPr>
        <w:t>以供应商所提供的营业执照（副本）复印件为准。</w:t>
      </w:r>
    </w:p>
    <w:p>
      <w:pPr>
        <w:spacing w:line="360" w:lineRule="auto"/>
        <w:ind w:firstLine="560" w:firstLineChars="200"/>
        <w:rPr>
          <w:color w:val="000000" w:themeColor="text1"/>
          <w:szCs w:val="28"/>
          <w14:textFill>
            <w14:solidFill>
              <w14:schemeClr w14:val="tx1"/>
            </w14:solidFill>
          </w14:textFill>
        </w:rPr>
      </w:pPr>
      <w:r>
        <w:rPr>
          <w:color w:val="000000" w:themeColor="text1"/>
          <w:szCs w:val="28"/>
          <w14:textFill>
            <w14:solidFill>
              <w14:schemeClr w14:val="tx1"/>
            </w14:solidFill>
          </w14:textFill>
        </w:rPr>
        <w:t>五、其他应提供的资料</w:t>
      </w:r>
    </w:p>
    <w:p>
      <w:pPr>
        <w:spacing w:line="360" w:lineRule="auto"/>
        <w:ind w:firstLine="560" w:firstLineChars="200"/>
        <w:rPr>
          <w:color w:val="000000" w:themeColor="text1"/>
          <w:szCs w:val="28"/>
          <w14:textFill>
            <w14:solidFill>
              <w14:schemeClr w14:val="tx1"/>
            </w14:solidFill>
          </w14:textFill>
        </w:rPr>
      </w:pPr>
      <w:r>
        <w:rPr>
          <w:color w:val="000000" w:themeColor="text1"/>
          <w:szCs w:val="28"/>
          <w14:textFill>
            <w14:solidFill>
              <w14:schemeClr w14:val="tx1"/>
            </w14:solidFill>
          </w14:textFill>
        </w:rPr>
        <w:t>（一）供应商小微企业证明文件、微型企业承诺书、监狱企业证明文件、残疾人福利性单位声明函</w:t>
      </w:r>
    </w:p>
    <w:p>
      <w:pPr>
        <w:spacing w:line="360" w:lineRule="auto"/>
        <w:ind w:firstLine="560" w:firstLineChars="200"/>
        <w:rPr>
          <w:color w:val="000000" w:themeColor="text1"/>
          <w:szCs w:val="28"/>
          <w14:textFill>
            <w14:solidFill>
              <w14:schemeClr w14:val="tx1"/>
            </w14:solidFill>
          </w14:textFill>
        </w:rPr>
      </w:pPr>
      <w:r>
        <w:rPr>
          <w:color w:val="000000" w:themeColor="text1"/>
          <w:szCs w:val="28"/>
          <w14:textFill>
            <w14:solidFill>
              <w14:schemeClr w14:val="tx1"/>
            </w14:solidFill>
          </w14:textFill>
        </w:rPr>
        <w:t>（二）其他与项目有关的资料（自附）</w:t>
      </w:r>
    </w:p>
    <w:p>
      <w:pPr>
        <w:snapToGrid w:val="0"/>
        <w:spacing w:line="360" w:lineRule="auto"/>
        <w:rPr>
          <w:color w:val="000000" w:themeColor="text1"/>
          <w:szCs w:val="28"/>
          <w:bdr w:val="single" w:color="auto" w:sz="4" w:space="0"/>
          <w14:textFill>
            <w14:solidFill>
              <w14:schemeClr w14:val="tx1"/>
            </w14:solidFill>
          </w14:textFill>
        </w:rPr>
        <w:sectPr>
          <w:pgSz w:w="11907" w:h="16840"/>
          <w:pgMar w:top="1134" w:right="1191" w:bottom="1134" w:left="1304" w:header="851" w:footer="992" w:gutter="0"/>
          <w:pgNumType w:fmt="numberInDash"/>
          <w:cols w:space="720" w:num="1"/>
          <w:docGrid w:linePitch="380" w:charSpace="-5735"/>
        </w:sectPr>
      </w:pPr>
    </w:p>
    <w:p>
      <w:pPr>
        <w:pStyle w:val="5"/>
        <w:spacing w:before="0" w:after="0" w:line="360" w:lineRule="auto"/>
        <w:ind w:firstLine="560" w:firstLineChars="200"/>
        <w:rPr>
          <w:rFonts w:ascii="宋体" w:hAnsi="宋体" w:cs="宋体"/>
          <w:b w:val="0"/>
          <w:color w:val="000000" w:themeColor="text1"/>
          <w:sz w:val="28"/>
          <w:szCs w:val="28"/>
          <w14:textFill>
            <w14:solidFill>
              <w14:schemeClr w14:val="tx1"/>
            </w14:solidFill>
          </w14:textFill>
        </w:rPr>
      </w:pPr>
      <w:bookmarkStart w:id="80" w:name="_Toc313888360"/>
      <w:bookmarkStart w:id="81" w:name="_Toc2918"/>
      <w:bookmarkStart w:id="82" w:name="_Toc342913419"/>
      <w:bookmarkStart w:id="83" w:name="_Toc313008356"/>
      <w:bookmarkStart w:id="84" w:name="_Toc283382454"/>
      <w:bookmarkStart w:id="85" w:name="_Toc12789073"/>
      <w:r>
        <w:rPr>
          <w:rFonts w:hint="eastAsia" w:ascii="宋体" w:hAnsi="宋体" w:cs="宋体"/>
          <w:b w:val="0"/>
          <w:color w:val="000000" w:themeColor="text1"/>
          <w:sz w:val="28"/>
          <w:szCs w:val="28"/>
          <w14:textFill>
            <w14:solidFill>
              <w14:schemeClr w14:val="tx1"/>
            </w14:solidFill>
          </w14:textFill>
        </w:rPr>
        <w:t>一、经济部分</w:t>
      </w:r>
      <w:bookmarkEnd w:id="80"/>
      <w:bookmarkEnd w:id="81"/>
      <w:bookmarkEnd w:id="82"/>
      <w:bookmarkEnd w:id="83"/>
    </w:p>
    <w:bookmarkEnd w:id="84"/>
    <w:bookmarkEnd w:id="85"/>
    <w:p>
      <w:pPr>
        <w:tabs>
          <w:tab w:val="left" w:pos="6300"/>
        </w:tabs>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（一）竞争性报价函</w:t>
      </w:r>
    </w:p>
    <w:p>
      <w:pPr>
        <w:tabs>
          <w:tab w:val="left" w:pos="6300"/>
        </w:tabs>
        <w:snapToGrid w:val="0"/>
        <w:spacing w:line="360" w:lineRule="auto"/>
        <w:jc w:val="center"/>
        <w:outlineLvl w:val="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竞争性报价函</w:t>
      </w:r>
    </w:p>
    <w:p>
      <w:pPr>
        <w:tabs>
          <w:tab w:val="left" w:pos="6300"/>
        </w:tabs>
        <w:snapToGrid w:val="0"/>
        <w:spacing w:line="360" w:lineRule="auto"/>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u w:val="single"/>
          <w14:textFill>
            <w14:solidFill>
              <w14:schemeClr w14:val="tx1"/>
            </w14:solidFill>
          </w14:textFill>
        </w:rPr>
        <w:t>（采购代理机构名称）</w:t>
      </w:r>
      <w:r>
        <w:rPr>
          <w:rFonts w:hint="eastAsia" w:ascii="宋体" w:hAnsi="宋体" w:cs="宋体"/>
          <w:color w:val="000000" w:themeColor="text1"/>
          <w:szCs w:val="28"/>
          <w14:textFill>
            <w14:solidFill>
              <w14:schemeClr w14:val="tx1"/>
            </w14:solidFill>
          </w14:textFill>
        </w:rPr>
        <w:t>：</w:t>
      </w:r>
    </w:p>
    <w:p>
      <w:pPr>
        <w:tabs>
          <w:tab w:val="left" w:pos="6300"/>
        </w:tabs>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我方收到____________________________（谈判项目名称）的竞争性谈判文件，经详细研究，决定参加该谈判项目的竞争谈判。</w:t>
      </w:r>
    </w:p>
    <w:p>
      <w:pPr>
        <w:tabs>
          <w:tab w:val="left" w:pos="6300"/>
        </w:tabs>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1.愿意按照竞争性谈判文件中的一切要求，提供本项目的交货及技术服务，初始报价为人民币大写：</w:t>
      </w:r>
      <w:r>
        <w:rPr>
          <w:rFonts w:hint="eastAsia" w:ascii="宋体" w:hAnsi="宋体" w:cs="宋体"/>
          <w:color w:val="000000" w:themeColor="text1"/>
          <w:szCs w:val="28"/>
          <w:u w:val="single"/>
          <w14:textFill>
            <w14:solidFill>
              <w14:schemeClr w14:val="tx1"/>
            </w14:solidFill>
          </w14:textFill>
        </w:rPr>
        <w:t xml:space="preserve">      </w:t>
      </w:r>
      <w:r>
        <w:rPr>
          <w:rFonts w:hint="eastAsia" w:ascii="宋体" w:hAnsi="宋体" w:cs="宋体"/>
          <w:color w:val="000000" w:themeColor="text1"/>
          <w:szCs w:val="28"/>
          <w14:textFill>
            <w14:solidFill>
              <w14:schemeClr w14:val="tx1"/>
            </w14:solidFill>
          </w14:textFill>
        </w:rPr>
        <w:t>元整；人民币小写：</w:t>
      </w:r>
      <w:r>
        <w:rPr>
          <w:rFonts w:hint="eastAsia" w:ascii="宋体" w:hAnsi="宋体" w:cs="宋体"/>
          <w:color w:val="000000" w:themeColor="text1"/>
          <w:szCs w:val="28"/>
          <w:u w:val="single"/>
          <w14:textFill>
            <w14:solidFill>
              <w14:schemeClr w14:val="tx1"/>
            </w14:solidFill>
          </w14:textFill>
        </w:rPr>
        <w:t xml:space="preserve">    </w:t>
      </w:r>
      <w:r>
        <w:rPr>
          <w:rFonts w:hint="eastAsia" w:ascii="宋体" w:hAnsi="宋体" w:cs="宋体"/>
          <w:color w:val="000000" w:themeColor="text1"/>
          <w:szCs w:val="28"/>
          <w14:textFill>
            <w14:solidFill>
              <w14:schemeClr w14:val="tx1"/>
            </w14:solidFill>
          </w14:textFill>
        </w:rPr>
        <w:t>元。以我公司最后报价为准。</w:t>
      </w:r>
    </w:p>
    <w:p>
      <w:pPr>
        <w:tabs>
          <w:tab w:val="left" w:pos="6300"/>
        </w:tabs>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2.我方现提交的响应文件为：响应文件正本</w:t>
      </w:r>
      <w:r>
        <w:rPr>
          <w:rFonts w:hint="eastAsia" w:ascii="宋体" w:hAnsi="宋体" w:cs="宋体"/>
          <w:color w:val="000000" w:themeColor="text1"/>
          <w:szCs w:val="28"/>
          <w:u w:val="single"/>
          <w14:textFill>
            <w14:solidFill>
              <w14:schemeClr w14:val="tx1"/>
            </w14:solidFill>
          </w14:textFill>
        </w:rPr>
        <w:t xml:space="preserve">   </w:t>
      </w:r>
      <w:r>
        <w:rPr>
          <w:rFonts w:hint="eastAsia" w:ascii="宋体" w:hAnsi="宋体" w:cs="宋体"/>
          <w:color w:val="000000" w:themeColor="text1"/>
          <w:szCs w:val="28"/>
          <w14:textFill>
            <w14:solidFill>
              <w14:schemeClr w14:val="tx1"/>
            </w14:solidFill>
          </w14:textFill>
        </w:rPr>
        <w:t>份，副本</w:t>
      </w:r>
      <w:r>
        <w:rPr>
          <w:rFonts w:hint="eastAsia" w:ascii="宋体" w:hAnsi="宋体" w:cs="宋体"/>
          <w:color w:val="000000" w:themeColor="text1"/>
          <w:szCs w:val="28"/>
          <w:u w:val="single"/>
          <w14:textFill>
            <w14:solidFill>
              <w14:schemeClr w14:val="tx1"/>
            </w14:solidFill>
          </w14:textFill>
        </w:rPr>
        <w:t xml:space="preserve">   </w:t>
      </w:r>
      <w:r>
        <w:rPr>
          <w:rFonts w:hint="eastAsia" w:ascii="宋体" w:hAnsi="宋体" w:cs="宋体"/>
          <w:color w:val="000000" w:themeColor="text1"/>
          <w:szCs w:val="28"/>
          <w14:textFill>
            <w14:solidFill>
              <w14:schemeClr w14:val="tx1"/>
            </w14:solidFill>
          </w14:textFill>
        </w:rPr>
        <w:t>份，电子文档</w:t>
      </w:r>
      <w:r>
        <w:rPr>
          <w:rFonts w:hint="eastAsia" w:ascii="宋体" w:hAnsi="宋体" w:cs="宋体"/>
          <w:color w:val="000000" w:themeColor="text1"/>
          <w:szCs w:val="28"/>
          <w:u w:val="single"/>
          <w14:textFill>
            <w14:solidFill>
              <w14:schemeClr w14:val="tx1"/>
            </w14:solidFill>
          </w14:textFill>
        </w:rPr>
        <w:t xml:space="preserve">   </w:t>
      </w:r>
      <w:r>
        <w:rPr>
          <w:rFonts w:hint="eastAsia" w:ascii="宋体" w:hAnsi="宋体" w:cs="宋体"/>
          <w:color w:val="000000" w:themeColor="text1"/>
          <w:szCs w:val="28"/>
          <w14:textFill>
            <w14:solidFill>
              <w14:schemeClr w14:val="tx1"/>
            </w14:solidFill>
          </w14:textFill>
        </w:rPr>
        <w:t>份。</w:t>
      </w:r>
    </w:p>
    <w:p>
      <w:pPr>
        <w:tabs>
          <w:tab w:val="left" w:pos="6300"/>
        </w:tabs>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3.我方承诺：本次谈判的有效期为90天。</w:t>
      </w:r>
    </w:p>
    <w:p>
      <w:pPr>
        <w:tabs>
          <w:tab w:val="left" w:pos="6300"/>
        </w:tabs>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4.我方完全理解和接受贵方竞争性谈判文件的一切规定和要求及谈判评审办法。</w:t>
      </w:r>
    </w:p>
    <w:p>
      <w:pPr>
        <w:tabs>
          <w:tab w:val="left" w:pos="6300"/>
        </w:tabs>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5.在整个竞争性谈判过程中，我方若有违规行为，接受按照《中华人民共和国政府采购法》和《竞争性谈判文件》之规定给予惩罚。</w:t>
      </w:r>
    </w:p>
    <w:p>
      <w:pPr>
        <w:tabs>
          <w:tab w:val="left" w:pos="6300"/>
        </w:tabs>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6.我方若成为成交供应商，将按照最终谈判结果签订合同，并且严格履行合同义务。本承诺函将成为合同不可分割的一部分，与合同具有同等的法律效力。</w:t>
      </w:r>
    </w:p>
    <w:p>
      <w:pPr>
        <w:tabs>
          <w:tab w:val="left" w:pos="6300"/>
        </w:tabs>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7.我方同意按竞争性谈判文件规定，交纳竞争性谈判文件要求的保证金。如果我方成为成交供应商，保证在接到成交通知书后，向采购代理机构和交易中心交纳竞争性谈判文件规定的采购代理服务费和交易服务费。</w:t>
      </w:r>
    </w:p>
    <w:p>
      <w:pPr>
        <w:tabs>
          <w:tab w:val="left" w:pos="6300"/>
        </w:tabs>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8.我方未为采购项目提供整体设计、规范编制或者项目管理、监理、检测等服务。</w:t>
      </w:r>
    </w:p>
    <w:p>
      <w:pPr>
        <w:tabs>
          <w:tab w:val="left" w:pos="6300"/>
        </w:tabs>
        <w:snapToGrid w:val="0"/>
        <w:spacing w:line="360" w:lineRule="auto"/>
        <w:ind w:firstLine="560" w:firstLineChars="200"/>
        <w:rPr>
          <w:rFonts w:ascii="宋体" w:hAnsi="宋体" w:cs="宋体"/>
          <w:color w:val="000000" w:themeColor="text1"/>
          <w:szCs w:val="28"/>
          <w14:textFill>
            <w14:solidFill>
              <w14:schemeClr w14:val="tx1"/>
            </w14:solidFill>
          </w14:textFill>
        </w:rPr>
      </w:pPr>
    </w:p>
    <w:p>
      <w:pPr>
        <w:tabs>
          <w:tab w:val="left" w:pos="6300"/>
        </w:tabs>
        <w:snapToGrid w:val="0"/>
        <w:spacing w:line="360" w:lineRule="auto"/>
        <w:ind w:firstLine="570"/>
        <w:rPr>
          <w:rFonts w:ascii="宋体" w:hAnsi="宋体" w:cs="宋体"/>
          <w:color w:val="000000" w:themeColor="text1"/>
          <w:szCs w:val="28"/>
          <w14:textFill>
            <w14:solidFill>
              <w14:schemeClr w14:val="tx1"/>
            </w14:solidFill>
          </w14:textFill>
        </w:rPr>
      </w:pPr>
    </w:p>
    <w:p>
      <w:pPr>
        <w:tabs>
          <w:tab w:val="left" w:pos="6300"/>
        </w:tabs>
        <w:snapToGrid w:val="0"/>
        <w:spacing w:line="360" w:lineRule="auto"/>
        <w:ind w:firstLine="57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供应商（公章）：</w:t>
      </w:r>
    </w:p>
    <w:p>
      <w:pPr>
        <w:tabs>
          <w:tab w:val="left" w:pos="6300"/>
        </w:tabs>
        <w:snapToGrid w:val="0"/>
        <w:spacing w:line="360" w:lineRule="auto"/>
        <w:ind w:firstLine="57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 xml:space="preserve">地址：  </w:t>
      </w:r>
    </w:p>
    <w:p>
      <w:pPr>
        <w:tabs>
          <w:tab w:val="left" w:pos="6300"/>
        </w:tabs>
        <w:snapToGrid w:val="0"/>
        <w:spacing w:line="360" w:lineRule="auto"/>
        <w:ind w:firstLine="57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电话：                           传真：</w:t>
      </w:r>
    </w:p>
    <w:p>
      <w:pPr>
        <w:tabs>
          <w:tab w:val="left" w:pos="6300"/>
        </w:tabs>
        <w:snapToGrid w:val="0"/>
        <w:spacing w:line="360" w:lineRule="auto"/>
        <w:ind w:firstLine="57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网址：                           邮编：</w:t>
      </w:r>
    </w:p>
    <w:p>
      <w:pPr>
        <w:tabs>
          <w:tab w:val="left" w:pos="6300"/>
        </w:tabs>
        <w:snapToGrid w:val="0"/>
        <w:spacing w:line="360" w:lineRule="auto"/>
        <w:ind w:firstLine="57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联系人：</w:t>
      </w:r>
    </w:p>
    <w:p>
      <w:pPr>
        <w:snapToGrid w:val="0"/>
        <w:spacing w:line="360" w:lineRule="auto"/>
        <w:ind w:firstLine="560" w:firstLineChars="200"/>
        <w:rPr>
          <w:rFonts w:ascii="宋体" w:hAnsi="宋体" w:cs="宋体"/>
          <w:color w:val="000000" w:themeColor="text1"/>
          <w:szCs w:val="28"/>
          <w14:textFill>
            <w14:solidFill>
              <w14:schemeClr w14:val="tx1"/>
            </w14:solidFill>
          </w14:textFill>
        </w:rPr>
        <w:sectPr>
          <w:pgSz w:w="11907" w:h="16840"/>
          <w:pgMar w:top="1134" w:right="1304" w:bottom="1134" w:left="1304" w:header="851" w:footer="992" w:gutter="0"/>
          <w:pgNumType w:fmt="numberInDash"/>
          <w:cols w:space="720" w:num="1"/>
          <w:docGrid w:linePitch="380" w:charSpace="-5735"/>
        </w:sectPr>
      </w:pPr>
      <w:r>
        <w:rPr>
          <w:rFonts w:hint="eastAsia" w:ascii="宋体" w:hAnsi="宋体" w:cs="宋体"/>
          <w:color w:val="000000" w:themeColor="text1"/>
          <w:szCs w:val="28"/>
          <w14:textFill>
            <w14:solidFill>
              <w14:schemeClr w14:val="tx1"/>
            </w14:solidFill>
          </w14:textFill>
        </w:rPr>
        <w:t xml:space="preserve">                               年   月   日</w:t>
      </w:r>
    </w:p>
    <w:p>
      <w:pPr>
        <w:tabs>
          <w:tab w:val="left" w:pos="2895"/>
        </w:tabs>
        <w:spacing w:line="560" w:lineRule="exact"/>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（二）明细报价表</w:t>
      </w:r>
    </w:p>
    <w:p>
      <w:pPr>
        <w:spacing w:line="560" w:lineRule="exact"/>
        <w:jc w:val="center"/>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明细报价表</w:t>
      </w:r>
    </w:p>
    <w:p>
      <w:pPr>
        <w:spacing w:line="560" w:lineRule="exact"/>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项目号：                                  谈判项目编号：</w:t>
      </w:r>
    </w:p>
    <w:p>
      <w:pPr>
        <w:spacing w:line="560" w:lineRule="exact"/>
        <w:rPr>
          <w:rFonts w:ascii="宋体" w:hAnsi="宋体" w:cs="宋体"/>
          <w:color w:val="000000" w:themeColor="text1"/>
          <w:szCs w:val="28"/>
          <w:u w:val="single"/>
          <w14:textFill>
            <w14:solidFill>
              <w14:schemeClr w14:val="tx1"/>
            </w14:solidFill>
          </w14:textFill>
        </w:rPr>
      </w:pPr>
      <w:r>
        <w:rPr>
          <w:rFonts w:hint="eastAsia" w:ascii="宋体" w:hAnsi="宋体" w:cs="宋体"/>
          <w:color w:val="000000" w:themeColor="text1"/>
          <w:szCs w:val="28"/>
          <w14:textFill>
            <w14:solidFill>
              <w14:schemeClr w14:val="tx1"/>
            </w14:solidFill>
          </w14:textFill>
        </w:rPr>
        <w:t>项目名称：</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701"/>
        <w:gridCol w:w="1701"/>
        <w:gridCol w:w="1392"/>
        <w:gridCol w:w="867"/>
        <w:gridCol w:w="1186"/>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1418" w:type="dxa"/>
            <w:vAlign w:val="center"/>
          </w:tcPr>
          <w:p>
            <w:pPr>
              <w:spacing w:line="560" w:lineRule="exact"/>
              <w:jc w:val="center"/>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产品名称</w:t>
            </w:r>
          </w:p>
        </w:tc>
        <w:tc>
          <w:tcPr>
            <w:tcW w:w="1701" w:type="dxa"/>
            <w:vAlign w:val="center"/>
          </w:tcPr>
          <w:p>
            <w:pPr>
              <w:spacing w:line="560" w:lineRule="exact"/>
              <w:jc w:val="center"/>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品牌及产地</w:t>
            </w:r>
          </w:p>
        </w:tc>
        <w:tc>
          <w:tcPr>
            <w:tcW w:w="1701" w:type="dxa"/>
            <w:vAlign w:val="center"/>
          </w:tcPr>
          <w:p>
            <w:pPr>
              <w:spacing w:line="560" w:lineRule="exact"/>
              <w:jc w:val="center"/>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制造商名称</w:t>
            </w:r>
          </w:p>
        </w:tc>
        <w:tc>
          <w:tcPr>
            <w:tcW w:w="1392" w:type="dxa"/>
            <w:vAlign w:val="center"/>
          </w:tcPr>
          <w:p>
            <w:pPr>
              <w:spacing w:line="560" w:lineRule="exact"/>
              <w:jc w:val="center"/>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规格型号</w:t>
            </w:r>
          </w:p>
        </w:tc>
        <w:tc>
          <w:tcPr>
            <w:tcW w:w="867" w:type="dxa"/>
            <w:vAlign w:val="center"/>
          </w:tcPr>
          <w:p>
            <w:pPr>
              <w:spacing w:line="560" w:lineRule="exact"/>
              <w:jc w:val="center"/>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数量</w:t>
            </w:r>
          </w:p>
        </w:tc>
        <w:tc>
          <w:tcPr>
            <w:tcW w:w="1186" w:type="dxa"/>
            <w:vAlign w:val="center"/>
          </w:tcPr>
          <w:p>
            <w:pPr>
              <w:pStyle w:val="33"/>
              <w:spacing w:line="560" w:lineRule="exact"/>
              <w:jc w:val="center"/>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单价</w:t>
            </w:r>
          </w:p>
          <w:p>
            <w:pPr>
              <w:pStyle w:val="33"/>
              <w:spacing w:line="560" w:lineRule="exact"/>
              <w:jc w:val="center"/>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   ）</w:t>
            </w:r>
          </w:p>
        </w:tc>
        <w:tc>
          <w:tcPr>
            <w:tcW w:w="1233" w:type="dxa"/>
            <w:vAlign w:val="center"/>
          </w:tcPr>
          <w:p>
            <w:pPr>
              <w:spacing w:line="560" w:lineRule="exact"/>
              <w:jc w:val="center"/>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合计</w:t>
            </w:r>
          </w:p>
          <w:p>
            <w:pPr>
              <w:spacing w:line="560" w:lineRule="exact"/>
              <w:jc w:val="center"/>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418" w:type="dxa"/>
            <w:tcBorders>
              <w:bottom w:val="single" w:color="auto" w:sz="4" w:space="0"/>
            </w:tcBorders>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1701" w:type="dxa"/>
            <w:tcBorders>
              <w:bottom w:val="single" w:color="auto" w:sz="4" w:space="0"/>
            </w:tcBorders>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1701" w:type="dxa"/>
            <w:tcBorders>
              <w:bottom w:val="single" w:color="auto" w:sz="4" w:space="0"/>
            </w:tcBorders>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1392" w:type="dxa"/>
            <w:tcBorders>
              <w:bottom w:val="single" w:color="auto" w:sz="4" w:space="0"/>
            </w:tcBorders>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867" w:type="dxa"/>
            <w:tcBorders>
              <w:bottom w:val="single" w:color="auto" w:sz="4" w:space="0"/>
            </w:tcBorders>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1186" w:type="dxa"/>
            <w:tcBorders>
              <w:bottom w:val="single" w:color="auto" w:sz="4" w:space="0"/>
            </w:tcBorders>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1233" w:type="dxa"/>
            <w:tcBorders>
              <w:bottom w:val="single" w:color="auto" w:sz="4" w:space="0"/>
            </w:tcBorders>
            <w:vAlign w:val="center"/>
          </w:tcPr>
          <w:p>
            <w:pPr>
              <w:spacing w:line="560" w:lineRule="exact"/>
              <w:jc w:val="center"/>
              <w:rPr>
                <w:rFonts w:ascii="宋体" w:hAnsi="宋体" w:cs="宋体"/>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418"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1701"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1701"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1392"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867"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1186"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1233"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418"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1701"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1701"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1392"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867"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1186"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1233"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418" w:type="dxa"/>
            <w:tcBorders>
              <w:bottom w:val="single" w:color="auto" w:sz="4" w:space="0"/>
            </w:tcBorders>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1701" w:type="dxa"/>
            <w:tcBorders>
              <w:bottom w:val="single" w:color="auto" w:sz="4" w:space="0"/>
            </w:tcBorders>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1701" w:type="dxa"/>
            <w:tcBorders>
              <w:bottom w:val="single" w:color="auto" w:sz="4" w:space="0"/>
            </w:tcBorders>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1392" w:type="dxa"/>
            <w:tcBorders>
              <w:bottom w:val="single" w:color="auto" w:sz="4" w:space="0"/>
            </w:tcBorders>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867" w:type="dxa"/>
            <w:tcBorders>
              <w:bottom w:val="single" w:color="auto" w:sz="4" w:space="0"/>
            </w:tcBorders>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1186" w:type="dxa"/>
            <w:tcBorders>
              <w:bottom w:val="single" w:color="auto" w:sz="4" w:space="0"/>
            </w:tcBorders>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1233" w:type="dxa"/>
            <w:tcBorders>
              <w:bottom w:val="single" w:color="auto" w:sz="4" w:space="0"/>
            </w:tcBorders>
            <w:vAlign w:val="center"/>
          </w:tcPr>
          <w:p>
            <w:pPr>
              <w:spacing w:line="560" w:lineRule="exact"/>
              <w:jc w:val="center"/>
              <w:rPr>
                <w:rFonts w:ascii="宋体" w:hAnsi="宋体" w:cs="宋体"/>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418" w:type="dxa"/>
            <w:vAlign w:val="center"/>
          </w:tcPr>
          <w:p>
            <w:pPr>
              <w:spacing w:line="560" w:lineRule="exact"/>
              <w:jc w:val="center"/>
              <w:rPr>
                <w:rFonts w:ascii="宋体" w:hAnsi="宋体" w:cs="宋体"/>
                <w:color w:val="000000" w:themeColor="text1"/>
                <w:szCs w:val="28"/>
                <w14:textFill>
                  <w14:solidFill>
                    <w14:schemeClr w14:val="tx1"/>
                  </w14:solidFill>
                </w14:textFill>
              </w:rPr>
            </w:pPr>
          </w:p>
          <w:p>
            <w:pPr>
              <w:spacing w:line="560" w:lineRule="exact"/>
              <w:jc w:val="center"/>
              <w:rPr>
                <w:rFonts w:ascii="宋体" w:hAnsi="宋体" w:cs="宋体"/>
                <w:color w:val="000000" w:themeColor="text1"/>
                <w:szCs w:val="28"/>
                <w14:textFill>
                  <w14:solidFill>
                    <w14:schemeClr w14:val="tx1"/>
                  </w14:solidFill>
                </w14:textFill>
              </w:rPr>
            </w:pPr>
          </w:p>
        </w:tc>
        <w:tc>
          <w:tcPr>
            <w:tcW w:w="1701"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1701"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1392"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867"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1186"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1233"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418"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1701"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1701"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1392"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867"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1186"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1233"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418"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1701"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1701"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1392"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867"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1186"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1233"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418"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1701"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1701"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1392"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867"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1186"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1233"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418"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1701"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1701"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1392"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867"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1186"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c>
          <w:tcPr>
            <w:tcW w:w="1233" w:type="dxa"/>
            <w:vAlign w:val="center"/>
          </w:tcPr>
          <w:p>
            <w:pPr>
              <w:spacing w:line="560" w:lineRule="exact"/>
              <w:jc w:val="center"/>
              <w:rPr>
                <w:rFonts w:ascii="宋体" w:hAnsi="宋体" w:cs="宋体"/>
                <w:color w:val="000000" w:themeColor="text1"/>
                <w:szCs w:val="28"/>
                <w14:textFill>
                  <w14:solidFill>
                    <w14:schemeClr w14:val="tx1"/>
                  </w14:solidFill>
                </w14:textFill>
              </w:rPr>
            </w:pPr>
          </w:p>
        </w:tc>
      </w:tr>
    </w:tbl>
    <w:p>
      <w:pPr>
        <w:snapToGrid w:val="0"/>
        <w:spacing w:line="560" w:lineRule="exact"/>
        <w:rPr>
          <w:rFonts w:ascii="宋体" w:hAnsi="宋体" w:cs="宋体"/>
          <w:color w:val="000000" w:themeColor="text1"/>
          <w:szCs w:val="28"/>
          <w14:textFill>
            <w14:solidFill>
              <w14:schemeClr w14:val="tx1"/>
            </w14:solidFill>
          </w14:textFill>
        </w:rPr>
      </w:pPr>
    </w:p>
    <w:p>
      <w:pPr>
        <w:snapToGrid w:val="0"/>
        <w:spacing w:line="560" w:lineRule="exact"/>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注：1.供应商应完整填写本表。</w:t>
      </w:r>
    </w:p>
    <w:p>
      <w:pPr>
        <w:snapToGrid w:val="0"/>
        <w:spacing w:line="560" w:lineRule="exact"/>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 xml:space="preserve">        2.该表可扩展</w:t>
      </w:r>
      <w:bookmarkStart w:id="86" w:name="OLE_LINK2"/>
      <w:bookmarkStart w:id="87" w:name="OLE_LINK1"/>
      <w:r>
        <w:rPr>
          <w:rFonts w:hint="eastAsia" w:ascii="宋体" w:hAnsi="宋体" w:cs="宋体"/>
          <w:color w:val="000000" w:themeColor="text1"/>
          <w:szCs w:val="28"/>
          <w14:textFill>
            <w14:solidFill>
              <w14:schemeClr w14:val="tx1"/>
            </w14:solidFill>
          </w14:textFill>
        </w:rPr>
        <w:t>，并逐页签字或盖章。</w:t>
      </w:r>
      <w:bookmarkEnd w:id="86"/>
      <w:bookmarkEnd w:id="87"/>
    </w:p>
    <w:p>
      <w:pPr>
        <w:snapToGrid w:val="0"/>
        <w:spacing w:line="560" w:lineRule="exact"/>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 xml:space="preserve">      </w:t>
      </w:r>
    </w:p>
    <w:p>
      <w:pPr>
        <w:snapToGrid w:val="0"/>
        <w:spacing w:line="560" w:lineRule="exact"/>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 xml:space="preserve">                                            供应商名称（公章）：</w:t>
      </w:r>
    </w:p>
    <w:p>
      <w:pPr>
        <w:spacing w:line="560" w:lineRule="exact"/>
        <w:ind w:firstLine="6580" w:firstLineChars="235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年     月    日</w:t>
      </w:r>
    </w:p>
    <w:p>
      <w:pPr>
        <w:snapToGrid w:val="0"/>
        <w:spacing w:line="560" w:lineRule="exact"/>
        <w:ind w:firstLine="560" w:firstLineChars="200"/>
        <w:rPr>
          <w:rFonts w:ascii="宋体" w:hAnsi="宋体" w:cs="宋体"/>
          <w:color w:val="000000" w:themeColor="text1"/>
          <w:szCs w:val="28"/>
          <w:bdr w:val="single" w:color="auto" w:sz="4" w:space="0"/>
          <w14:textFill>
            <w14:solidFill>
              <w14:schemeClr w14:val="tx1"/>
            </w14:solidFill>
          </w14:textFill>
        </w:rPr>
        <w:sectPr>
          <w:headerReference r:id="rId17" w:type="default"/>
          <w:pgSz w:w="11907" w:h="16840"/>
          <w:pgMar w:top="1134" w:right="1191" w:bottom="1134" w:left="1304" w:header="851" w:footer="992" w:gutter="0"/>
          <w:pgNumType w:fmt="numberInDash"/>
          <w:cols w:space="720" w:num="1"/>
          <w:docGrid w:linePitch="380" w:charSpace="-5735"/>
        </w:sectPr>
      </w:pPr>
    </w:p>
    <w:p>
      <w:pPr>
        <w:pStyle w:val="5"/>
        <w:spacing w:before="0" w:after="0" w:line="560" w:lineRule="exact"/>
        <w:ind w:firstLine="560" w:firstLineChars="200"/>
        <w:rPr>
          <w:rFonts w:ascii="宋体" w:hAnsi="宋体" w:cs="宋体"/>
          <w:b w:val="0"/>
          <w:color w:val="000000" w:themeColor="text1"/>
          <w:sz w:val="28"/>
          <w:szCs w:val="28"/>
          <w14:textFill>
            <w14:solidFill>
              <w14:schemeClr w14:val="tx1"/>
            </w14:solidFill>
          </w14:textFill>
        </w:rPr>
      </w:pPr>
      <w:bookmarkStart w:id="88" w:name="_Toc313008357"/>
      <w:bookmarkStart w:id="89" w:name="_Toc342913420"/>
      <w:bookmarkStart w:id="90" w:name="_Toc313888361"/>
      <w:bookmarkStart w:id="91" w:name="_Toc16622"/>
      <w:r>
        <w:rPr>
          <w:rFonts w:hint="eastAsia" w:ascii="宋体" w:hAnsi="宋体" w:cs="宋体"/>
          <w:b w:val="0"/>
          <w:color w:val="000000" w:themeColor="text1"/>
          <w:sz w:val="28"/>
          <w:szCs w:val="28"/>
          <w14:textFill>
            <w14:solidFill>
              <w14:schemeClr w14:val="tx1"/>
            </w14:solidFill>
          </w14:textFill>
        </w:rPr>
        <w:t>二、技术部分</w:t>
      </w:r>
      <w:bookmarkEnd w:id="88"/>
      <w:bookmarkEnd w:id="89"/>
      <w:bookmarkEnd w:id="90"/>
      <w:bookmarkEnd w:id="91"/>
    </w:p>
    <w:p>
      <w:pPr>
        <w:snapToGrid w:val="0"/>
        <w:spacing w:line="560" w:lineRule="exact"/>
        <w:jc w:val="center"/>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技术响应偏离表</w:t>
      </w:r>
    </w:p>
    <w:p>
      <w:pPr>
        <w:spacing w:line="560" w:lineRule="exact"/>
        <w:ind w:firstLine="140" w:firstLineChars="5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项目号：                                  谈判项目编号：</w:t>
      </w:r>
    </w:p>
    <w:p>
      <w:pPr>
        <w:pStyle w:val="33"/>
        <w:tabs>
          <w:tab w:val="left" w:pos="6300"/>
        </w:tabs>
        <w:snapToGrid w:val="0"/>
        <w:spacing w:line="560" w:lineRule="exact"/>
        <w:ind w:firstLine="140" w:firstLineChars="50"/>
        <w:outlineLvl w:val="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 xml:space="preserve">项目名称： </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2844"/>
        <w:gridCol w:w="2952"/>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218"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序号</w:t>
            </w:r>
          </w:p>
        </w:tc>
        <w:tc>
          <w:tcPr>
            <w:tcW w:w="2844"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采购需求</w:t>
            </w:r>
          </w:p>
        </w:tc>
        <w:tc>
          <w:tcPr>
            <w:tcW w:w="2952"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响应情况</w:t>
            </w:r>
          </w:p>
        </w:tc>
        <w:tc>
          <w:tcPr>
            <w:tcW w:w="2212"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c>
          <w:tcPr>
            <w:tcW w:w="2844"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c>
          <w:tcPr>
            <w:tcW w:w="2952"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c>
          <w:tcPr>
            <w:tcW w:w="2212"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c>
          <w:tcPr>
            <w:tcW w:w="2844"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c>
          <w:tcPr>
            <w:tcW w:w="2952"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c>
          <w:tcPr>
            <w:tcW w:w="2212"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c>
          <w:tcPr>
            <w:tcW w:w="2844"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c>
          <w:tcPr>
            <w:tcW w:w="2952"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c>
          <w:tcPr>
            <w:tcW w:w="2212"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c>
          <w:tcPr>
            <w:tcW w:w="2844"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c>
          <w:tcPr>
            <w:tcW w:w="2952"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c>
          <w:tcPr>
            <w:tcW w:w="2212"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c>
          <w:tcPr>
            <w:tcW w:w="2844"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c>
          <w:tcPr>
            <w:tcW w:w="2952"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c>
          <w:tcPr>
            <w:tcW w:w="2212"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c>
          <w:tcPr>
            <w:tcW w:w="2844"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c>
          <w:tcPr>
            <w:tcW w:w="2952"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c>
          <w:tcPr>
            <w:tcW w:w="2212"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c>
          <w:tcPr>
            <w:tcW w:w="2844"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c>
          <w:tcPr>
            <w:tcW w:w="2952"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c>
          <w:tcPr>
            <w:tcW w:w="2212"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c>
          <w:tcPr>
            <w:tcW w:w="2844"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c>
          <w:tcPr>
            <w:tcW w:w="2952"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c>
          <w:tcPr>
            <w:tcW w:w="2212"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r>
    </w:tbl>
    <w:p>
      <w:pPr>
        <w:spacing w:line="560" w:lineRule="exact"/>
        <w:ind w:firstLine="700" w:firstLineChars="25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供应商：                               法定代表人授权代表：</w:t>
      </w:r>
    </w:p>
    <w:p>
      <w:pPr>
        <w:spacing w:line="560" w:lineRule="exact"/>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 xml:space="preserve">    （供应商公章）                           （签字或盖章）</w:t>
      </w:r>
    </w:p>
    <w:p>
      <w:pPr>
        <w:tabs>
          <w:tab w:val="left" w:pos="6300"/>
        </w:tabs>
        <w:snapToGrid w:val="0"/>
        <w:spacing w:line="560" w:lineRule="exact"/>
        <w:ind w:firstLine="57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 xml:space="preserve">                                            年     月     日</w:t>
      </w:r>
    </w:p>
    <w:p>
      <w:pPr>
        <w:tabs>
          <w:tab w:val="left" w:pos="6300"/>
        </w:tabs>
        <w:snapToGrid w:val="0"/>
        <w:spacing w:line="560" w:lineRule="exact"/>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注：</w:t>
      </w:r>
    </w:p>
    <w:p>
      <w:pPr>
        <w:tabs>
          <w:tab w:val="left" w:pos="6300"/>
        </w:tabs>
        <w:snapToGrid w:val="0"/>
        <w:spacing w:line="560" w:lineRule="exact"/>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1.本表即为对本项目“第三篇  谈判项目技术需求”中所列技术要求进行比较和响应；</w:t>
      </w:r>
    </w:p>
    <w:p>
      <w:pPr>
        <w:tabs>
          <w:tab w:val="left" w:pos="6300"/>
        </w:tabs>
        <w:snapToGrid w:val="0"/>
        <w:spacing w:line="560" w:lineRule="exact"/>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2.该表必须按照竞争性谈判要求逐条如实填写，若未作实质性参数描述，该供应商将失去成为成交供应商的资格，仅保留其合格供应商的身份。</w:t>
      </w:r>
    </w:p>
    <w:p>
      <w:pPr>
        <w:tabs>
          <w:tab w:val="left" w:pos="6300"/>
        </w:tabs>
        <w:snapToGrid w:val="0"/>
        <w:spacing w:line="560" w:lineRule="exact"/>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3.该表可扩展，并逐页签字或盖章；</w:t>
      </w:r>
    </w:p>
    <w:p>
      <w:pPr>
        <w:tabs>
          <w:tab w:val="left" w:pos="6300"/>
        </w:tabs>
        <w:snapToGrid w:val="0"/>
        <w:spacing w:line="560" w:lineRule="exact"/>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4.可附相关技术支撑材料（格式自定）。</w:t>
      </w:r>
    </w:p>
    <w:p>
      <w:pPr>
        <w:tabs>
          <w:tab w:val="left" w:pos="6300"/>
        </w:tabs>
        <w:snapToGrid w:val="0"/>
        <w:spacing w:line="560" w:lineRule="exact"/>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5.根据响应情况在“差异说明”项填写正偏离或负偏离及原因，完全符合的填写“无差异”。</w:t>
      </w:r>
    </w:p>
    <w:p>
      <w:pPr>
        <w:pStyle w:val="5"/>
        <w:spacing w:before="0" w:after="0" w:line="560" w:lineRule="exact"/>
        <w:ind w:firstLine="420" w:firstLineChars="150"/>
        <w:rPr>
          <w:rFonts w:ascii="宋体" w:hAnsi="宋体" w:cs="宋体"/>
          <w:b w:val="0"/>
          <w:color w:val="000000" w:themeColor="text1"/>
          <w:sz w:val="28"/>
          <w:szCs w:val="28"/>
          <w14:textFill>
            <w14:solidFill>
              <w14:schemeClr w14:val="tx1"/>
            </w14:solidFill>
          </w14:textFill>
        </w:rPr>
      </w:pPr>
      <w:r>
        <w:rPr>
          <w:rFonts w:hint="eastAsia" w:ascii="宋体" w:hAnsi="宋体" w:cs="宋体"/>
          <w:b w:val="0"/>
          <w:color w:val="000000" w:themeColor="text1"/>
          <w:sz w:val="28"/>
          <w:szCs w:val="28"/>
          <w14:textFill>
            <w14:solidFill>
              <w14:schemeClr w14:val="tx1"/>
            </w14:solidFill>
          </w14:textFill>
        </w:rPr>
        <w:br w:type="page"/>
      </w:r>
      <w:bookmarkStart w:id="92" w:name="_Toc9567"/>
      <w:bookmarkStart w:id="93" w:name="_Toc313888362"/>
      <w:bookmarkStart w:id="94" w:name="_Toc342913421"/>
      <w:bookmarkStart w:id="95" w:name="_Toc313008358"/>
      <w:r>
        <w:rPr>
          <w:rFonts w:hint="eastAsia" w:ascii="宋体" w:hAnsi="宋体" w:cs="宋体"/>
          <w:b w:val="0"/>
          <w:color w:val="000000" w:themeColor="text1"/>
          <w:sz w:val="28"/>
          <w:szCs w:val="28"/>
          <w14:textFill>
            <w14:solidFill>
              <w14:schemeClr w14:val="tx1"/>
            </w14:solidFill>
          </w14:textFill>
        </w:rPr>
        <w:t>三、服务部分</w:t>
      </w:r>
      <w:bookmarkEnd w:id="92"/>
    </w:p>
    <w:p>
      <w:pPr>
        <w:snapToGrid w:val="0"/>
        <w:spacing w:line="560" w:lineRule="exact"/>
        <w:jc w:val="center"/>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服务响应偏离表</w:t>
      </w:r>
    </w:p>
    <w:p>
      <w:pPr>
        <w:spacing w:line="560" w:lineRule="exact"/>
        <w:ind w:firstLine="140" w:firstLineChars="5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项目号：                                  谈判项目编号：</w:t>
      </w:r>
    </w:p>
    <w:p>
      <w:pPr>
        <w:snapToGrid w:val="0"/>
        <w:spacing w:line="560" w:lineRule="exact"/>
        <w:ind w:firstLine="140" w:firstLineChars="5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 xml:space="preserve">项目名称： </w:t>
      </w:r>
    </w:p>
    <w:tbl>
      <w:tblPr>
        <w:tblStyle w:val="5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184"/>
        <w:gridCol w:w="2438"/>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序号</w:t>
            </w:r>
          </w:p>
        </w:tc>
        <w:tc>
          <w:tcPr>
            <w:tcW w:w="3184"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谈判项目需求</w:t>
            </w:r>
          </w:p>
        </w:tc>
        <w:tc>
          <w:tcPr>
            <w:tcW w:w="2438"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响应情况</w:t>
            </w:r>
          </w:p>
        </w:tc>
        <w:tc>
          <w:tcPr>
            <w:tcW w:w="2359"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c>
          <w:tcPr>
            <w:tcW w:w="3184"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c>
          <w:tcPr>
            <w:tcW w:w="2438"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c>
          <w:tcPr>
            <w:tcW w:w="2359"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c>
          <w:tcPr>
            <w:tcW w:w="3184"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c>
          <w:tcPr>
            <w:tcW w:w="2438"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c>
          <w:tcPr>
            <w:tcW w:w="2359"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c>
          <w:tcPr>
            <w:tcW w:w="3184"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c>
          <w:tcPr>
            <w:tcW w:w="2438"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c>
          <w:tcPr>
            <w:tcW w:w="2359"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c>
          <w:tcPr>
            <w:tcW w:w="3184"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c>
          <w:tcPr>
            <w:tcW w:w="2438"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c>
          <w:tcPr>
            <w:tcW w:w="2359"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c>
          <w:tcPr>
            <w:tcW w:w="3184"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c>
          <w:tcPr>
            <w:tcW w:w="2438"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c>
          <w:tcPr>
            <w:tcW w:w="2359"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c>
          <w:tcPr>
            <w:tcW w:w="3184"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c>
          <w:tcPr>
            <w:tcW w:w="2438"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c>
          <w:tcPr>
            <w:tcW w:w="2359" w:type="dxa"/>
            <w:vAlign w:val="center"/>
          </w:tcPr>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tc>
      </w:tr>
    </w:tbl>
    <w:p>
      <w:pPr>
        <w:spacing w:line="560" w:lineRule="exact"/>
        <w:ind w:firstLine="700" w:firstLineChars="25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供应商：                          法定代表人授权代表：</w:t>
      </w:r>
    </w:p>
    <w:p>
      <w:pPr>
        <w:spacing w:line="560" w:lineRule="exact"/>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 xml:space="preserve">    </w:t>
      </w:r>
    </w:p>
    <w:p>
      <w:pPr>
        <w:spacing w:line="560" w:lineRule="exact"/>
        <w:ind w:firstLine="420" w:firstLineChars="15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（供应商公章）                               （签字或盖章）</w:t>
      </w:r>
    </w:p>
    <w:p>
      <w:pPr>
        <w:tabs>
          <w:tab w:val="left" w:pos="6300"/>
        </w:tabs>
        <w:snapToGrid w:val="0"/>
        <w:spacing w:line="560" w:lineRule="exact"/>
        <w:ind w:firstLine="57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 xml:space="preserve">                                             年     月     日</w:t>
      </w:r>
    </w:p>
    <w:p>
      <w:pPr>
        <w:tabs>
          <w:tab w:val="left" w:pos="6300"/>
        </w:tabs>
        <w:snapToGrid w:val="0"/>
        <w:spacing w:line="560" w:lineRule="exact"/>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注：</w:t>
      </w:r>
    </w:p>
    <w:p>
      <w:pPr>
        <w:tabs>
          <w:tab w:val="left" w:pos="6300"/>
        </w:tabs>
        <w:snapToGrid w:val="0"/>
        <w:spacing w:line="560" w:lineRule="exact"/>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1.本表即为对本项目“第四篇 谈判项目服务需求”中所列服务要求进行比较和响应；</w:t>
      </w:r>
    </w:p>
    <w:p>
      <w:pPr>
        <w:tabs>
          <w:tab w:val="left" w:pos="6300"/>
        </w:tabs>
        <w:snapToGrid w:val="0"/>
        <w:spacing w:line="560" w:lineRule="exact"/>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2.该表必须按照竞争性谈判要求逐条如实填写，若未作实质性参数描述，该供应商将失去成为成交供应商的资格，仅保留其合格供应商的身份。</w:t>
      </w:r>
    </w:p>
    <w:p>
      <w:pPr>
        <w:tabs>
          <w:tab w:val="left" w:pos="6300"/>
        </w:tabs>
        <w:snapToGrid w:val="0"/>
        <w:spacing w:line="560" w:lineRule="exact"/>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3.该表可扩展，并逐页签字或盖章；</w:t>
      </w:r>
    </w:p>
    <w:p>
      <w:pPr>
        <w:tabs>
          <w:tab w:val="left" w:pos="6300"/>
        </w:tabs>
        <w:snapToGrid w:val="0"/>
        <w:spacing w:line="560" w:lineRule="exact"/>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4. 根据响应情况在“差异说明”项填写正偏离或负偏离及原因，完全符合的填写“无差异”。</w:t>
      </w:r>
    </w:p>
    <w:p>
      <w:pPr>
        <w:tabs>
          <w:tab w:val="left" w:pos="6300"/>
        </w:tabs>
        <w:snapToGrid w:val="0"/>
        <w:spacing w:line="560" w:lineRule="exact"/>
        <w:ind w:firstLine="560" w:firstLineChars="200"/>
        <w:rPr>
          <w:rFonts w:ascii="宋体" w:hAnsi="宋体" w:cs="宋体"/>
          <w:color w:val="000000" w:themeColor="text1"/>
          <w:szCs w:val="28"/>
          <w14:textFill>
            <w14:solidFill>
              <w14:schemeClr w14:val="tx1"/>
            </w14:solidFill>
          </w14:textFill>
        </w:rPr>
      </w:pPr>
    </w:p>
    <w:p>
      <w:pPr>
        <w:tabs>
          <w:tab w:val="left" w:pos="6300"/>
        </w:tabs>
        <w:snapToGrid w:val="0"/>
        <w:spacing w:line="560" w:lineRule="exact"/>
        <w:ind w:firstLine="560" w:firstLineChars="200"/>
        <w:rPr>
          <w:rFonts w:ascii="宋体" w:hAnsi="宋体" w:cs="宋体"/>
          <w:color w:val="000000" w:themeColor="text1"/>
          <w:szCs w:val="28"/>
          <w14:textFill>
            <w14:solidFill>
              <w14:schemeClr w14:val="tx1"/>
            </w14:solidFill>
          </w14:textFill>
        </w:rPr>
      </w:pPr>
    </w:p>
    <w:p>
      <w:pPr>
        <w:pStyle w:val="5"/>
        <w:spacing w:before="0" w:after="0" w:line="560" w:lineRule="exact"/>
        <w:ind w:firstLine="560" w:firstLineChars="200"/>
        <w:rPr>
          <w:rFonts w:ascii="宋体" w:hAnsi="宋体" w:cs="宋体"/>
          <w:b w:val="0"/>
          <w:color w:val="000000" w:themeColor="text1"/>
          <w:sz w:val="28"/>
          <w:szCs w:val="28"/>
          <w14:textFill>
            <w14:solidFill>
              <w14:schemeClr w14:val="tx1"/>
            </w14:solidFill>
          </w14:textFill>
        </w:rPr>
      </w:pPr>
      <w:bookmarkStart w:id="96" w:name="_Toc2332"/>
      <w:r>
        <w:rPr>
          <w:rFonts w:hint="eastAsia" w:ascii="宋体" w:hAnsi="宋体" w:cs="宋体"/>
          <w:b w:val="0"/>
          <w:color w:val="000000" w:themeColor="text1"/>
          <w:sz w:val="28"/>
          <w:szCs w:val="28"/>
          <w14:textFill>
            <w14:solidFill>
              <w14:schemeClr w14:val="tx1"/>
            </w14:solidFill>
          </w14:textFill>
        </w:rPr>
        <w:t>四、</w:t>
      </w:r>
      <w:bookmarkEnd w:id="93"/>
      <w:bookmarkEnd w:id="94"/>
      <w:bookmarkEnd w:id="95"/>
      <w:r>
        <w:rPr>
          <w:rFonts w:hint="eastAsia" w:ascii="宋体" w:hAnsi="宋体" w:cs="宋体"/>
          <w:b w:val="0"/>
          <w:color w:val="000000" w:themeColor="text1"/>
          <w:sz w:val="28"/>
          <w:szCs w:val="28"/>
          <w14:textFill>
            <w14:solidFill>
              <w14:schemeClr w14:val="tx1"/>
            </w14:solidFill>
          </w14:textFill>
        </w:rPr>
        <w:t>资格条件及其他</w:t>
      </w:r>
      <w:bookmarkEnd w:id="96"/>
      <w:bookmarkStart w:id="97" w:name="_Toc342913422"/>
      <w:bookmarkStart w:id="98" w:name="_Toc313888363"/>
      <w:bookmarkStart w:id="99" w:name="_Toc313008359"/>
    </w:p>
    <w:p>
      <w:pPr>
        <w:tabs>
          <w:tab w:val="left" w:pos="6300"/>
        </w:tabs>
        <w:snapToGrid w:val="0"/>
        <w:spacing w:line="560" w:lineRule="exact"/>
        <w:ind w:firstLine="57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（一）营业执照（副本）或事业单位法人证书（副本）复印件</w:t>
      </w:r>
    </w:p>
    <w:p>
      <w:pPr>
        <w:tabs>
          <w:tab w:val="left" w:pos="6300"/>
        </w:tabs>
        <w:snapToGrid w:val="0"/>
        <w:spacing w:line="560" w:lineRule="exact"/>
        <w:ind w:firstLine="570"/>
        <w:rPr>
          <w:rFonts w:ascii="宋体" w:hAnsi="宋体" w:cs="宋体"/>
          <w:color w:val="000000" w:themeColor="text1"/>
          <w:szCs w:val="28"/>
          <w14:textFill>
            <w14:solidFill>
              <w14:schemeClr w14:val="tx1"/>
            </w14:solidFill>
          </w14:textFill>
        </w:rPr>
      </w:pPr>
    </w:p>
    <w:p>
      <w:pPr>
        <w:tabs>
          <w:tab w:val="left" w:pos="6300"/>
        </w:tabs>
        <w:snapToGrid w:val="0"/>
        <w:spacing w:line="560" w:lineRule="exact"/>
        <w:ind w:firstLine="57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（二）组织机构代码证复印件</w:t>
      </w:r>
    </w:p>
    <w:p>
      <w:pPr>
        <w:tabs>
          <w:tab w:val="left" w:pos="6300"/>
        </w:tabs>
        <w:snapToGrid w:val="0"/>
        <w:spacing w:line="560" w:lineRule="exact"/>
        <w:ind w:firstLine="570"/>
        <w:rPr>
          <w:rFonts w:ascii="宋体" w:hAnsi="宋体" w:cs="宋体"/>
          <w:color w:val="000000" w:themeColor="text1"/>
          <w:szCs w:val="28"/>
          <w14:textFill>
            <w14:solidFill>
              <w14:schemeClr w14:val="tx1"/>
            </w14:solidFill>
          </w14:textFill>
        </w:rPr>
      </w:pPr>
    </w:p>
    <w:p>
      <w:pPr>
        <w:tabs>
          <w:tab w:val="left" w:pos="6300"/>
        </w:tabs>
        <w:snapToGrid w:val="0"/>
        <w:spacing w:line="560" w:lineRule="exact"/>
        <w:ind w:firstLine="570"/>
        <w:rPr>
          <w:rFonts w:ascii="宋体" w:hAnsi="宋体" w:cs="宋体"/>
          <w:color w:val="000000" w:themeColor="text1"/>
          <w:szCs w:val="28"/>
          <w14:textFill>
            <w14:solidFill>
              <w14:schemeClr w14:val="tx1"/>
            </w14:solidFill>
          </w14:textFill>
        </w:rPr>
      </w:pPr>
    </w:p>
    <w:p>
      <w:pPr>
        <w:tabs>
          <w:tab w:val="left" w:pos="6300"/>
        </w:tabs>
        <w:snapToGrid w:val="0"/>
        <w:spacing w:line="560" w:lineRule="exact"/>
        <w:ind w:firstLine="570"/>
        <w:rPr>
          <w:rFonts w:ascii="宋体" w:hAnsi="宋体" w:cs="宋体"/>
          <w:color w:val="000000" w:themeColor="text1"/>
          <w:szCs w:val="28"/>
          <w14:textFill>
            <w14:solidFill>
              <w14:schemeClr w14:val="tx1"/>
            </w14:solidFill>
          </w14:textFill>
        </w:rPr>
      </w:pPr>
    </w:p>
    <w:p>
      <w:pPr>
        <w:widowControl/>
        <w:spacing w:line="560" w:lineRule="exact"/>
        <w:ind w:firstLine="560" w:firstLineChars="200"/>
        <w:jc w:val="left"/>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br w:type="page"/>
      </w:r>
      <w:r>
        <w:rPr>
          <w:rFonts w:hint="eastAsia" w:ascii="宋体" w:hAnsi="宋体" w:cs="宋体"/>
          <w:color w:val="000000" w:themeColor="text1"/>
          <w:szCs w:val="28"/>
          <w14:textFill>
            <w14:solidFill>
              <w14:schemeClr w14:val="tx1"/>
            </w14:solidFill>
          </w14:textFill>
        </w:rPr>
        <w:t>（三）法定代表人身份证明书（格式）</w:t>
      </w:r>
    </w:p>
    <w:p>
      <w:pPr>
        <w:tabs>
          <w:tab w:val="left" w:pos="6300"/>
        </w:tabs>
        <w:snapToGrid w:val="0"/>
        <w:spacing w:line="560" w:lineRule="exact"/>
        <w:ind w:firstLine="570"/>
        <w:rPr>
          <w:rFonts w:ascii="宋体" w:hAnsi="宋体" w:cs="宋体"/>
          <w:color w:val="000000" w:themeColor="text1"/>
          <w:szCs w:val="28"/>
          <w14:textFill>
            <w14:solidFill>
              <w14:schemeClr w14:val="tx1"/>
            </w14:solidFill>
          </w14:textFill>
        </w:rPr>
      </w:pPr>
    </w:p>
    <w:p>
      <w:pPr>
        <w:tabs>
          <w:tab w:val="left" w:pos="6300"/>
        </w:tabs>
        <w:snapToGrid w:val="0"/>
        <w:spacing w:line="560" w:lineRule="exact"/>
        <w:ind w:firstLine="57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项目名称：</w:t>
      </w:r>
      <w:r>
        <w:rPr>
          <w:rFonts w:hint="eastAsia" w:ascii="宋体" w:hAnsi="宋体" w:cs="宋体"/>
          <w:color w:val="000000" w:themeColor="text1"/>
          <w:szCs w:val="28"/>
          <w:u w:val="single"/>
          <w14:textFill>
            <w14:solidFill>
              <w14:schemeClr w14:val="tx1"/>
            </w14:solidFill>
          </w14:textFill>
        </w:rPr>
        <w:t xml:space="preserve">                                                </w:t>
      </w:r>
    </w:p>
    <w:p>
      <w:pPr>
        <w:tabs>
          <w:tab w:val="left" w:pos="6300"/>
        </w:tabs>
        <w:snapToGrid w:val="0"/>
        <w:spacing w:line="560" w:lineRule="exact"/>
        <w:ind w:firstLine="570"/>
        <w:rPr>
          <w:rFonts w:ascii="宋体" w:hAnsi="宋体" w:cs="宋体"/>
          <w:color w:val="000000" w:themeColor="text1"/>
          <w:szCs w:val="28"/>
          <w14:textFill>
            <w14:solidFill>
              <w14:schemeClr w14:val="tx1"/>
            </w14:solidFill>
          </w14:textFill>
        </w:rPr>
      </w:pPr>
    </w:p>
    <w:p>
      <w:pPr>
        <w:tabs>
          <w:tab w:val="left" w:pos="6300"/>
        </w:tabs>
        <w:snapToGrid w:val="0"/>
        <w:spacing w:line="560" w:lineRule="exact"/>
        <w:ind w:firstLine="57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致：</w:t>
      </w:r>
      <w:r>
        <w:rPr>
          <w:rFonts w:hint="eastAsia" w:ascii="宋体" w:hAnsi="宋体" w:cs="宋体"/>
          <w:color w:val="000000" w:themeColor="text1"/>
          <w:szCs w:val="28"/>
          <w:u w:val="single"/>
          <w14:textFill>
            <w14:solidFill>
              <w14:schemeClr w14:val="tx1"/>
            </w14:solidFill>
          </w14:textFill>
        </w:rPr>
        <w:t xml:space="preserve">                     </w:t>
      </w:r>
      <w:r>
        <w:rPr>
          <w:rFonts w:hint="eastAsia" w:ascii="宋体" w:hAnsi="宋体" w:cs="宋体"/>
          <w:color w:val="000000" w:themeColor="text1"/>
          <w:szCs w:val="28"/>
          <w14:textFill>
            <w14:solidFill>
              <w14:schemeClr w14:val="tx1"/>
            </w14:solidFill>
          </w14:textFill>
        </w:rPr>
        <w:t>（采购代理机构名称）：</w:t>
      </w:r>
    </w:p>
    <w:p>
      <w:pPr>
        <w:tabs>
          <w:tab w:val="left" w:pos="6300"/>
        </w:tabs>
        <w:snapToGrid w:val="0"/>
        <w:spacing w:line="560" w:lineRule="exact"/>
        <w:ind w:firstLine="57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u w:val="single"/>
          <w14:textFill>
            <w14:solidFill>
              <w14:schemeClr w14:val="tx1"/>
            </w14:solidFill>
          </w14:textFill>
        </w:rPr>
        <w:t xml:space="preserve">        </w:t>
      </w:r>
      <w:r>
        <w:rPr>
          <w:rFonts w:hint="eastAsia" w:ascii="宋体" w:hAnsi="宋体" w:cs="宋体"/>
          <w:color w:val="000000" w:themeColor="text1"/>
          <w:szCs w:val="28"/>
          <w14:textFill>
            <w14:solidFill>
              <w14:schemeClr w14:val="tx1"/>
            </w14:solidFill>
          </w14:textFill>
        </w:rPr>
        <w:t>（法定代表人姓名）在</w:t>
      </w:r>
      <w:r>
        <w:rPr>
          <w:rFonts w:hint="eastAsia" w:ascii="宋体" w:hAnsi="宋体" w:cs="宋体"/>
          <w:color w:val="000000" w:themeColor="text1"/>
          <w:szCs w:val="28"/>
          <w:u w:val="single"/>
          <w14:textFill>
            <w14:solidFill>
              <w14:schemeClr w14:val="tx1"/>
            </w14:solidFill>
          </w14:textFill>
        </w:rPr>
        <w:t xml:space="preserve">                       </w:t>
      </w:r>
      <w:r>
        <w:rPr>
          <w:rFonts w:hint="eastAsia" w:ascii="宋体" w:hAnsi="宋体" w:cs="宋体"/>
          <w:color w:val="000000" w:themeColor="text1"/>
          <w:szCs w:val="28"/>
          <w14:textFill>
            <w14:solidFill>
              <w14:schemeClr w14:val="tx1"/>
            </w14:solidFill>
          </w14:textFill>
        </w:rPr>
        <w:t>（供应商名称）任</w:t>
      </w:r>
      <w:r>
        <w:rPr>
          <w:rFonts w:hint="eastAsia" w:ascii="宋体" w:hAnsi="宋体" w:cs="宋体"/>
          <w:color w:val="000000" w:themeColor="text1"/>
          <w:szCs w:val="28"/>
          <w:u w:val="single"/>
          <w14:textFill>
            <w14:solidFill>
              <w14:schemeClr w14:val="tx1"/>
            </w14:solidFill>
          </w14:textFill>
        </w:rPr>
        <w:t xml:space="preserve">    </w:t>
      </w:r>
      <w:r>
        <w:rPr>
          <w:rFonts w:hint="eastAsia" w:ascii="宋体" w:hAnsi="宋体" w:cs="宋体"/>
          <w:color w:val="000000" w:themeColor="text1"/>
          <w:szCs w:val="28"/>
          <w14:textFill>
            <w14:solidFill>
              <w14:schemeClr w14:val="tx1"/>
            </w14:solidFill>
          </w14:textFill>
        </w:rPr>
        <w:t>（职务名称）职务，是（供应商名称）</w:t>
      </w:r>
      <w:r>
        <w:rPr>
          <w:rFonts w:hint="eastAsia" w:ascii="宋体" w:hAnsi="宋体" w:cs="宋体"/>
          <w:color w:val="000000" w:themeColor="text1"/>
          <w:szCs w:val="28"/>
          <w:u w:val="single"/>
          <w14:textFill>
            <w14:solidFill>
              <w14:schemeClr w14:val="tx1"/>
            </w14:solidFill>
          </w14:textFill>
        </w:rPr>
        <w:t xml:space="preserve">              </w:t>
      </w:r>
      <w:r>
        <w:rPr>
          <w:rFonts w:hint="eastAsia" w:ascii="宋体" w:hAnsi="宋体" w:cs="宋体"/>
          <w:color w:val="000000" w:themeColor="text1"/>
          <w:szCs w:val="28"/>
          <w14:textFill>
            <w14:solidFill>
              <w14:schemeClr w14:val="tx1"/>
            </w14:solidFill>
          </w14:textFill>
        </w:rPr>
        <w:t>的法定代表人。</w:t>
      </w:r>
    </w:p>
    <w:p>
      <w:pPr>
        <w:tabs>
          <w:tab w:val="left" w:pos="6300"/>
        </w:tabs>
        <w:snapToGrid w:val="0"/>
        <w:spacing w:line="560" w:lineRule="exact"/>
        <w:ind w:firstLine="570"/>
        <w:rPr>
          <w:rFonts w:ascii="宋体" w:hAnsi="宋体" w:cs="宋体"/>
          <w:color w:val="000000" w:themeColor="text1"/>
          <w:szCs w:val="28"/>
          <w14:textFill>
            <w14:solidFill>
              <w14:schemeClr w14:val="tx1"/>
            </w14:solidFill>
          </w14:textFill>
        </w:rPr>
      </w:pPr>
    </w:p>
    <w:p>
      <w:pPr>
        <w:tabs>
          <w:tab w:val="left" w:pos="6300"/>
        </w:tabs>
        <w:snapToGrid w:val="0"/>
        <w:spacing w:line="560" w:lineRule="exact"/>
        <w:ind w:firstLine="57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特此证明。</w:t>
      </w:r>
    </w:p>
    <w:p>
      <w:pPr>
        <w:tabs>
          <w:tab w:val="left" w:pos="6300"/>
        </w:tabs>
        <w:snapToGrid w:val="0"/>
        <w:spacing w:line="560" w:lineRule="exact"/>
        <w:ind w:firstLine="570"/>
        <w:rPr>
          <w:rFonts w:ascii="宋体" w:hAnsi="宋体" w:cs="宋体"/>
          <w:color w:val="000000" w:themeColor="text1"/>
          <w:szCs w:val="28"/>
          <w14:textFill>
            <w14:solidFill>
              <w14:schemeClr w14:val="tx1"/>
            </w14:solidFill>
          </w14:textFill>
        </w:rPr>
      </w:pPr>
    </w:p>
    <w:p>
      <w:pPr>
        <w:tabs>
          <w:tab w:val="left" w:pos="6300"/>
        </w:tabs>
        <w:snapToGrid w:val="0"/>
        <w:spacing w:line="560" w:lineRule="exact"/>
        <w:ind w:firstLine="570"/>
        <w:rPr>
          <w:rFonts w:ascii="宋体" w:hAnsi="宋体" w:cs="宋体"/>
          <w:color w:val="000000" w:themeColor="text1"/>
          <w:szCs w:val="28"/>
          <w14:textFill>
            <w14:solidFill>
              <w14:schemeClr w14:val="tx1"/>
            </w14:solidFill>
          </w14:textFill>
        </w:rPr>
      </w:pPr>
    </w:p>
    <w:p>
      <w:pPr>
        <w:tabs>
          <w:tab w:val="left" w:pos="6300"/>
        </w:tabs>
        <w:snapToGrid w:val="0"/>
        <w:spacing w:line="560" w:lineRule="exact"/>
        <w:ind w:firstLine="570"/>
        <w:rPr>
          <w:rFonts w:ascii="宋体" w:hAnsi="宋体" w:cs="宋体"/>
          <w:color w:val="000000" w:themeColor="text1"/>
          <w:szCs w:val="28"/>
          <w14:textFill>
            <w14:solidFill>
              <w14:schemeClr w14:val="tx1"/>
            </w14:solidFill>
          </w14:textFill>
        </w:rPr>
      </w:pPr>
    </w:p>
    <w:p>
      <w:pPr>
        <w:tabs>
          <w:tab w:val="left" w:pos="6300"/>
        </w:tabs>
        <w:snapToGrid w:val="0"/>
        <w:spacing w:line="560" w:lineRule="exact"/>
        <w:ind w:firstLine="57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 xml:space="preserve">                                             （供应商公章）</w:t>
      </w:r>
    </w:p>
    <w:p>
      <w:pPr>
        <w:tabs>
          <w:tab w:val="left" w:pos="6300"/>
        </w:tabs>
        <w:snapToGrid w:val="0"/>
        <w:spacing w:line="560" w:lineRule="exact"/>
        <w:ind w:firstLine="570"/>
        <w:rPr>
          <w:rFonts w:ascii="宋体" w:hAnsi="宋体" w:cs="宋体"/>
          <w:color w:val="000000" w:themeColor="text1"/>
          <w:szCs w:val="28"/>
          <w14:textFill>
            <w14:solidFill>
              <w14:schemeClr w14:val="tx1"/>
            </w14:solidFill>
          </w14:textFill>
        </w:rPr>
      </w:pPr>
    </w:p>
    <w:p>
      <w:pPr>
        <w:tabs>
          <w:tab w:val="left" w:pos="6300"/>
        </w:tabs>
        <w:snapToGrid w:val="0"/>
        <w:spacing w:line="560" w:lineRule="exact"/>
        <w:ind w:firstLine="57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 xml:space="preserve">                                             年   月   日</w:t>
      </w:r>
    </w:p>
    <w:p>
      <w:pPr>
        <w:tabs>
          <w:tab w:val="left" w:pos="6300"/>
        </w:tabs>
        <w:snapToGrid w:val="0"/>
        <w:spacing w:line="560" w:lineRule="exact"/>
        <w:ind w:firstLine="570"/>
        <w:rPr>
          <w:rFonts w:ascii="宋体" w:hAnsi="宋体" w:cs="宋体"/>
          <w:color w:val="000000" w:themeColor="text1"/>
          <w:szCs w:val="28"/>
          <w14:textFill>
            <w14:solidFill>
              <w14:schemeClr w14:val="tx1"/>
            </w14:solidFill>
          </w14:textFill>
        </w:rPr>
      </w:pPr>
    </w:p>
    <w:p>
      <w:pPr>
        <w:tabs>
          <w:tab w:val="left" w:pos="6300"/>
        </w:tabs>
        <w:snapToGrid w:val="0"/>
        <w:spacing w:line="560" w:lineRule="exact"/>
        <w:ind w:firstLine="570"/>
        <w:rPr>
          <w:rFonts w:ascii="宋体" w:hAnsi="宋体" w:cs="宋体"/>
          <w:color w:val="000000" w:themeColor="text1"/>
          <w:szCs w:val="28"/>
          <w14:textFill>
            <w14:solidFill>
              <w14:schemeClr w14:val="tx1"/>
            </w14:solidFill>
          </w14:textFill>
        </w:rPr>
      </w:pPr>
    </w:p>
    <w:p>
      <w:pPr>
        <w:tabs>
          <w:tab w:val="left" w:pos="6300"/>
        </w:tabs>
        <w:snapToGrid w:val="0"/>
        <w:spacing w:line="560" w:lineRule="exact"/>
        <w:ind w:firstLine="57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（附：法定代表人身份证正反面复印件）</w:t>
      </w:r>
    </w:p>
    <w:p>
      <w:pPr>
        <w:tabs>
          <w:tab w:val="left" w:pos="6300"/>
        </w:tabs>
        <w:snapToGrid w:val="0"/>
        <w:spacing w:line="560" w:lineRule="exact"/>
        <w:ind w:firstLine="570"/>
        <w:rPr>
          <w:rFonts w:ascii="宋体" w:hAnsi="宋体" w:cs="宋体"/>
          <w:color w:val="000000" w:themeColor="text1"/>
          <w:szCs w:val="28"/>
          <w14:textFill>
            <w14:solidFill>
              <w14:schemeClr w14:val="tx1"/>
            </w14:solidFill>
          </w14:textFill>
        </w:rPr>
      </w:pPr>
    </w:p>
    <w:p>
      <w:pPr>
        <w:tabs>
          <w:tab w:val="left" w:pos="6300"/>
        </w:tabs>
        <w:snapToGrid w:val="0"/>
        <w:spacing w:line="560" w:lineRule="exact"/>
        <w:ind w:firstLine="570"/>
        <w:rPr>
          <w:rFonts w:ascii="宋体" w:hAnsi="宋体" w:cs="宋体"/>
          <w:color w:val="000000" w:themeColor="text1"/>
          <w:szCs w:val="28"/>
          <w14:textFill>
            <w14:solidFill>
              <w14:schemeClr w14:val="tx1"/>
            </w14:solidFill>
          </w14:textFill>
        </w:rPr>
      </w:pPr>
    </w:p>
    <w:p>
      <w:pPr>
        <w:tabs>
          <w:tab w:val="left" w:pos="6300"/>
        </w:tabs>
        <w:snapToGrid w:val="0"/>
        <w:spacing w:line="560" w:lineRule="exact"/>
        <w:ind w:firstLine="570"/>
        <w:rPr>
          <w:rFonts w:ascii="宋体" w:hAnsi="宋体" w:cs="宋体"/>
          <w:color w:val="000000" w:themeColor="text1"/>
          <w:szCs w:val="28"/>
          <w14:textFill>
            <w14:solidFill>
              <w14:schemeClr w14:val="tx1"/>
            </w14:solidFill>
          </w14:textFill>
        </w:rPr>
      </w:pPr>
    </w:p>
    <w:p>
      <w:pPr>
        <w:tabs>
          <w:tab w:val="left" w:pos="6300"/>
        </w:tabs>
        <w:snapToGrid w:val="0"/>
        <w:spacing w:line="560" w:lineRule="exact"/>
        <w:ind w:firstLine="570"/>
        <w:rPr>
          <w:rFonts w:ascii="宋体" w:hAnsi="宋体" w:cs="宋体"/>
          <w:color w:val="000000" w:themeColor="text1"/>
          <w:szCs w:val="28"/>
          <w14:textFill>
            <w14:solidFill>
              <w14:schemeClr w14:val="tx1"/>
            </w14:solidFill>
          </w14:textFill>
        </w:rPr>
      </w:pPr>
    </w:p>
    <w:p>
      <w:pPr>
        <w:tabs>
          <w:tab w:val="left" w:pos="6300"/>
        </w:tabs>
        <w:snapToGrid w:val="0"/>
        <w:spacing w:line="560" w:lineRule="exact"/>
        <w:ind w:firstLine="570"/>
        <w:rPr>
          <w:rFonts w:ascii="宋体" w:hAnsi="宋体" w:cs="宋体"/>
          <w:color w:val="000000" w:themeColor="text1"/>
          <w:szCs w:val="28"/>
          <w14:textFill>
            <w14:solidFill>
              <w14:schemeClr w14:val="tx1"/>
            </w14:solidFill>
          </w14:textFill>
        </w:rPr>
      </w:pPr>
    </w:p>
    <w:p>
      <w:pPr>
        <w:tabs>
          <w:tab w:val="left" w:pos="6300"/>
        </w:tabs>
        <w:snapToGrid w:val="0"/>
        <w:spacing w:line="560" w:lineRule="exact"/>
        <w:ind w:firstLine="570"/>
        <w:rPr>
          <w:rFonts w:ascii="宋体" w:hAnsi="宋体" w:cs="宋体"/>
          <w:color w:val="000000" w:themeColor="text1"/>
          <w:szCs w:val="28"/>
          <w14:textFill>
            <w14:solidFill>
              <w14:schemeClr w14:val="tx1"/>
            </w14:solidFill>
          </w14:textFill>
        </w:rPr>
      </w:pPr>
    </w:p>
    <w:p>
      <w:pPr>
        <w:tabs>
          <w:tab w:val="left" w:pos="6300"/>
        </w:tabs>
        <w:snapToGrid w:val="0"/>
        <w:spacing w:line="560" w:lineRule="exact"/>
        <w:ind w:firstLine="57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br w:type="column"/>
      </w:r>
      <w:r>
        <w:rPr>
          <w:rFonts w:hint="eastAsia" w:ascii="宋体" w:hAnsi="宋体" w:cs="宋体"/>
          <w:color w:val="000000" w:themeColor="text1"/>
          <w:szCs w:val="28"/>
          <w14:textFill>
            <w14:solidFill>
              <w14:schemeClr w14:val="tx1"/>
            </w14:solidFill>
          </w14:textFill>
        </w:rPr>
        <w:t>（四）法定代表人授权委托书（格式）</w:t>
      </w:r>
    </w:p>
    <w:p>
      <w:pPr>
        <w:tabs>
          <w:tab w:val="left" w:pos="6300"/>
        </w:tabs>
        <w:snapToGrid w:val="0"/>
        <w:spacing w:line="560" w:lineRule="exact"/>
        <w:ind w:firstLine="57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 xml:space="preserve">    </w:t>
      </w:r>
    </w:p>
    <w:p>
      <w:pPr>
        <w:tabs>
          <w:tab w:val="left" w:pos="6300"/>
        </w:tabs>
        <w:snapToGrid w:val="0"/>
        <w:spacing w:line="560" w:lineRule="exact"/>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项目名称：</w:t>
      </w:r>
      <w:r>
        <w:rPr>
          <w:rFonts w:hint="eastAsia" w:ascii="宋体" w:hAnsi="宋体" w:cs="宋体"/>
          <w:color w:val="000000" w:themeColor="text1"/>
          <w:szCs w:val="28"/>
          <w:u w:val="single"/>
          <w14:textFill>
            <w14:solidFill>
              <w14:schemeClr w14:val="tx1"/>
            </w14:solidFill>
          </w14:textFill>
        </w:rPr>
        <w:t xml:space="preserve">                                                </w:t>
      </w:r>
    </w:p>
    <w:p>
      <w:pPr>
        <w:tabs>
          <w:tab w:val="left" w:pos="6300"/>
        </w:tabs>
        <w:snapToGrid w:val="0"/>
        <w:spacing w:line="560" w:lineRule="exact"/>
        <w:ind w:firstLine="570"/>
        <w:rPr>
          <w:rFonts w:ascii="宋体" w:hAnsi="宋体" w:cs="宋体"/>
          <w:color w:val="000000" w:themeColor="text1"/>
          <w:szCs w:val="28"/>
          <w14:textFill>
            <w14:solidFill>
              <w14:schemeClr w14:val="tx1"/>
            </w14:solidFill>
          </w14:textFill>
        </w:rPr>
      </w:pPr>
    </w:p>
    <w:p>
      <w:pPr>
        <w:tabs>
          <w:tab w:val="left" w:pos="6300"/>
        </w:tabs>
        <w:snapToGrid w:val="0"/>
        <w:spacing w:line="560" w:lineRule="exact"/>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致：</w:t>
      </w:r>
      <w:r>
        <w:rPr>
          <w:rFonts w:hint="eastAsia" w:ascii="宋体" w:hAnsi="宋体" w:cs="宋体"/>
          <w:color w:val="000000" w:themeColor="text1"/>
          <w:szCs w:val="28"/>
          <w:u w:val="single"/>
          <w14:textFill>
            <w14:solidFill>
              <w14:schemeClr w14:val="tx1"/>
            </w14:solidFill>
          </w14:textFill>
        </w:rPr>
        <w:t xml:space="preserve">                     </w:t>
      </w:r>
      <w:r>
        <w:rPr>
          <w:rFonts w:hint="eastAsia" w:ascii="宋体" w:hAnsi="宋体" w:cs="宋体"/>
          <w:color w:val="000000" w:themeColor="text1"/>
          <w:szCs w:val="28"/>
          <w14:textFill>
            <w14:solidFill>
              <w14:schemeClr w14:val="tx1"/>
            </w14:solidFill>
          </w14:textFill>
        </w:rPr>
        <w:t>（采购代理机构名称）：</w:t>
      </w:r>
    </w:p>
    <w:p>
      <w:pPr>
        <w:tabs>
          <w:tab w:val="left" w:pos="6300"/>
        </w:tabs>
        <w:snapToGrid w:val="0"/>
        <w:spacing w:line="560" w:lineRule="exact"/>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u w:val="single"/>
          <w14:textFill>
            <w14:solidFill>
              <w14:schemeClr w14:val="tx1"/>
            </w14:solidFill>
          </w14:textFill>
        </w:rPr>
        <w:t xml:space="preserve">            </w:t>
      </w:r>
      <w:r>
        <w:rPr>
          <w:rFonts w:hint="eastAsia" w:ascii="宋体" w:hAnsi="宋体" w:cs="宋体"/>
          <w:color w:val="000000" w:themeColor="text1"/>
          <w:szCs w:val="28"/>
          <w14:textFill>
            <w14:solidFill>
              <w14:schemeClr w14:val="tx1"/>
            </w14:solidFill>
          </w14:textFill>
        </w:rPr>
        <w:t>（供应商法定代表人名称）是</w:t>
      </w:r>
      <w:r>
        <w:rPr>
          <w:rFonts w:hint="eastAsia" w:ascii="宋体" w:hAnsi="宋体" w:cs="宋体"/>
          <w:color w:val="000000" w:themeColor="text1"/>
          <w:szCs w:val="28"/>
          <w:u w:val="single"/>
          <w14:textFill>
            <w14:solidFill>
              <w14:schemeClr w14:val="tx1"/>
            </w14:solidFill>
          </w14:textFill>
        </w:rPr>
        <w:t xml:space="preserve">                    </w:t>
      </w:r>
      <w:r>
        <w:rPr>
          <w:rFonts w:hint="eastAsia" w:ascii="宋体" w:hAnsi="宋体" w:cs="宋体"/>
          <w:color w:val="000000" w:themeColor="text1"/>
          <w:szCs w:val="28"/>
          <w14:textFill>
            <w14:solidFill>
              <w14:schemeClr w14:val="tx1"/>
            </w14:solidFill>
          </w14:textFill>
        </w:rPr>
        <w:t>（供应商名称）的法定代表人，特授权</w:t>
      </w:r>
      <w:r>
        <w:rPr>
          <w:rFonts w:hint="eastAsia" w:ascii="宋体" w:hAnsi="宋体" w:cs="宋体"/>
          <w:color w:val="000000" w:themeColor="text1"/>
          <w:szCs w:val="28"/>
          <w:u w:val="single"/>
          <w14:textFill>
            <w14:solidFill>
              <w14:schemeClr w14:val="tx1"/>
            </w14:solidFill>
          </w14:textFill>
        </w:rPr>
        <w:t xml:space="preserve">          </w:t>
      </w:r>
      <w:r>
        <w:rPr>
          <w:rFonts w:hint="eastAsia" w:ascii="宋体" w:hAnsi="宋体" w:cs="宋体"/>
          <w:color w:val="000000" w:themeColor="text1"/>
          <w:szCs w:val="28"/>
          <w14:textFill>
            <w14:solidFill>
              <w14:schemeClr w14:val="tx1"/>
            </w14:solidFill>
          </w14:textFill>
        </w:rPr>
        <w:t>（被授权人姓名及身份证代码）代表我单位全权办理上述项目的谈判、签约等具体工作，并签署全部有关文件、协议及合同。</w:t>
      </w:r>
    </w:p>
    <w:p>
      <w:pPr>
        <w:tabs>
          <w:tab w:val="left" w:pos="6300"/>
        </w:tabs>
        <w:snapToGrid w:val="0"/>
        <w:spacing w:line="560" w:lineRule="exact"/>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我单位对被授权人的签字负全部责任。</w:t>
      </w:r>
    </w:p>
    <w:p>
      <w:pPr>
        <w:tabs>
          <w:tab w:val="left" w:pos="6300"/>
        </w:tabs>
        <w:snapToGrid w:val="0"/>
        <w:spacing w:line="560" w:lineRule="exact"/>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在撤消授权的书面通知以前，本授权书一直有效。被授权人在授权书有效期内签署的所有文件不因授权的撤消而失效。</w:t>
      </w:r>
    </w:p>
    <w:p>
      <w:pPr>
        <w:tabs>
          <w:tab w:val="left" w:pos="6300"/>
        </w:tabs>
        <w:snapToGrid w:val="0"/>
        <w:spacing w:line="560" w:lineRule="exact"/>
        <w:rPr>
          <w:rFonts w:ascii="宋体" w:hAnsi="宋体" w:cs="宋体"/>
          <w:color w:val="000000" w:themeColor="text1"/>
          <w:szCs w:val="28"/>
          <w14:textFill>
            <w14:solidFill>
              <w14:schemeClr w14:val="tx1"/>
            </w14:solidFill>
          </w14:textFill>
        </w:rPr>
      </w:pPr>
    </w:p>
    <w:p>
      <w:pPr>
        <w:tabs>
          <w:tab w:val="left" w:pos="6300"/>
        </w:tabs>
        <w:snapToGrid w:val="0"/>
        <w:spacing w:line="560" w:lineRule="exact"/>
        <w:ind w:firstLine="57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被授权人：                          供应商法定代表人：</w:t>
      </w:r>
    </w:p>
    <w:p>
      <w:pPr>
        <w:tabs>
          <w:tab w:val="left" w:pos="6300"/>
        </w:tabs>
        <w:snapToGrid w:val="0"/>
        <w:spacing w:line="560" w:lineRule="exact"/>
        <w:ind w:firstLine="57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（签字或盖章）                         （签字或盖章）</w:t>
      </w:r>
    </w:p>
    <w:p>
      <w:pPr>
        <w:tabs>
          <w:tab w:val="left" w:pos="6300"/>
        </w:tabs>
        <w:snapToGrid w:val="0"/>
        <w:spacing w:line="560" w:lineRule="exact"/>
        <w:rPr>
          <w:rFonts w:ascii="宋体" w:hAnsi="宋体" w:cs="宋体"/>
          <w:color w:val="000000" w:themeColor="text1"/>
          <w:szCs w:val="28"/>
          <w14:textFill>
            <w14:solidFill>
              <w14:schemeClr w14:val="tx1"/>
            </w14:solidFill>
          </w14:textFill>
        </w:rPr>
      </w:pPr>
    </w:p>
    <w:p>
      <w:pPr>
        <w:tabs>
          <w:tab w:val="left" w:pos="6300"/>
        </w:tabs>
        <w:snapToGrid w:val="0"/>
        <w:spacing w:line="560" w:lineRule="exact"/>
        <w:ind w:firstLine="57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（附：被授权人身份证正反面复印件）</w:t>
      </w:r>
    </w:p>
    <w:p>
      <w:pPr>
        <w:tabs>
          <w:tab w:val="left" w:pos="6300"/>
        </w:tabs>
        <w:snapToGrid w:val="0"/>
        <w:spacing w:line="560" w:lineRule="exact"/>
        <w:ind w:firstLine="57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 xml:space="preserve">                                          </w:t>
      </w:r>
    </w:p>
    <w:p>
      <w:pPr>
        <w:tabs>
          <w:tab w:val="left" w:pos="6300"/>
        </w:tabs>
        <w:snapToGrid w:val="0"/>
        <w:spacing w:line="560" w:lineRule="exact"/>
        <w:ind w:right="560" w:firstLine="6445" w:firstLineChars="2302"/>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（供应商公章）</w:t>
      </w:r>
    </w:p>
    <w:p>
      <w:pPr>
        <w:tabs>
          <w:tab w:val="left" w:pos="6300"/>
        </w:tabs>
        <w:snapToGrid w:val="0"/>
        <w:spacing w:line="560" w:lineRule="exact"/>
        <w:ind w:right="420" w:firstLine="570"/>
        <w:jc w:val="right"/>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年   月   日</w:t>
      </w:r>
    </w:p>
    <w:p>
      <w:pPr>
        <w:tabs>
          <w:tab w:val="left" w:pos="6300"/>
        </w:tabs>
        <w:snapToGrid w:val="0"/>
        <w:spacing w:line="560" w:lineRule="exact"/>
        <w:ind w:firstLine="570"/>
        <w:rPr>
          <w:rFonts w:ascii="宋体" w:hAnsi="宋体" w:cs="宋体"/>
          <w:color w:val="000000" w:themeColor="text1"/>
          <w:szCs w:val="28"/>
          <w14:textFill>
            <w14:solidFill>
              <w14:schemeClr w14:val="tx1"/>
            </w14:solidFill>
          </w14:textFill>
        </w:rPr>
      </w:pPr>
    </w:p>
    <w:p>
      <w:pPr>
        <w:tabs>
          <w:tab w:val="left" w:pos="6300"/>
        </w:tabs>
        <w:snapToGrid w:val="0"/>
        <w:spacing w:line="560" w:lineRule="exact"/>
        <w:ind w:firstLine="57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（五）2020或2021年度财务状况报告（表）或其基本开户银行出具的资信证明复印件，本年度新成立或成立不满一年的组织和自然人无法提供财务状况报告（表）的，可提供银行出具的资信证明复印件。</w:t>
      </w:r>
    </w:p>
    <w:p>
      <w:pPr>
        <w:tabs>
          <w:tab w:val="left" w:pos="6300"/>
        </w:tabs>
        <w:snapToGrid w:val="0"/>
        <w:spacing w:line="560" w:lineRule="exact"/>
        <w:ind w:firstLine="3220" w:firstLineChars="115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br w:type="page"/>
      </w:r>
      <w:r>
        <w:rPr>
          <w:rFonts w:hint="eastAsia" w:ascii="宋体" w:hAnsi="宋体" w:cs="宋体"/>
          <w:color w:val="000000" w:themeColor="text1"/>
          <w:szCs w:val="28"/>
          <w14:textFill>
            <w14:solidFill>
              <w14:schemeClr w14:val="tx1"/>
            </w14:solidFill>
          </w14:textFill>
        </w:rPr>
        <w:t>（六）书面声明</w:t>
      </w:r>
    </w:p>
    <w:p>
      <w:pPr>
        <w:tabs>
          <w:tab w:val="left" w:pos="6300"/>
        </w:tabs>
        <w:snapToGrid w:val="0"/>
        <w:spacing w:line="560" w:lineRule="exact"/>
        <w:ind w:firstLine="570"/>
        <w:rPr>
          <w:rFonts w:ascii="宋体" w:hAnsi="宋体" w:cs="宋体"/>
          <w:color w:val="000000" w:themeColor="text1"/>
          <w:szCs w:val="28"/>
          <w14:textFill>
            <w14:solidFill>
              <w14:schemeClr w14:val="tx1"/>
            </w14:solidFill>
          </w14:textFill>
        </w:rPr>
      </w:pPr>
    </w:p>
    <w:p>
      <w:pPr>
        <w:tabs>
          <w:tab w:val="left" w:pos="6300"/>
        </w:tabs>
        <w:snapToGrid w:val="0"/>
        <w:spacing w:line="560" w:lineRule="exact"/>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项目名称：</w:t>
      </w:r>
      <w:r>
        <w:rPr>
          <w:rFonts w:hint="eastAsia" w:ascii="宋体" w:hAnsi="宋体" w:cs="宋体"/>
          <w:color w:val="000000" w:themeColor="text1"/>
          <w:szCs w:val="28"/>
          <w:u w:val="single"/>
          <w14:textFill>
            <w14:solidFill>
              <w14:schemeClr w14:val="tx1"/>
            </w14:solidFill>
          </w14:textFill>
        </w:rPr>
        <w:t xml:space="preserve">                                                </w:t>
      </w:r>
    </w:p>
    <w:p>
      <w:pPr>
        <w:tabs>
          <w:tab w:val="left" w:pos="6300"/>
        </w:tabs>
        <w:snapToGrid w:val="0"/>
        <w:spacing w:line="560" w:lineRule="exact"/>
        <w:ind w:firstLine="570"/>
        <w:rPr>
          <w:rFonts w:ascii="宋体" w:hAnsi="宋体" w:cs="宋体"/>
          <w:color w:val="000000" w:themeColor="text1"/>
          <w:szCs w:val="28"/>
          <w14:textFill>
            <w14:solidFill>
              <w14:schemeClr w14:val="tx1"/>
            </w14:solidFill>
          </w14:textFill>
        </w:rPr>
      </w:pPr>
    </w:p>
    <w:p>
      <w:pPr>
        <w:tabs>
          <w:tab w:val="left" w:pos="6300"/>
        </w:tabs>
        <w:snapToGrid w:val="0"/>
        <w:spacing w:line="560" w:lineRule="exact"/>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致：</w:t>
      </w:r>
      <w:r>
        <w:rPr>
          <w:rFonts w:hint="eastAsia" w:ascii="宋体" w:hAnsi="宋体" w:cs="宋体"/>
          <w:color w:val="000000" w:themeColor="text1"/>
          <w:szCs w:val="28"/>
          <w:u w:val="single"/>
          <w14:textFill>
            <w14:solidFill>
              <w14:schemeClr w14:val="tx1"/>
            </w14:solidFill>
          </w14:textFill>
        </w:rPr>
        <w:t xml:space="preserve">                   </w:t>
      </w:r>
      <w:r>
        <w:rPr>
          <w:rFonts w:hint="eastAsia" w:ascii="宋体" w:hAnsi="宋体" w:cs="宋体"/>
          <w:color w:val="000000" w:themeColor="text1"/>
          <w:szCs w:val="28"/>
          <w14:textFill>
            <w14:solidFill>
              <w14:schemeClr w14:val="tx1"/>
            </w14:solidFill>
          </w14:textFill>
        </w:rPr>
        <w:t>（采购代理机构名称）：</w:t>
      </w:r>
    </w:p>
    <w:p>
      <w:pPr>
        <w:tabs>
          <w:tab w:val="left" w:pos="6300"/>
        </w:tabs>
        <w:snapToGrid w:val="0"/>
        <w:spacing w:line="560" w:lineRule="exact"/>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u w:val="single"/>
          <w14:textFill>
            <w14:solidFill>
              <w14:schemeClr w14:val="tx1"/>
            </w14:solidFill>
          </w14:textFill>
        </w:rPr>
        <w:t xml:space="preserve">                      </w:t>
      </w:r>
      <w:r>
        <w:rPr>
          <w:rFonts w:hint="eastAsia" w:ascii="宋体" w:hAnsi="宋体" w:cs="宋体"/>
          <w:color w:val="000000" w:themeColor="text1"/>
          <w:szCs w:val="28"/>
          <w14:textFill>
            <w14:solidFill>
              <w14:schemeClr w14:val="tx1"/>
            </w14:solidFill>
          </w14:textFill>
        </w:rPr>
        <w:t>（供应商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供应商资格条件。我方对以上声明负全部法律责任。</w:t>
      </w:r>
    </w:p>
    <w:p>
      <w:pPr>
        <w:tabs>
          <w:tab w:val="left" w:pos="6300"/>
        </w:tabs>
        <w:snapToGrid w:val="0"/>
        <w:spacing w:line="560" w:lineRule="exact"/>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特此声明。</w:t>
      </w:r>
    </w:p>
    <w:p>
      <w:pPr>
        <w:tabs>
          <w:tab w:val="left" w:pos="6300"/>
        </w:tabs>
        <w:snapToGrid w:val="0"/>
        <w:spacing w:line="560" w:lineRule="exact"/>
        <w:ind w:firstLine="570"/>
        <w:rPr>
          <w:rFonts w:ascii="宋体" w:hAnsi="宋体" w:cs="宋体"/>
          <w:color w:val="000000" w:themeColor="text1"/>
          <w:szCs w:val="28"/>
          <w14:textFill>
            <w14:solidFill>
              <w14:schemeClr w14:val="tx1"/>
            </w14:solidFill>
          </w14:textFill>
        </w:rPr>
      </w:pPr>
    </w:p>
    <w:p>
      <w:pPr>
        <w:tabs>
          <w:tab w:val="left" w:pos="6300"/>
        </w:tabs>
        <w:snapToGrid w:val="0"/>
        <w:spacing w:line="560" w:lineRule="exact"/>
        <w:ind w:right="560" w:firstLine="570"/>
        <w:jc w:val="center"/>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 xml:space="preserve">                                      （供应商公章）</w:t>
      </w:r>
    </w:p>
    <w:p>
      <w:pPr>
        <w:tabs>
          <w:tab w:val="left" w:pos="6300"/>
        </w:tabs>
        <w:snapToGrid w:val="0"/>
        <w:spacing w:line="560" w:lineRule="exact"/>
        <w:ind w:right="560" w:firstLine="570"/>
        <w:jc w:val="right"/>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年   月   日</w:t>
      </w:r>
    </w:p>
    <w:p>
      <w:pPr>
        <w:tabs>
          <w:tab w:val="left" w:pos="6300"/>
        </w:tabs>
        <w:snapToGrid w:val="0"/>
        <w:spacing w:line="560" w:lineRule="exact"/>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br w:type="page"/>
      </w:r>
      <w:r>
        <w:rPr>
          <w:rFonts w:hint="eastAsia" w:ascii="宋体" w:hAnsi="宋体" w:cs="宋体"/>
          <w:color w:val="000000" w:themeColor="text1"/>
          <w:szCs w:val="28"/>
          <w14:textFill>
            <w14:solidFill>
              <w14:schemeClr w14:val="tx1"/>
            </w14:solidFill>
          </w14:textFill>
        </w:rPr>
        <w:t>（七）税务登记证（副本）复印件</w:t>
      </w:r>
    </w:p>
    <w:p>
      <w:pPr>
        <w:tabs>
          <w:tab w:val="left" w:pos="6300"/>
        </w:tabs>
        <w:snapToGrid w:val="0"/>
        <w:spacing w:line="560" w:lineRule="exact"/>
        <w:ind w:firstLine="560" w:firstLineChars="200"/>
        <w:rPr>
          <w:rFonts w:ascii="宋体" w:hAnsi="宋体" w:cs="宋体"/>
          <w:color w:val="000000" w:themeColor="text1"/>
          <w:szCs w:val="28"/>
          <w14:textFill>
            <w14:solidFill>
              <w14:schemeClr w14:val="tx1"/>
            </w14:solidFill>
          </w14:textFill>
        </w:rPr>
      </w:pPr>
    </w:p>
    <w:p>
      <w:pPr>
        <w:tabs>
          <w:tab w:val="left" w:pos="6300"/>
        </w:tabs>
        <w:snapToGrid w:val="0"/>
        <w:spacing w:line="560" w:lineRule="exact"/>
        <w:ind w:firstLine="560" w:firstLineChars="200"/>
        <w:rPr>
          <w:rFonts w:ascii="宋体" w:hAnsi="宋体" w:cs="宋体"/>
          <w:color w:val="000000" w:themeColor="text1"/>
          <w:szCs w:val="28"/>
          <w14:textFill>
            <w14:solidFill>
              <w14:schemeClr w14:val="tx1"/>
            </w14:solidFill>
          </w14:textFill>
        </w:rPr>
      </w:pPr>
    </w:p>
    <w:p>
      <w:pPr>
        <w:tabs>
          <w:tab w:val="left" w:pos="6300"/>
        </w:tabs>
        <w:snapToGrid w:val="0"/>
        <w:spacing w:line="560" w:lineRule="exact"/>
        <w:ind w:firstLine="56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（八）缴纳社会保障金的证明材料复印件</w:t>
      </w:r>
    </w:p>
    <w:p>
      <w:pPr>
        <w:tabs>
          <w:tab w:val="left" w:pos="6300"/>
        </w:tabs>
        <w:snapToGrid w:val="0"/>
        <w:spacing w:line="560" w:lineRule="exact"/>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pPr>
        <w:tabs>
          <w:tab w:val="left" w:pos="6300"/>
        </w:tabs>
        <w:snapToGrid w:val="0"/>
        <w:spacing w:line="560" w:lineRule="exact"/>
        <w:ind w:firstLine="560"/>
        <w:rPr>
          <w:rFonts w:ascii="宋体" w:hAnsi="宋体" w:cs="宋体"/>
          <w:color w:val="000000" w:themeColor="text1"/>
          <w:szCs w:val="28"/>
          <w14:textFill>
            <w14:solidFill>
              <w14:schemeClr w14:val="tx1"/>
            </w14:solidFill>
          </w14:textFill>
        </w:rPr>
      </w:pPr>
    </w:p>
    <w:p>
      <w:pPr>
        <w:tabs>
          <w:tab w:val="left" w:pos="6300"/>
        </w:tabs>
        <w:snapToGrid w:val="0"/>
        <w:spacing w:line="560" w:lineRule="exact"/>
        <w:ind w:firstLine="56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说明：供应商按“多证合一”登记制度办理营业执照的，组织机构代码证、税务登记证（副本）和社会保险登记证以供应商所提供的营业执照（副本）复印件为准。</w:t>
      </w:r>
    </w:p>
    <w:p>
      <w:pPr>
        <w:pStyle w:val="5"/>
        <w:spacing w:before="0" w:after="0" w:line="560" w:lineRule="exact"/>
        <w:ind w:firstLine="560" w:firstLineChars="200"/>
        <w:rPr>
          <w:rFonts w:ascii="宋体" w:hAnsi="宋体" w:cs="宋体"/>
          <w:b w:val="0"/>
          <w:color w:val="000000" w:themeColor="text1"/>
          <w:sz w:val="28"/>
          <w:szCs w:val="28"/>
          <w14:textFill>
            <w14:solidFill>
              <w14:schemeClr w14:val="tx1"/>
            </w14:solidFill>
          </w14:textFill>
        </w:rPr>
      </w:pPr>
      <w:r>
        <w:rPr>
          <w:rFonts w:hint="eastAsia" w:ascii="宋体" w:hAnsi="宋体" w:cs="宋体"/>
          <w:b w:val="0"/>
          <w:color w:val="000000" w:themeColor="text1"/>
          <w:sz w:val="28"/>
          <w:szCs w:val="28"/>
          <w14:textFill>
            <w14:solidFill>
              <w14:schemeClr w14:val="tx1"/>
            </w14:solidFill>
          </w14:textFill>
        </w:rPr>
        <w:br w:type="page"/>
      </w:r>
      <w:bookmarkStart w:id="100" w:name="_Toc2595"/>
      <w:r>
        <w:rPr>
          <w:rFonts w:hint="eastAsia" w:ascii="宋体" w:hAnsi="宋体" w:cs="宋体"/>
          <w:b w:val="0"/>
          <w:color w:val="000000" w:themeColor="text1"/>
          <w:sz w:val="28"/>
          <w:szCs w:val="28"/>
          <w14:textFill>
            <w14:solidFill>
              <w14:schemeClr w14:val="tx1"/>
            </w14:solidFill>
          </w14:textFill>
        </w:rPr>
        <w:t>五、</w:t>
      </w:r>
      <w:bookmarkEnd w:id="97"/>
      <w:bookmarkEnd w:id="98"/>
      <w:bookmarkEnd w:id="99"/>
      <w:r>
        <w:rPr>
          <w:rFonts w:hint="eastAsia" w:ascii="宋体" w:hAnsi="宋体" w:cs="宋体"/>
          <w:b w:val="0"/>
          <w:color w:val="000000" w:themeColor="text1"/>
          <w:sz w:val="28"/>
          <w:szCs w:val="28"/>
          <w14:textFill>
            <w14:solidFill>
              <w14:schemeClr w14:val="tx1"/>
            </w14:solidFill>
          </w14:textFill>
        </w:rPr>
        <w:t>其他应提供的资料</w:t>
      </w:r>
      <w:bookmarkEnd w:id="100"/>
    </w:p>
    <w:p>
      <w:pPr>
        <w:tabs>
          <w:tab w:val="left" w:pos="6300"/>
        </w:tabs>
        <w:snapToGrid w:val="0"/>
        <w:spacing w:line="560" w:lineRule="exact"/>
        <w:ind w:firstLine="560"/>
        <w:jc w:val="left"/>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（一）供应商小微企业证明文件、微型企业承诺书、监狱企业证明文件、残疾人福利性单位声明函</w:t>
      </w:r>
    </w:p>
    <w:p>
      <w:pPr>
        <w:tabs>
          <w:tab w:val="left" w:pos="6300"/>
        </w:tabs>
        <w:snapToGrid w:val="0"/>
        <w:spacing w:line="560" w:lineRule="exact"/>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1.供应商提供企业所在地的县级以上中小企业主管部门本年度出具的证明文件</w:t>
      </w:r>
    </w:p>
    <w:p>
      <w:pPr>
        <w:tabs>
          <w:tab w:val="left" w:pos="6300"/>
        </w:tabs>
        <w:snapToGrid w:val="0"/>
        <w:spacing w:line="560" w:lineRule="exact"/>
        <w:ind w:firstLine="560" w:firstLineChars="200"/>
        <w:rPr>
          <w:rFonts w:ascii="宋体" w:hAnsi="宋体" w:cs="宋体"/>
          <w:color w:val="000000" w:themeColor="text1"/>
          <w:szCs w:val="28"/>
          <w14:textFill>
            <w14:solidFill>
              <w14:schemeClr w14:val="tx1"/>
            </w14:solidFill>
          </w14:textFill>
        </w:rPr>
      </w:pPr>
    </w:p>
    <w:p>
      <w:pPr>
        <w:tabs>
          <w:tab w:val="left" w:pos="6300"/>
        </w:tabs>
        <w:snapToGrid w:val="0"/>
        <w:spacing w:line="560" w:lineRule="exact"/>
        <w:ind w:firstLine="560" w:firstLineChars="200"/>
        <w:rPr>
          <w:rFonts w:ascii="宋体" w:hAnsi="宋体" w:cs="宋体"/>
          <w:color w:val="000000" w:themeColor="text1"/>
          <w:szCs w:val="28"/>
          <w14:textFill>
            <w14:solidFill>
              <w14:schemeClr w14:val="tx1"/>
            </w14:solidFill>
          </w14:textFill>
        </w:rPr>
      </w:pPr>
    </w:p>
    <w:p>
      <w:pPr>
        <w:tabs>
          <w:tab w:val="left" w:pos="6300"/>
        </w:tabs>
        <w:snapToGrid w:val="0"/>
        <w:spacing w:line="560" w:lineRule="exact"/>
        <w:ind w:firstLine="560" w:firstLineChars="200"/>
        <w:rPr>
          <w:rFonts w:ascii="宋体" w:hAnsi="宋体" w:cs="宋体"/>
          <w:color w:val="000000" w:themeColor="text1"/>
          <w:szCs w:val="28"/>
          <w14:textFill>
            <w14:solidFill>
              <w14:schemeClr w14:val="tx1"/>
            </w14:solidFill>
          </w14:textFill>
        </w:rPr>
      </w:pPr>
    </w:p>
    <w:p>
      <w:pPr>
        <w:tabs>
          <w:tab w:val="left" w:pos="6300"/>
        </w:tabs>
        <w:snapToGrid w:val="0"/>
        <w:spacing w:line="560" w:lineRule="exact"/>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2.微型企业承诺书</w:t>
      </w:r>
    </w:p>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微型企业承诺书</w:t>
      </w:r>
    </w:p>
    <w:p>
      <w:pPr>
        <w:tabs>
          <w:tab w:val="left" w:pos="6300"/>
        </w:tabs>
        <w:snapToGrid w:val="0"/>
        <w:spacing w:line="560" w:lineRule="exact"/>
        <w:jc w:val="center"/>
        <w:outlineLvl w:val="0"/>
        <w:rPr>
          <w:rFonts w:ascii="宋体" w:hAnsi="宋体" w:cs="宋体"/>
          <w:color w:val="000000" w:themeColor="text1"/>
          <w:szCs w:val="28"/>
          <w14:textFill>
            <w14:solidFill>
              <w14:schemeClr w14:val="tx1"/>
            </w14:solidFill>
          </w14:textFill>
        </w:rPr>
      </w:pPr>
    </w:p>
    <w:p>
      <w:pPr>
        <w:tabs>
          <w:tab w:val="left" w:pos="6300"/>
        </w:tabs>
        <w:snapToGrid w:val="0"/>
        <w:spacing w:line="560" w:lineRule="exact"/>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项目名称：</w:t>
      </w:r>
      <w:r>
        <w:rPr>
          <w:rFonts w:hint="eastAsia" w:ascii="宋体" w:hAnsi="宋体" w:cs="宋体"/>
          <w:color w:val="000000" w:themeColor="text1"/>
          <w:szCs w:val="28"/>
          <w:u w:val="single"/>
          <w14:textFill>
            <w14:solidFill>
              <w14:schemeClr w14:val="tx1"/>
            </w14:solidFill>
          </w14:textFill>
        </w:rPr>
        <w:t xml:space="preserve">                                                </w:t>
      </w:r>
    </w:p>
    <w:p>
      <w:pPr>
        <w:tabs>
          <w:tab w:val="left" w:pos="6300"/>
        </w:tabs>
        <w:snapToGrid w:val="0"/>
        <w:spacing w:line="560" w:lineRule="exact"/>
        <w:ind w:firstLine="570"/>
        <w:rPr>
          <w:rFonts w:ascii="宋体" w:hAnsi="宋体" w:cs="宋体"/>
          <w:color w:val="000000" w:themeColor="text1"/>
          <w:szCs w:val="28"/>
          <w14:textFill>
            <w14:solidFill>
              <w14:schemeClr w14:val="tx1"/>
            </w14:solidFill>
          </w14:textFill>
        </w:rPr>
      </w:pPr>
    </w:p>
    <w:p>
      <w:pPr>
        <w:tabs>
          <w:tab w:val="left" w:pos="6300"/>
        </w:tabs>
        <w:snapToGrid w:val="0"/>
        <w:spacing w:line="560" w:lineRule="exact"/>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致：</w:t>
      </w:r>
      <w:r>
        <w:rPr>
          <w:rFonts w:hint="eastAsia" w:ascii="宋体" w:hAnsi="宋体" w:cs="宋体"/>
          <w:color w:val="000000" w:themeColor="text1"/>
          <w:szCs w:val="28"/>
          <w:u w:val="single"/>
          <w14:textFill>
            <w14:solidFill>
              <w14:schemeClr w14:val="tx1"/>
            </w14:solidFill>
          </w14:textFill>
        </w:rPr>
        <w:t xml:space="preserve">                   </w:t>
      </w:r>
      <w:r>
        <w:rPr>
          <w:rFonts w:hint="eastAsia" w:ascii="宋体" w:hAnsi="宋体" w:cs="宋体"/>
          <w:color w:val="000000" w:themeColor="text1"/>
          <w:szCs w:val="28"/>
          <w14:textFill>
            <w14:solidFill>
              <w14:schemeClr w14:val="tx1"/>
            </w14:solidFill>
          </w14:textFill>
        </w:rPr>
        <w:t>（采购代理机构名称）：</w:t>
      </w:r>
    </w:p>
    <w:p>
      <w:pPr>
        <w:tabs>
          <w:tab w:val="left" w:pos="6300"/>
        </w:tabs>
        <w:snapToGrid w:val="0"/>
        <w:spacing w:line="560" w:lineRule="exact"/>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u w:val="single"/>
          <w14:textFill>
            <w14:solidFill>
              <w14:schemeClr w14:val="tx1"/>
            </w14:solidFill>
          </w14:textFill>
        </w:rPr>
        <w:t xml:space="preserve">                      </w:t>
      </w:r>
      <w:r>
        <w:rPr>
          <w:rFonts w:hint="eastAsia" w:ascii="宋体" w:hAnsi="宋体" w:cs="宋体"/>
          <w:color w:val="000000" w:themeColor="text1"/>
          <w:szCs w:val="28"/>
          <w14:textFill>
            <w14:solidFill>
              <w14:schemeClr w14:val="tx1"/>
            </w14:solidFill>
          </w14:textFill>
        </w:rPr>
        <w:t>（供应商名称）郑重声明，我公司符合工信部联企业〔2011〕300号中微型企业的认定标准，属于微型企业，并且对于本次项目我公司仅提供本企业或其他微型企业（企业名称：</w:t>
      </w:r>
      <w:r>
        <w:rPr>
          <w:rFonts w:hint="eastAsia" w:ascii="宋体" w:hAnsi="宋体" w:cs="宋体"/>
          <w:color w:val="000000" w:themeColor="text1"/>
          <w:szCs w:val="28"/>
          <w:u w:val="single"/>
          <w14:textFill>
            <w14:solidFill>
              <w14:schemeClr w14:val="tx1"/>
            </w14:solidFill>
          </w14:textFill>
        </w:rPr>
        <w:t xml:space="preserve">          </w:t>
      </w:r>
      <w:r>
        <w:rPr>
          <w:rFonts w:hint="eastAsia" w:ascii="宋体" w:hAnsi="宋体" w:cs="宋体"/>
          <w:color w:val="000000" w:themeColor="text1"/>
          <w:szCs w:val="28"/>
          <w14:textFill>
            <w14:solidFill>
              <w14:schemeClr w14:val="tx1"/>
            </w14:solidFill>
          </w14:textFill>
        </w:rPr>
        <w:t>）制造的货物、承担的工程或者服务。我方对以上声明负全部法律责任。</w:t>
      </w:r>
    </w:p>
    <w:p>
      <w:pPr>
        <w:tabs>
          <w:tab w:val="left" w:pos="6300"/>
        </w:tabs>
        <w:snapToGrid w:val="0"/>
        <w:spacing w:line="560" w:lineRule="exact"/>
        <w:ind w:firstLine="560" w:firstLineChars="200"/>
        <w:rPr>
          <w:rFonts w:ascii="宋体" w:hAnsi="宋体" w:cs="宋体"/>
          <w:color w:val="000000" w:themeColor="text1"/>
          <w:szCs w:val="28"/>
          <w14:textFill>
            <w14:solidFill>
              <w14:schemeClr w14:val="tx1"/>
            </w14:solidFill>
          </w14:textFill>
        </w:rPr>
      </w:pPr>
    </w:p>
    <w:p>
      <w:pPr>
        <w:tabs>
          <w:tab w:val="left" w:pos="6300"/>
        </w:tabs>
        <w:snapToGrid w:val="0"/>
        <w:spacing w:line="560" w:lineRule="exact"/>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特此承诺。</w:t>
      </w:r>
    </w:p>
    <w:p>
      <w:pPr>
        <w:tabs>
          <w:tab w:val="left" w:pos="6300"/>
        </w:tabs>
        <w:snapToGrid w:val="0"/>
        <w:spacing w:line="560" w:lineRule="exact"/>
        <w:ind w:firstLine="570"/>
        <w:rPr>
          <w:rFonts w:ascii="宋体" w:hAnsi="宋体" w:cs="宋体"/>
          <w:color w:val="000000" w:themeColor="text1"/>
          <w:szCs w:val="28"/>
          <w14:textFill>
            <w14:solidFill>
              <w14:schemeClr w14:val="tx1"/>
            </w14:solidFill>
          </w14:textFill>
        </w:rPr>
      </w:pPr>
    </w:p>
    <w:p>
      <w:pPr>
        <w:tabs>
          <w:tab w:val="left" w:pos="6300"/>
        </w:tabs>
        <w:snapToGrid w:val="0"/>
        <w:spacing w:line="560" w:lineRule="exact"/>
        <w:ind w:firstLine="570"/>
        <w:rPr>
          <w:rFonts w:ascii="宋体" w:hAnsi="宋体" w:cs="宋体"/>
          <w:color w:val="000000" w:themeColor="text1"/>
          <w:szCs w:val="28"/>
          <w14:textFill>
            <w14:solidFill>
              <w14:schemeClr w14:val="tx1"/>
            </w14:solidFill>
          </w14:textFill>
        </w:rPr>
      </w:pPr>
    </w:p>
    <w:p>
      <w:pPr>
        <w:tabs>
          <w:tab w:val="left" w:pos="6300"/>
        </w:tabs>
        <w:snapToGrid w:val="0"/>
        <w:spacing w:line="560" w:lineRule="exact"/>
        <w:ind w:firstLine="570"/>
        <w:rPr>
          <w:rFonts w:ascii="宋体" w:hAnsi="宋体" w:cs="宋体"/>
          <w:color w:val="000000" w:themeColor="text1"/>
          <w:szCs w:val="28"/>
          <w14:textFill>
            <w14:solidFill>
              <w14:schemeClr w14:val="tx1"/>
            </w14:solidFill>
          </w14:textFill>
        </w:rPr>
      </w:pPr>
    </w:p>
    <w:p>
      <w:pPr>
        <w:tabs>
          <w:tab w:val="left" w:pos="6300"/>
        </w:tabs>
        <w:snapToGrid w:val="0"/>
        <w:spacing w:line="560" w:lineRule="exact"/>
        <w:ind w:firstLine="570"/>
        <w:jc w:val="right"/>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供应商名称（盖章）：</w:t>
      </w:r>
    </w:p>
    <w:p>
      <w:pPr>
        <w:tabs>
          <w:tab w:val="left" w:pos="6300"/>
        </w:tabs>
        <w:snapToGrid w:val="0"/>
        <w:spacing w:line="560" w:lineRule="exact"/>
        <w:ind w:firstLine="7840" w:firstLineChars="2800"/>
        <w:jc w:val="left"/>
        <w:outlineLvl w:val="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日  期：</w:t>
      </w:r>
    </w:p>
    <w:p>
      <w:pPr>
        <w:tabs>
          <w:tab w:val="left" w:pos="6300"/>
        </w:tabs>
        <w:snapToGrid w:val="0"/>
        <w:spacing w:line="560" w:lineRule="exact"/>
        <w:ind w:firstLine="560" w:firstLineChars="200"/>
        <w:outlineLvl w:val="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br w:type="page"/>
      </w:r>
      <w:r>
        <w:rPr>
          <w:rFonts w:hint="eastAsia" w:ascii="宋体" w:hAnsi="宋体" w:cs="宋体"/>
          <w:color w:val="000000" w:themeColor="text1"/>
          <w:szCs w:val="28"/>
          <w14:textFill>
            <w14:solidFill>
              <w14:schemeClr w14:val="tx1"/>
            </w14:solidFill>
          </w14:textFill>
        </w:rPr>
        <w:t>3.监狱企业证明文件</w:t>
      </w:r>
    </w:p>
    <w:p>
      <w:pPr>
        <w:tabs>
          <w:tab w:val="left" w:pos="6300"/>
        </w:tabs>
        <w:snapToGrid w:val="0"/>
        <w:spacing w:line="560" w:lineRule="exact"/>
        <w:ind w:firstLine="560" w:firstLineChars="200"/>
        <w:outlineLvl w:val="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以省级以上监狱管理局、戒毒管理局（含新疆生产建设兵团）出具的属于监狱企业的证明文件为准。</w:t>
      </w:r>
      <w:r>
        <w:rPr>
          <w:rFonts w:hint="eastAsia" w:ascii="宋体" w:hAnsi="宋体" w:cs="宋体"/>
          <w:color w:val="000000" w:themeColor="text1"/>
          <w:szCs w:val="28"/>
          <w14:textFill>
            <w14:solidFill>
              <w14:schemeClr w14:val="tx1"/>
            </w14:solidFill>
          </w14:textFill>
        </w:rPr>
        <w:br w:type="page"/>
      </w:r>
      <w:r>
        <w:rPr>
          <w:rFonts w:hint="eastAsia" w:ascii="宋体" w:hAnsi="宋体" w:cs="宋体"/>
          <w:color w:val="000000" w:themeColor="text1"/>
          <w:szCs w:val="28"/>
          <w14:textFill>
            <w14:solidFill>
              <w14:schemeClr w14:val="tx1"/>
            </w14:solidFill>
          </w14:textFill>
        </w:rPr>
        <w:t>4.残疾人福利性单位声明函</w:t>
      </w:r>
    </w:p>
    <w:p>
      <w:pPr>
        <w:tabs>
          <w:tab w:val="left" w:pos="6300"/>
        </w:tabs>
        <w:snapToGrid w:val="0"/>
        <w:spacing w:line="560" w:lineRule="exact"/>
        <w:ind w:firstLine="560" w:firstLineChars="200"/>
        <w:outlineLvl w:val="0"/>
        <w:rPr>
          <w:rFonts w:ascii="宋体" w:hAnsi="宋体" w:cs="宋体"/>
          <w:color w:val="000000" w:themeColor="text1"/>
          <w:szCs w:val="28"/>
          <w14:textFill>
            <w14:solidFill>
              <w14:schemeClr w14:val="tx1"/>
            </w14:solidFill>
          </w14:textFill>
        </w:rPr>
      </w:pPr>
    </w:p>
    <w:p>
      <w:pPr>
        <w:tabs>
          <w:tab w:val="left" w:pos="6300"/>
        </w:tabs>
        <w:snapToGrid w:val="0"/>
        <w:spacing w:line="560" w:lineRule="exact"/>
        <w:ind w:firstLine="560" w:firstLineChars="200"/>
        <w:jc w:val="center"/>
        <w:outlineLvl w:val="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残疾人福利性单位声明函</w:t>
      </w:r>
    </w:p>
    <w:p>
      <w:pPr>
        <w:tabs>
          <w:tab w:val="left" w:pos="6300"/>
        </w:tabs>
        <w:snapToGrid w:val="0"/>
        <w:spacing w:line="560" w:lineRule="exact"/>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60" w:lineRule="exact"/>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本单位对上述声明的真实性负责。如有虚假，将依法承担相应责任。</w:t>
      </w:r>
    </w:p>
    <w:p>
      <w:pPr>
        <w:tabs>
          <w:tab w:val="left" w:pos="6300"/>
        </w:tabs>
        <w:snapToGrid w:val="0"/>
        <w:spacing w:line="560" w:lineRule="exact"/>
        <w:ind w:firstLine="560" w:firstLineChars="200"/>
        <w:rPr>
          <w:rFonts w:ascii="宋体" w:hAnsi="宋体" w:cs="宋体"/>
          <w:color w:val="000000" w:themeColor="text1"/>
          <w:szCs w:val="28"/>
          <w14:textFill>
            <w14:solidFill>
              <w14:schemeClr w14:val="tx1"/>
            </w14:solidFill>
          </w14:textFill>
        </w:rPr>
      </w:pPr>
    </w:p>
    <w:p>
      <w:pPr>
        <w:tabs>
          <w:tab w:val="left" w:pos="6300"/>
        </w:tabs>
        <w:snapToGrid w:val="0"/>
        <w:spacing w:line="560" w:lineRule="exact"/>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 xml:space="preserve">                                        供应商名称（盖章）：</w:t>
      </w:r>
    </w:p>
    <w:p>
      <w:pPr>
        <w:tabs>
          <w:tab w:val="left" w:pos="6300"/>
        </w:tabs>
        <w:snapToGrid w:val="0"/>
        <w:spacing w:line="560" w:lineRule="exact"/>
        <w:ind w:firstLine="570"/>
        <w:jc w:val="left"/>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 xml:space="preserve">                                         日  期：</w:t>
      </w:r>
    </w:p>
    <w:p>
      <w:pPr>
        <w:spacing w:line="560" w:lineRule="exact"/>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br w:type="page"/>
      </w:r>
      <w:r>
        <w:rPr>
          <w:rFonts w:hint="eastAsia" w:ascii="宋体" w:hAnsi="宋体" w:cs="宋体"/>
          <w:color w:val="000000" w:themeColor="text1"/>
          <w:szCs w:val="28"/>
          <w14:textFill>
            <w14:solidFill>
              <w14:schemeClr w14:val="tx1"/>
            </w14:solidFill>
          </w14:textFill>
        </w:rPr>
        <w:t>（二）其他与项目有关的资料（自附）</w:t>
      </w:r>
    </w:p>
    <w:p>
      <w:pPr>
        <w:spacing w:line="560" w:lineRule="exact"/>
        <w:ind w:firstLine="560" w:firstLineChars="200"/>
        <w:rPr>
          <w:rFonts w:ascii="宋体" w:hAnsi="宋体" w:cs="宋体"/>
          <w:color w:val="000000" w:themeColor="text1"/>
          <w:szCs w:val="28"/>
          <w14:textFill>
            <w14:solidFill>
              <w14:schemeClr w14:val="tx1"/>
            </w14:solidFill>
          </w14:textFill>
        </w:rPr>
      </w:pPr>
    </w:p>
    <w:p>
      <w:pPr>
        <w:spacing w:line="560" w:lineRule="exact"/>
        <w:ind w:firstLine="560" w:firstLineChars="200"/>
        <w:jc w:val="center"/>
        <w:rPr>
          <w:rFonts w:ascii="宋体" w:hAnsi="宋体" w:cs="宋体"/>
          <w:color w:val="000000" w:themeColor="text1"/>
          <w:szCs w:val="28"/>
          <w14:textFill>
            <w14:solidFill>
              <w14:schemeClr w14:val="tx1"/>
            </w14:solidFill>
          </w14:textFill>
        </w:rPr>
      </w:pPr>
    </w:p>
    <w:p>
      <w:pPr>
        <w:spacing w:line="560" w:lineRule="exact"/>
        <w:ind w:firstLine="560" w:firstLineChars="200"/>
        <w:jc w:val="center"/>
        <w:rPr>
          <w:rFonts w:ascii="宋体" w:hAnsi="宋体" w:cs="宋体"/>
          <w:color w:val="000000" w:themeColor="text1"/>
          <w:szCs w:val="28"/>
          <w14:textFill>
            <w14:solidFill>
              <w14:schemeClr w14:val="tx1"/>
            </w14:solidFill>
          </w14:textFill>
        </w:rPr>
      </w:pPr>
    </w:p>
    <w:p>
      <w:pPr>
        <w:spacing w:line="560" w:lineRule="exact"/>
        <w:ind w:firstLine="560" w:firstLineChars="200"/>
        <w:jc w:val="center"/>
        <w:rPr>
          <w:rFonts w:ascii="宋体" w:hAnsi="宋体" w:cs="宋体"/>
          <w:color w:val="000000" w:themeColor="text1"/>
          <w:szCs w:val="28"/>
          <w14:textFill>
            <w14:solidFill>
              <w14:schemeClr w14:val="tx1"/>
            </w14:solidFill>
          </w14:textFill>
        </w:rPr>
      </w:pPr>
    </w:p>
    <w:p>
      <w:pPr>
        <w:spacing w:line="560" w:lineRule="exact"/>
        <w:ind w:firstLine="560" w:firstLineChars="200"/>
        <w:jc w:val="center"/>
        <w:rPr>
          <w:rFonts w:ascii="宋体" w:hAnsi="宋体" w:cs="宋体"/>
          <w:color w:val="000000" w:themeColor="text1"/>
          <w:szCs w:val="28"/>
          <w14:textFill>
            <w14:solidFill>
              <w14:schemeClr w14:val="tx1"/>
            </w14:solidFill>
          </w14:textFill>
        </w:rPr>
      </w:pPr>
    </w:p>
    <w:p>
      <w:pPr>
        <w:spacing w:line="560" w:lineRule="exact"/>
        <w:ind w:firstLine="560" w:firstLineChars="200"/>
        <w:jc w:val="center"/>
        <w:rPr>
          <w:rFonts w:ascii="宋体" w:hAnsi="宋体" w:cs="宋体"/>
          <w:color w:val="000000" w:themeColor="text1"/>
          <w:szCs w:val="28"/>
          <w14:textFill>
            <w14:solidFill>
              <w14:schemeClr w14:val="tx1"/>
            </w14:solidFill>
          </w14:textFill>
        </w:rPr>
      </w:pPr>
    </w:p>
    <w:p>
      <w:pPr>
        <w:spacing w:line="560" w:lineRule="exact"/>
        <w:ind w:firstLine="560" w:firstLineChars="200"/>
        <w:jc w:val="center"/>
        <w:rPr>
          <w:rFonts w:ascii="宋体" w:hAnsi="宋体" w:cs="宋体"/>
          <w:color w:val="000000" w:themeColor="text1"/>
          <w:szCs w:val="28"/>
          <w14:textFill>
            <w14:solidFill>
              <w14:schemeClr w14:val="tx1"/>
            </w14:solidFill>
          </w14:textFill>
        </w:rPr>
      </w:pPr>
    </w:p>
    <w:p>
      <w:pPr>
        <w:spacing w:line="560" w:lineRule="exact"/>
        <w:ind w:firstLine="560" w:firstLineChars="200"/>
        <w:jc w:val="center"/>
        <w:rPr>
          <w:rFonts w:ascii="宋体" w:hAnsi="宋体" w:cs="宋体"/>
          <w:color w:val="000000" w:themeColor="text1"/>
          <w:szCs w:val="28"/>
          <w14:textFill>
            <w14:solidFill>
              <w14:schemeClr w14:val="tx1"/>
            </w14:solidFill>
          </w14:textFill>
        </w:rPr>
      </w:pPr>
    </w:p>
    <w:p>
      <w:pPr>
        <w:spacing w:line="560" w:lineRule="exact"/>
        <w:ind w:firstLine="560" w:firstLineChars="200"/>
        <w:jc w:val="center"/>
        <w:rPr>
          <w:rFonts w:ascii="宋体" w:hAnsi="宋体" w:cs="宋体"/>
          <w:color w:val="000000" w:themeColor="text1"/>
          <w:szCs w:val="28"/>
          <w14:textFill>
            <w14:solidFill>
              <w14:schemeClr w14:val="tx1"/>
            </w14:solidFill>
          </w14:textFill>
        </w:rPr>
      </w:pPr>
    </w:p>
    <w:p>
      <w:pPr>
        <w:spacing w:line="560" w:lineRule="exact"/>
        <w:ind w:firstLine="560" w:firstLineChars="200"/>
        <w:jc w:val="center"/>
        <w:rPr>
          <w:rFonts w:ascii="宋体" w:hAnsi="宋体" w:cs="宋体"/>
          <w:color w:val="000000" w:themeColor="text1"/>
          <w:szCs w:val="28"/>
          <w14:textFill>
            <w14:solidFill>
              <w14:schemeClr w14:val="tx1"/>
            </w14:solidFill>
          </w14:textFill>
        </w:rPr>
      </w:pPr>
    </w:p>
    <w:p>
      <w:pPr>
        <w:spacing w:line="560" w:lineRule="exact"/>
        <w:ind w:firstLine="560" w:firstLineChars="200"/>
        <w:jc w:val="center"/>
        <w:rPr>
          <w:rFonts w:ascii="宋体" w:hAnsi="宋体" w:cs="宋体"/>
          <w:color w:val="000000" w:themeColor="text1"/>
          <w:szCs w:val="28"/>
          <w14:textFill>
            <w14:solidFill>
              <w14:schemeClr w14:val="tx1"/>
            </w14:solidFill>
          </w14:textFill>
        </w:rPr>
      </w:pPr>
    </w:p>
    <w:p>
      <w:pPr>
        <w:spacing w:line="560" w:lineRule="exact"/>
        <w:ind w:firstLine="560" w:firstLineChars="200"/>
        <w:jc w:val="center"/>
        <w:rPr>
          <w:rFonts w:ascii="宋体" w:hAnsi="宋体" w:cs="宋体"/>
          <w:color w:val="000000" w:themeColor="text1"/>
          <w:szCs w:val="28"/>
          <w14:textFill>
            <w14:solidFill>
              <w14:schemeClr w14:val="tx1"/>
            </w14:solidFill>
          </w14:textFill>
        </w:rPr>
      </w:pPr>
    </w:p>
    <w:p>
      <w:pPr>
        <w:spacing w:line="560" w:lineRule="exact"/>
        <w:ind w:firstLine="560" w:firstLineChars="200"/>
        <w:jc w:val="center"/>
        <w:rPr>
          <w:rFonts w:ascii="宋体" w:hAnsi="宋体" w:cs="宋体"/>
          <w:color w:val="000000" w:themeColor="text1"/>
          <w:szCs w:val="28"/>
          <w14:textFill>
            <w14:solidFill>
              <w14:schemeClr w14:val="tx1"/>
            </w14:solidFill>
          </w14:textFill>
        </w:rPr>
      </w:pPr>
    </w:p>
    <w:p>
      <w:pPr>
        <w:spacing w:line="560" w:lineRule="exact"/>
        <w:ind w:firstLine="560" w:firstLineChars="200"/>
        <w:jc w:val="center"/>
        <w:rPr>
          <w:rFonts w:ascii="宋体" w:hAnsi="宋体" w:cs="宋体"/>
          <w:color w:val="000000" w:themeColor="text1"/>
          <w:szCs w:val="28"/>
          <w14:textFill>
            <w14:solidFill>
              <w14:schemeClr w14:val="tx1"/>
            </w14:solidFill>
          </w14:textFill>
        </w:rPr>
      </w:pPr>
    </w:p>
    <w:p>
      <w:pPr>
        <w:spacing w:line="560" w:lineRule="exact"/>
        <w:ind w:firstLine="560" w:firstLineChars="200"/>
        <w:jc w:val="center"/>
        <w:rPr>
          <w:rFonts w:ascii="宋体" w:hAnsi="宋体" w:cs="宋体"/>
          <w:color w:val="000000" w:themeColor="text1"/>
          <w:szCs w:val="28"/>
          <w14:textFill>
            <w14:solidFill>
              <w14:schemeClr w14:val="tx1"/>
            </w14:solidFill>
          </w14:textFill>
        </w:rPr>
      </w:pPr>
    </w:p>
    <w:p>
      <w:pPr>
        <w:spacing w:line="560" w:lineRule="exact"/>
        <w:ind w:firstLine="560" w:firstLineChars="200"/>
        <w:jc w:val="center"/>
        <w:rPr>
          <w:rFonts w:ascii="宋体" w:hAnsi="宋体" w:cs="宋体"/>
          <w:color w:val="000000" w:themeColor="text1"/>
          <w:szCs w:val="28"/>
          <w14:textFill>
            <w14:solidFill>
              <w14:schemeClr w14:val="tx1"/>
            </w14:solidFill>
          </w14:textFill>
        </w:rPr>
      </w:pPr>
    </w:p>
    <w:p>
      <w:pPr>
        <w:spacing w:line="560" w:lineRule="exact"/>
        <w:ind w:firstLine="560" w:firstLineChars="200"/>
        <w:jc w:val="center"/>
        <w:rPr>
          <w:rFonts w:ascii="宋体" w:hAnsi="宋体" w:cs="宋体"/>
          <w:color w:val="000000" w:themeColor="text1"/>
          <w:szCs w:val="28"/>
          <w14:textFill>
            <w14:solidFill>
              <w14:schemeClr w14:val="tx1"/>
            </w14:solidFill>
          </w14:textFill>
        </w:rPr>
      </w:pPr>
    </w:p>
    <w:p>
      <w:pPr>
        <w:spacing w:line="560" w:lineRule="exact"/>
        <w:ind w:firstLine="560" w:firstLineChars="200"/>
        <w:jc w:val="center"/>
        <w:rPr>
          <w:rFonts w:ascii="宋体" w:hAnsi="宋体" w:cs="宋体"/>
          <w:color w:val="000000" w:themeColor="text1"/>
          <w:szCs w:val="28"/>
          <w14:textFill>
            <w14:solidFill>
              <w14:schemeClr w14:val="tx1"/>
            </w14:solidFill>
          </w14:textFill>
        </w:rPr>
      </w:pPr>
    </w:p>
    <w:p>
      <w:pPr>
        <w:spacing w:line="560" w:lineRule="exact"/>
        <w:ind w:firstLine="560" w:firstLineChars="200"/>
        <w:jc w:val="center"/>
        <w:rPr>
          <w:rFonts w:ascii="宋体" w:hAnsi="宋体" w:cs="宋体"/>
          <w:color w:val="000000" w:themeColor="text1"/>
          <w:szCs w:val="28"/>
          <w14:textFill>
            <w14:solidFill>
              <w14:schemeClr w14:val="tx1"/>
            </w14:solidFill>
          </w14:textFill>
        </w:rPr>
      </w:pPr>
    </w:p>
    <w:p>
      <w:pPr>
        <w:spacing w:line="560" w:lineRule="exact"/>
        <w:ind w:firstLine="560" w:firstLineChars="200"/>
        <w:jc w:val="center"/>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（结束）</w:t>
      </w:r>
    </w:p>
    <w:p>
      <w:pPr>
        <w:rPr>
          <w:rFonts w:ascii="宋体" w:hAnsi="宋体" w:cs="宋体"/>
          <w:color w:val="000000" w:themeColor="text1"/>
          <w14:textFill>
            <w14:solidFill>
              <w14:schemeClr w14:val="tx1"/>
            </w14:solidFill>
          </w14:textFill>
        </w:rPr>
      </w:pPr>
    </w:p>
    <w:sectPr>
      <w:headerReference r:id="rId18"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0549A78-B0F4-4DB3-BE3C-317CF8D104D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w:panose1 w:val="02010601000101010101"/>
    <w:charset w:val="88"/>
    <w:family w:val="roman"/>
    <w:pitch w:val="default"/>
    <w:sig w:usb0="00000000" w:usb1="00000000"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embedRegular r:id="rId2" w:fontKey="{2CE42E41-D383-4144-BD49-622FF8F958D8}"/>
  </w:font>
  <w:font w:name="昆仑楷体">
    <w:altName w:val="宋体"/>
    <w:panose1 w:val="00000000000000000000"/>
    <w:charset w:val="86"/>
    <w:family w:val="decorative"/>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文鼎粗黑">
    <w:altName w:val="黑体"/>
    <w:panose1 w:val="00000000000000000000"/>
    <w:charset w:val="86"/>
    <w:family w:val="decorative"/>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方正仿宋_GBK">
    <w:panose1 w:val="03000509000000000000"/>
    <w:charset w:val="86"/>
    <w:family w:val="script"/>
    <w:pitch w:val="default"/>
    <w:sig w:usb0="00000001" w:usb1="080E0000" w:usb2="00000000" w:usb3="00000000" w:csb0="00040000" w:csb1="00000000"/>
    <w:embedRegular r:id="rId3" w:fontKey="{CD283AA5-79CA-458E-BF1A-D406F9136512}"/>
  </w:font>
  <w:font w:name="方正小标宋简体">
    <w:panose1 w:val="02000000000000000000"/>
    <w:charset w:val="86"/>
    <w:family w:val="auto"/>
    <w:pitch w:val="default"/>
    <w:sig w:usb0="00000001" w:usb1="08000000" w:usb2="00000000" w:usb3="00000000" w:csb0="00040000" w:csb1="00000000"/>
    <w:embedRegular r:id="rId4" w:fontKey="{45B4D794-8B80-44E5-ADEA-8A102ABB9FBB}"/>
  </w:font>
  <w:font w:name="Wingdings 2">
    <w:altName w:val="Wingdings"/>
    <w:panose1 w:val="05020102010507070707"/>
    <w:charset w:val="02"/>
    <w:family w:val="roman"/>
    <w:pitch w:val="default"/>
    <w:sig w:usb0="00000000" w:usb1="00000000" w:usb2="00000000" w:usb3="00000000" w:csb0="80000000" w:csb1="00000000"/>
    <w:embedRegular r:id="rId5" w:fontKey="{60065FE8-17A8-4822-B729-83271F784A2A}"/>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6"/>
                            <w:jc w:val="center"/>
                            <w:rPr>
                              <w:rStyle w:val="61"/>
                            </w:rPr>
                          </w:pPr>
                          <w:r>
                            <w:rPr>
                              <w:rFonts w:ascii="宋体"/>
                              <w:sz w:val="28"/>
                            </w:rPr>
                            <w:fldChar w:fldCharType="begin"/>
                          </w:r>
                          <w:r>
                            <w:rPr>
                              <w:rStyle w:val="61"/>
                            </w:rPr>
                            <w:instrText xml:space="preserve">PAGE  </w:instrText>
                          </w:r>
                          <w:r>
                            <w:rPr>
                              <w:rFonts w:ascii="宋体"/>
                              <w:sz w:val="28"/>
                            </w:rPr>
                            <w:fldChar w:fldCharType="separate"/>
                          </w:r>
                          <w:r>
                            <w:rPr>
                              <w:rStyle w:val="61"/>
                            </w:rPr>
                            <w:t>- 1 -</w:t>
                          </w:r>
                          <w:r>
                            <w:rPr>
                              <w:rFonts w:ascii="宋体"/>
                              <w:sz w:val="28"/>
                            </w:rPr>
                            <w:fldChar w:fldCharType="end"/>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6"/>
                      <w:jc w:val="center"/>
                      <w:rPr>
                        <w:rStyle w:val="61"/>
                      </w:rPr>
                    </w:pPr>
                    <w:r>
                      <w:rPr>
                        <w:rFonts w:ascii="宋体"/>
                        <w:sz w:val="28"/>
                      </w:rPr>
                      <w:fldChar w:fldCharType="begin"/>
                    </w:r>
                    <w:r>
                      <w:rPr>
                        <w:rStyle w:val="61"/>
                      </w:rPr>
                      <w:instrText xml:space="preserve">PAGE  </w:instrText>
                    </w:r>
                    <w:r>
                      <w:rPr>
                        <w:rFonts w:ascii="宋体"/>
                        <w:sz w:val="28"/>
                      </w:rPr>
                      <w:fldChar w:fldCharType="separate"/>
                    </w:r>
                    <w:r>
                      <w:rPr>
                        <w:rStyle w:val="61"/>
                      </w:rPr>
                      <w:t>- 1 -</w:t>
                    </w:r>
                    <w:r>
                      <w:rPr>
                        <w:rFonts w:ascii="宋体"/>
                        <w:sz w:val="28"/>
                      </w:rPr>
                      <w:fldChar w:fldCharType="end"/>
                    </w:r>
                  </w:p>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6"/>
                          </w:pPr>
                          <w:r>
                            <w:fldChar w:fldCharType="begin"/>
                          </w:r>
                          <w:r>
                            <w:instrText xml:space="preserve"> PAGE  \* MERGEFORMAT </w:instrText>
                          </w:r>
                          <w:r>
                            <w:fldChar w:fldCharType="separate"/>
                          </w:r>
                          <w:r>
                            <w:t>- 54 -</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wVircYBAACb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SkjuhvD5HGyNMl1BGKWCWH3izzm/YrLcVjP1c9/FOb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bBWKtxgEAAJsDAAAOAAAAAAAAAAEAIAAAAB4BAABkcnMvZTJvRG9jLnht&#10;bFBLBQYAAAAABgAGAFkBAABWBQAAAAA=&#10;">
              <v:fill on="f" focussize="0,0"/>
              <v:stroke on="f"/>
              <v:imagedata o:title=""/>
              <o:lock v:ext="edit" aspectratio="f"/>
              <v:textbox inset="0mm,0mm,0mm,0mm" style="mso-fit-shape-to-text:t;">
                <w:txbxContent>
                  <w:p>
                    <w:pPr>
                      <w:pStyle w:val="36"/>
                    </w:pPr>
                    <w:r>
                      <w:fldChar w:fldCharType="begin"/>
                    </w:r>
                    <w:r>
                      <w:instrText xml:space="preserve"> PAGE  \* MERGEFORMAT </w:instrText>
                    </w:r>
                    <w:r>
                      <w:fldChar w:fldCharType="separate"/>
                    </w:r>
                    <w:r>
                      <w:t>- 54 -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61"/>
      </w:rPr>
    </w:pPr>
    <w:r>
      <w:fldChar w:fldCharType="begin"/>
    </w:r>
    <w:r>
      <w:rPr>
        <w:rStyle w:val="61"/>
      </w:rPr>
      <w:instrText xml:space="preserve">PAGE  </w:instrText>
    </w:r>
    <w:r>
      <w:fldChar w:fldCharType="end"/>
    </w:r>
  </w:p>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rPr>
        <w:rStyle w:val="61"/>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6"/>
                          </w:pPr>
                          <w:r>
                            <w:fldChar w:fldCharType="begin"/>
                          </w:r>
                          <w:r>
                            <w:instrText xml:space="preserve"> PAGE  \* MERGEFORMAT </w:instrText>
                          </w:r>
                          <w:r>
                            <w:fldChar w:fldCharType="separate"/>
                          </w:r>
                          <w:r>
                            <w:t>- 0 -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36"/>
                    </w:pPr>
                    <w:r>
                      <w:fldChar w:fldCharType="begin"/>
                    </w:r>
                    <w:r>
                      <w:instrText xml:space="preserve"> PAGE  \* MERGEFORMAT </w:instrText>
                    </w:r>
                    <w:r>
                      <w:fldChar w:fldCharType="separate"/>
                    </w:r>
                    <w:r>
                      <w:t>- 0 -</w:t>
                    </w:r>
                    <w:r>
                      <w:fldChar w:fldCharType="end"/>
                    </w:r>
                  </w:p>
                </w:txbxContent>
              </v:textbox>
            </v:shape>
          </w:pict>
        </mc:Fallback>
      </mc:AlternateContent>
    </w:r>
  </w:p>
  <w:p>
    <w:pPr>
      <w:pStyle w:val="36"/>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6"/>
                            <w:jc w:val="center"/>
                            <w:rPr>
                              <w:rStyle w:val="61"/>
                              <w:rFonts w:ascii="宋体"/>
                              <w:sz w:val="21"/>
                              <w:szCs w:val="21"/>
                            </w:rPr>
                          </w:pPr>
                          <w:r>
                            <w:rPr>
                              <w:rFonts w:ascii="宋体"/>
                              <w:sz w:val="21"/>
                              <w:szCs w:val="21"/>
                            </w:rPr>
                            <w:fldChar w:fldCharType="begin"/>
                          </w:r>
                          <w:r>
                            <w:rPr>
                              <w:rStyle w:val="61"/>
                              <w:rFonts w:ascii="宋体"/>
                              <w:sz w:val="21"/>
                              <w:szCs w:val="21"/>
                            </w:rPr>
                            <w:instrText xml:space="preserve">PAGE  </w:instrText>
                          </w:r>
                          <w:r>
                            <w:rPr>
                              <w:rFonts w:ascii="宋体"/>
                              <w:sz w:val="21"/>
                              <w:szCs w:val="21"/>
                            </w:rPr>
                            <w:fldChar w:fldCharType="separate"/>
                          </w:r>
                          <w:r>
                            <w:rPr>
                              <w:rStyle w:val="61"/>
                              <w:rFonts w:ascii="宋体"/>
                              <w:sz w:val="21"/>
                              <w:szCs w:val="21"/>
                            </w:rPr>
                            <w:t>- 1 -</w:t>
                          </w:r>
                          <w:r>
                            <w:rPr>
                              <w:rFonts w:ascii="宋体"/>
                              <w:sz w:val="21"/>
                              <w:szCs w:val="21"/>
                            </w:rPr>
                            <w:fldChar w:fldCharType="end"/>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36"/>
                      <w:jc w:val="center"/>
                      <w:rPr>
                        <w:rStyle w:val="61"/>
                        <w:rFonts w:ascii="宋体"/>
                        <w:sz w:val="21"/>
                        <w:szCs w:val="21"/>
                      </w:rPr>
                    </w:pPr>
                    <w:r>
                      <w:rPr>
                        <w:rFonts w:ascii="宋体"/>
                        <w:sz w:val="21"/>
                        <w:szCs w:val="21"/>
                      </w:rPr>
                      <w:fldChar w:fldCharType="begin"/>
                    </w:r>
                    <w:r>
                      <w:rPr>
                        <w:rStyle w:val="61"/>
                        <w:rFonts w:ascii="宋体"/>
                        <w:sz w:val="21"/>
                        <w:szCs w:val="21"/>
                      </w:rPr>
                      <w:instrText xml:space="preserve">PAGE  </w:instrText>
                    </w:r>
                    <w:r>
                      <w:rPr>
                        <w:rFonts w:ascii="宋体"/>
                        <w:sz w:val="21"/>
                        <w:szCs w:val="21"/>
                      </w:rPr>
                      <w:fldChar w:fldCharType="separate"/>
                    </w:r>
                    <w:r>
                      <w:rPr>
                        <w:rStyle w:val="61"/>
                        <w:rFonts w:ascii="宋体"/>
                        <w:sz w:val="21"/>
                        <w:szCs w:val="21"/>
                      </w:rPr>
                      <w:t>- 1 -</w:t>
                    </w:r>
                    <w:r>
                      <w:rPr>
                        <w:rFonts w:ascii="宋体"/>
                        <w:sz w:val="21"/>
                        <w:szCs w:val="21"/>
                      </w:rPr>
                      <w:fldChar w:fldCharType="end"/>
                    </w:r>
                  </w:p>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61"/>
      </w:rPr>
    </w:pPr>
    <w:r>
      <w:fldChar w:fldCharType="begin"/>
    </w:r>
    <w:r>
      <w:rPr>
        <w:rStyle w:val="61"/>
      </w:rPr>
      <w:instrText xml:space="preserve">PAGE  </w:instrText>
    </w:r>
    <w:r>
      <w:fldChar w:fldCharType="end"/>
    </w:r>
  </w:p>
  <w:p>
    <w:pPr>
      <w:pStyle w:val="3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61"/>
      </w:rPr>
    </w:pPr>
  </w:p>
  <w:p>
    <w:pPr>
      <w:pStyle w:val="36"/>
      <w:jc w:val="center"/>
      <w:rPr>
        <w:rFonts w:ascii="宋体" w:hAnsi="宋体"/>
        <w:sz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6"/>
                            <w:jc w:val="center"/>
                            <w:rPr>
                              <w:rStyle w:val="61"/>
                              <w:rFonts w:ascii="宋体"/>
                              <w:sz w:val="21"/>
                              <w:szCs w:val="21"/>
                            </w:rPr>
                          </w:pPr>
                          <w:r>
                            <w:rPr>
                              <w:rFonts w:ascii="宋体"/>
                              <w:sz w:val="21"/>
                              <w:szCs w:val="21"/>
                            </w:rPr>
                            <w:fldChar w:fldCharType="begin"/>
                          </w:r>
                          <w:r>
                            <w:rPr>
                              <w:rStyle w:val="61"/>
                              <w:rFonts w:ascii="宋体"/>
                              <w:sz w:val="21"/>
                              <w:szCs w:val="21"/>
                            </w:rPr>
                            <w:instrText xml:space="preserve">PAGE  </w:instrText>
                          </w:r>
                          <w:r>
                            <w:rPr>
                              <w:rFonts w:ascii="宋体"/>
                              <w:sz w:val="21"/>
                              <w:szCs w:val="21"/>
                            </w:rPr>
                            <w:fldChar w:fldCharType="separate"/>
                          </w:r>
                          <w:r>
                            <w:rPr>
                              <w:rStyle w:val="61"/>
                              <w:rFonts w:ascii="宋体"/>
                              <w:sz w:val="21"/>
                              <w:szCs w:val="21"/>
                            </w:rPr>
                            <w:t>- 4 -</w:t>
                          </w:r>
                          <w:r>
                            <w:rPr>
                              <w:rFonts w:ascii="宋体"/>
                              <w:sz w:val="21"/>
                              <w:szCs w:val="21"/>
                            </w:rPr>
                            <w:fldChar w:fldCharType="end"/>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36"/>
                      <w:jc w:val="center"/>
                      <w:rPr>
                        <w:rStyle w:val="61"/>
                        <w:rFonts w:ascii="宋体"/>
                        <w:sz w:val="21"/>
                        <w:szCs w:val="21"/>
                      </w:rPr>
                    </w:pPr>
                    <w:r>
                      <w:rPr>
                        <w:rFonts w:ascii="宋体"/>
                        <w:sz w:val="21"/>
                        <w:szCs w:val="21"/>
                      </w:rPr>
                      <w:fldChar w:fldCharType="begin"/>
                    </w:r>
                    <w:r>
                      <w:rPr>
                        <w:rStyle w:val="61"/>
                        <w:rFonts w:ascii="宋体"/>
                        <w:sz w:val="21"/>
                        <w:szCs w:val="21"/>
                      </w:rPr>
                      <w:instrText xml:space="preserve">PAGE  </w:instrText>
                    </w:r>
                    <w:r>
                      <w:rPr>
                        <w:rFonts w:ascii="宋体"/>
                        <w:sz w:val="21"/>
                        <w:szCs w:val="21"/>
                      </w:rPr>
                      <w:fldChar w:fldCharType="separate"/>
                    </w:r>
                    <w:r>
                      <w:rPr>
                        <w:rStyle w:val="61"/>
                        <w:rFonts w:ascii="宋体"/>
                        <w:sz w:val="21"/>
                        <w:szCs w:val="21"/>
                      </w:rPr>
                      <w:t>- 4 -</w:t>
                    </w:r>
                    <w:r>
                      <w:rPr>
                        <w:rFonts w:ascii="宋体"/>
                        <w:sz w:val="21"/>
                        <w:szCs w:val="21"/>
                      </w:rPr>
                      <w:fldChar w:fldCharType="end"/>
                    </w:r>
                  </w:p>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rPr>
        <w:rFonts w:ascii="宋体" w:hAnsi="宋体"/>
        <w:sz w:val="21"/>
        <w:szCs w:val="21"/>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6"/>
                            <w:jc w:val="center"/>
                          </w:pPr>
                          <w:r>
                            <w:rPr>
                              <w:rFonts w:ascii="宋体" w:hAnsi="宋体"/>
                              <w:sz w:val="21"/>
                              <w:szCs w:val="21"/>
                            </w:rPr>
                            <w:fldChar w:fldCharType="begin"/>
                          </w:r>
                          <w:r>
                            <w:rPr>
                              <w:rStyle w:val="61"/>
                              <w:rFonts w:ascii="宋体" w:hAnsi="宋体"/>
                              <w:sz w:val="21"/>
                              <w:szCs w:val="21"/>
                            </w:rPr>
                            <w:instrText xml:space="preserve"> PAGE </w:instrText>
                          </w:r>
                          <w:r>
                            <w:rPr>
                              <w:rFonts w:ascii="宋体" w:hAnsi="宋体"/>
                              <w:sz w:val="21"/>
                              <w:szCs w:val="21"/>
                            </w:rPr>
                            <w:fldChar w:fldCharType="separate"/>
                          </w:r>
                          <w:r>
                            <w:rPr>
                              <w:rStyle w:val="61"/>
                              <w:rFonts w:ascii="宋体" w:hAnsi="宋体"/>
                              <w:sz w:val="21"/>
                              <w:szCs w:val="21"/>
                            </w:rPr>
                            <w:t>- 20 -</w:t>
                          </w:r>
                          <w:r>
                            <w:rPr>
                              <w:rFonts w:ascii="宋体" w:hAnsi="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36"/>
                      <w:jc w:val="center"/>
                    </w:pPr>
                    <w:r>
                      <w:rPr>
                        <w:rFonts w:ascii="宋体" w:hAnsi="宋体"/>
                        <w:sz w:val="21"/>
                        <w:szCs w:val="21"/>
                      </w:rPr>
                      <w:fldChar w:fldCharType="begin"/>
                    </w:r>
                    <w:r>
                      <w:rPr>
                        <w:rStyle w:val="61"/>
                        <w:rFonts w:ascii="宋体" w:hAnsi="宋体"/>
                        <w:sz w:val="21"/>
                        <w:szCs w:val="21"/>
                      </w:rPr>
                      <w:instrText xml:space="preserve"> PAGE </w:instrText>
                    </w:r>
                    <w:r>
                      <w:rPr>
                        <w:rFonts w:ascii="宋体" w:hAnsi="宋体"/>
                        <w:sz w:val="21"/>
                        <w:szCs w:val="21"/>
                      </w:rPr>
                      <w:fldChar w:fldCharType="separate"/>
                    </w:r>
                    <w:r>
                      <w:rPr>
                        <w:rStyle w:val="61"/>
                        <w:rFonts w:ascii="宋体" w:hAnsi="宋体"/>
                        <w:sz w:val="21"/>
                        <w:szCs w:val="21"/>
                      </w:rPr>
                      <w:t>- 20 -</w:t>
                    </w:r>
                    <w:r>
                      <w:rPr>
                        <w:rFonts w:ascii="宋体" w:hAnsi="宋体"/>
                        <w:sz w:val="21"/>
                        <w:szCs w:val="21"/>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61"/>
      </w:rPr>
    </w:pPr>
    <w:r>
      <w:fldChar w:fldCharType="begin"/>
    </w:r>
    <w:r>
      <w:rPr>
        <w:rStyle w:val="61"/>
      </w:rPr>
      <w:instrText xml:space="preserve">PAGE  </w:instrText>
    </w:r>
    <w:r>
      <w:fldChar w:fldCharType="end"/>
    </w:r>
  </w:p>
  <w:p>
    <w:pPr>
      <w:pStyle w:val="3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both"/>
      <w:rPr>
        <w:rFonts w:ascii="方正仿宋_GBK" w:eastAsia="方正仿宋_GBK"/>
        <w:sz w:val="21"/>
      </w:rPr>
    </w:pPr>
    <w:r>
      <w:rPr>
        <w:rFonts w:hint="eastAsia" w:ascii="方正仿宋_GBK" w:eastAsia="方正仿宋_GBK"/>
        <w:sz w:val="21"/>
      </w:rPr>
      <w:t>重庆医科大学                                                      单一来源采购文件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both"/>
      <w:rPr>
        <w:rFonts w:ascii="方正仿宋_GBK" w:eastAsia="方正仿宋_GBK"/>
        <w:sz w:val="21"/>
        <w:szCs w:val="21"/>
      </w:rPr>
    </w:pPr>
    <w:r>
      <w:rPr>
        <w:rFonts w:hint="eastAsia" w:ascii="方正仿宋_GBK" w:eastAsia="方正仿宋_GBK"/>
        <w:sz w:val="21"/>
        <w:szCs w:val="21"/>
      </w:rPr>
      <w:t>重庆医科大学                                                            竞争性谈判文件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both"/>
      <w:rPr>
        <w:rFonts w:ascii="方正仿宋_GBK" w:eastAsia="方正仿宋_GBK"/>
        <w:sz w:val="21"/>
        <w:szCs w:val="21"/>
      </w:rPr>
    </w:pPr>
    <w:r>
      <w:rPr>
        <w:rFonts w:hint="eastAsia" w:ascii="方正仿宋_GBK" w:eastAsia="方正仿宋_GBK"/>
        <w:sz w:val="21"/>
        <w:szCs w:val="21"/>
      </w:rPr>
      <w:t>重庆医科大学                                                     竞争性谈判文件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both"/>
      <w:rPr>
        <w:rFonts w:ascii="方正仿宋_GBK" w:eastAsia="方正仿宋_GBK"/>
        <w:sz w:val="21"/>
        <w:szCs w:val="21"/>
      </w:rPr>
    </w:pPr>
    <w:r>
      <w:rPr>
        <w:rFonts w:hint="eastAsia" w:ascii="方正仿宋_GBK" w:eastAsia="方正仿宋_GBK"/>
        <w:sz w:val="21"/>
        <w:szCs w:val="21"/>
      </w:rPr>
      <w:t>重庆医科大学                                                             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upperLetter"/>
      <w:pStyle w:val="112"/>
      <w:suff w:val="nothing"/>
      <w:lvlText w:val="附　录　%1"/>
      <w:lvlJc w:val="left"/>
      <w:pPr>
        <w:ind w:left="0" w:firstLine="0"/>
      </w:pPr>
      <w:rPr>
        <w:rFonts w:hint="eastAsia" w:ascii="黑体" w:hAnsi="Times New Roman" w:eastAsia="黑体"/>
        <w:b w:val="0"/>
        <w:i w:val="0"/>
        <w:sz w:val="21"/>
      </w:rPr>
    </w:lvl>
    <w:lvl w:ilvl="1" w:tentative="0">
      <w:start w:val="1"/>
      <w:numFmt w:val="decimal"/>
      <w:pStyle w:val="68"/>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000000A"/>
    <w:multiLevelType w:val="multilevel"/>
    <w:tmpl w:val="0000000A"/>
    <w:lvl w:ilvl="0" w:tentative="0">
      <w:start w:val="1"/>
      <w:numFmt w:val="bullet"/>
      <w:pStyle w:val="122"/>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B"/>
    <w:multiLevelType w:val="singleLevel"/>
    <w:tmpl w:val="0000000B"/>
    <w:lvl w:ilvl="0" w:tentative="0">
      <w:start w:val="1"/>
      <w:numFmt w:val="bullet"/>
      <w:pStyle w:val="183"/>
      <w:lvlText w:val=""/>
      <w:lvlJc w:val="left"/>
      <w:pPr>
        <w:tabs>
          <w:tab w:val="left" w:pos="360"/>
        </w:tabs>
        <w:ind w:left="360" w:hanging="360"/>
      </w:pPr>
      <w:rPr>
        <w:rFonts w:hint="default" w:ascii="Wingdings" w:hAnsi="Wingdings"/>
      </w:rPr>
    </w:lvl>
  </w:abstractNum>
  <w:abstractNum w:abstractNumId="3">
    <w:nsid w:val="0000000D"/>
    <w:multiLevelType w:val="singleLevel"/>
    <w:tmpl w:val="0000000D"/>
    <w:lvl w:ilvl="0" w:tentative="0">
      <w:start w:val="1"/>
      <w:numFmt w:val="bullet"/>
      <w:pStyle w:val="96"/>
      <w:lvlText w:val=""/>
      <w:lvlJc w:val="left"/>
      <w:pPr>
        <w:tabs>
          <w:tab w:val="left" w:pos="1200"/>
        </w:tabs>
        <w:ind w:left="1200" w:hanging="360"/>
      </w:pPr>
      <w:rPr>
        <w:rFonts w:hint="default" w:ascii="Wingdings" w:hAnsi="Wingdings"/>
      </w:rPr>
    </w:lvl>
  </w:abstractNum>
  <w:abstractNum w:abstractNumId="4">
    <w:nsid w:val="0000000E"/>
    <w:multiLevelType w:val="multilevel"/>
    <w:tmpl w:val="0000000E"/>
    <w:lvl w:ilvl="0" w:tentative="0">
      <w:start w:val="1"/>
      <w:numFmt w:val="bullet"/>
      <w:pStyle w:val="160"/>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5">
    <w:nsid w:val="00000010"/>
    <w:multiLevelType w:val="singleLevel"/>
    <w:tmpl w:val="00000010"/>
    <w:lvl w:ilvl="0" w:tentative="0">
      <w:start w:val="1"/>
      <w:numFmt w:val="bullet"/>
      <w:lvlText w:val=""/>
      <w:lvlJc w:val="left"/>
      <w:pPr>
        <w:tabs>
          <w:tab w:val="left" w:pos="1620"/>
        </w:tabs>
        <w:ind w:left="1620" w:hanging="360"/>
      </w:pPr>
      <w:rPr>
        <w:rFonts w:hint="default" w:ascii="Wingdings" w:hAnsi="Wingdings"/>
      </w:rPr>
    </w:lvl>
  </w:abstractNum>
  <w:abstractNum w:abstractNumId="6">
    <w:nsid w:val="00000011"/>
    <w:multiLevelType w:val="multilevel"/>
    <w:tmpl w:val="00000011"/>
    <w:lvl w:ilvl="0" w:tentative="0">
      <w:start w:val="1"/>
      <w:numFmt w:val="decimal"/>
      <w:pStyle w:val="200"/>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2"/>
    <w:multiLevelType w:val="multilevel"/>
    <w:tmpl w:val="00000012"/>
    <w:lvl w:ilvl="0" w:tentative="0">
      <w:start w:val="1"/>
      <w:numFmt w:val="bullet"/>
      <w:pStyle w:val="181"/>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13"/>
    <w:multiLevelType w:val="singleLevel"/>
    <w:tmpl w:val="00000013"/>
    <w:lvl w:ilvl="0" w:tentative="0">
      <w:start w:val="1"/>
      <w:numFmt w:val="decimal"/>
      <w:pStyle w:val="14"/>
      <w:lvlText w:val="%1."/>
      <w:lvlJc w:val="left"/>
      <w:pPr>
        <w:tabs>
          <w:tab w:val="left" w:pos="425"/>
        </w:tabs>
        <w:ind w:left="425" w:hanging="425"/>
      </w:pPr>
      <w:rPr>
        <w:rFonts w:hint="default"/>
      </w:rPr>
    </w:lvl>
  </w:abstractNum>
  <w:abstractNum w:abstractNumId="9">
    <w:nsid w:val="00000014"/>
    <w:multiLevelType w:val="singleLevel"/>
    <w:tmpl w:val="00000014"/>
    <w:lvl w:ilvl="0" w:tentative="0">
      <w:start w:val="1"/>
      <w:numFmt w:val="bullet"/>
      <w:pStyle w:val="28"/>
      <w:lvlText w:val=""/>
      <w:lvlJc w:val="left"/>
      <w:pPr>
        <w:tabs>
          <w:tab w:val="left" w:pos="780"/>
        </w:tabs>
        <w:ind w:left="780" w:hanging="360"/>
      </w:pPr>
      <w:rPr>
        <w:rFonts w:hint="default" w:ascii="Wingdings" w:hAnsi="Wingdings"/>
      </w:rPr>
    </w:lvl>
  </w:abstractNum>
  <w:abstractNum w:abstractNumId="10">
    <w:nsid w:val="00000016"/>
    <w:multiLevelType w:val="singleLevel"/>
    <w:tmpl w:val="00000016"/>
    <w:lvl w:ilvl="0" w:tentative="0">
      <w:start w:val="1"/>
      <w:numFmt w:val="decimal"/>
      <w:pStyle w:val="109"/>
      <w:lvlText w:val="%1)"/>
      <w:lvlJc w:val="left"/>
      <w:pPr>
        <w:tabs>
          <w:tab w:val="left" w:pos="425"/>
        </w:tabs>
        <w:ind w:left="425" w:hanging="425"/>
      </w:pPr>
      <w:rPr>
        <w:rFonts w:hint="eastAsia"/>
      </w:rPr>
    </w:lvl>
  </w:abstractNum>
  <w:abstractNum w:abstractNumId="11">
    <w:nsid w:val="00000017"/>
    <w:multiLevelType w:val="multilevel"/>
    <w:tmpl w:val="00000017"/>
    <w:lvl w:ilvl="0" w:tentative="0">
      <w:start w:val="1"/>
      <w:numFmt w:val="chineseCountingThousand"/>
      <w:pStyle w:val="159"/>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1070576D"/>
    <w:multiLevelType w:val="multilevel"/>
    <w:tmpl w:val="1070576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201F7ABD"/>
    <w:multiLevelType w:val="multilevel"/>
    <w:tmpl w:val="201F7AB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3AF57E01"/>
    <w:multiLevelType w:val="multilevel"/>
    <w:tmpl w:val="3AF57E0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9"/>
  </w:num>
  <w:num w:numId="3">
    <w:abstractNumId w:val="0"/>
  </w:num>
  <w:num w:numId="4">
    <w:abstractNumId w:val="3"/>
  </w:num>
  <w:num w:numId="5">
    <w:abstractNumId w:val="10"/>
  </w:num>
  <w:num w:numId="6">
    <w:abstractNumId w:val="1"/>
  </w:num>
  <w:num w:numId="7">
    <w:abstractNumId w:val="11"/>
  </w:num>
  <w:num w:numId="8">
    <w:abstractNumId w:val="4"/>
  </w:num>
  <w:num w:numId="9">
    <w:abstractNumId w:val="5"/>
  </w:num>
  <w:num w:numId="10">
    <w:abstractNumId w:val="7"/>
  </w:num>
  <w:num w:numId="11">
    <w:abstractNumId w:val="2"/>
  </w:num>
  <w:num w:numId="12">
    <w:abstractNumId w:val="6"/>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U4ZWNhZTFhODcxNjBhODlmYzgzNjMxMmQwNmE2MGIifQ=="/>
  </w:docVars>
  <w:rsids>
    <w:rsidRoot w:val="00172A27"/>
    <w:rsid w:val="00002EAF"/>
    <w:rsid w:val="00002EDE"/>
    <w:rsid w:val="000036F9"/>
    <w:rsid w:val="000040DE"/>
    <w:rsid w:val="00005A02"/>
    <w:rsid w:val="000115CA"/>
    <w:rsid w:val="00015A2E"/>
    <w:rsid w:val="00016B79"/>
    <w:rsid w:val="0002570F"/>
    <w:rsid w:val="00026AFF"/>
    <w:rsid w:val="00027AF7"/>
    <w:rsid w:val="00031BDC"/>
    <w:rsid w:val="00033C8A"/>
    <w:rsid w:val="00034A5A"/>
    <w:rsid w:val="000358F8"/>
    <w:rsid w:val="0003632F"/>
    <w:rsid w:val="00036537"/>
    <w:rsid w:val="00036DB4"/>
    <w:rsid w:val="00043C9B"/>
    <w:rsid w:val="000446C0"/>
    <w:rsid w:val="000500E9"/>
    <w:rsid w:val="0005298B"/>
    <w:rsid w:val="00054308"/>
    <w:rsid w:val="0005456D"/>
    <w:rsid w:val="000549FF"/>
    <w:rsid w:val="0005755A"/>
    <w:rsid w:val="000576E1"/>
    <w:rsid w:val="00061D75"/>
    <w:rsid w:val="00063981"/>
    <w:rsid w:val="00064FA3"/>
    <w:rsid w:val="00071732"/>
    <w:rsid w:val="00071968"/>
    <w:rsid w:val="00074965"/>
    <w:rsid w:val="000763A8"/>
    <w:rsid w:val="0008236A"/>
    <w:rsid w:val="00091B1C"/>
    <w:rsid w:val="00092CF5"/>
    <w:rsid w:val="000938CD"/>
    <w:rsid w:val="000946B8"/>
    <w:rsid w:val="000966D9"/>
    <w:rsid w:val="00096E0E"/>
    <w:rsid w:val="000A0BAC"/>
    <w:rsid w:val="000A164E"/>
    <w:rsid w:val="000B42F4"/>
    <w:rsid w:val="000B711E"/>
    <w:rsid w:val="000B7377"/>
    <w:rsid w:val="000B7F54"/>
    <w:rsid w:val="000C04DB"/>
    <w:rsid w:val="000C34DA"/>
    <w:rsid w:val="000C5B30"/>
    <w:rsid w:val="000D077F"/>
    <w:rsid w:val="000D23F5"/>
    <w:rsid w:val="000D40BA"/>
    <w:rsid w:val="000D76C0"/>
    <w:rsid w:val="000E0B28"/>
    <w:rsid w:val="000E1BBC"/>
    <w:rsid w:val="000E3259"/>
    <w:rsid w:val="000E53D1"/>
    <w:rsid w:val="000F3752"/>
    <w:rsid w:val="000F48FD"/>
    <w:rsid w:val="000F5ACE"/>
    <w:rsid w:val="000F7DBF"/>
    <w:rsid w:val="00100639"/>
    <w:rsid w:val="00103DA9"/>
    <w:rsid w:val="00103DDC"/>
    <w:rsid w:val="0010540F"/>
    <w:rsid w:val="00105BAC"/>
    <w:rsid w:val="00113E89"/>
    <w:rsid w:val="00114C8F"/>
    <w:rsid w:val="00116856"/>
    <w:rsid w:val="001174AD"/>
    <w:rsid w:val="00120259"/>
    <w:rsid w:val="00120851"/>
    <w:rsid w:val="001266BF"/>
    <w:rsid w:val="00130884"/>
    <w:rsid w:val="00131054"/>
    <w:rsid w:val="001317C1"/>
    <w:rsid w:val="00133D16"/>
    <w:rsid w:val="0013496A"/>
    <w:rsid w:val="001363B2"/>
    <w:rsid w:val="001376CB"/>
    <w:rsid w:val="001378A9"/>
    <w:rsid w:val="001401FF"/>
    <w:rsid w:val="00140C83"/>
    <w:rsid w:val="00140E25"/>
    <w:rsid w:val="00141CB5"/>
    <w:rsid w:val="00147FB4"/>
    <w:rsid w:val="0015011C"/>
    <w:rsid w:val="00150429"/>
    <w:rsid w:val="0015351E"/>
    <w:rsid w:val="0016035A"/>
    <w:rsid w:val="0016303B"/>
    <w:rsid w:val="00172A27"/>
    <w:rsid w:val="001748ED"/>
    <w:rsid w:val="00174B25"/>
    <w:rsid w:val="00177DD5"/>
    <w:rsid w:val="00180ACB"/>
    <w:rsid w:val="00181A7F"/>
    <w:rsid w:val="0018347E"/>
    <w:rsid w:val="0018465A"/>
    <w:rsid w:val="00186623"/>
    <w:rsid w:val="0018699A"/>
    <w:rsid w:val="0018729A"/>
    <w:rsid w:val="00193082"/>
    <w:rsid w:val="00194E07"/>
    <w:rsid w:val="001A0016"/>
    <w:rsid w:val="001A4270"/>
    <w:rsid w:val="001A59E2"/>
    <w:rsid w:val="001A6692"/>
    <w:rsid w:val="001A6DCC"/>
    <w:rsid w:val="001B2365"/>
    <w:rsid w:val="001B3DBD"/>
    <w:rsid w:val="001B4377"/>
    <w:rsid w:val="001B6655"/>
    <w:rsid w:val="001C360F"/>
    <w:rsid w:val="001D20A7"/>
    <w:rsid w:val="001D2321"/>
    <w:rsid w:val="001D2DCD"/>
    <w:rsid w:val="001D5055"/>
    <w:rsid w:val="001E5CAC"/>
    <w:rsid w:val="001E5EB4"/>
    <w:rsid w:val="001E725F"/>
    <w:rsid w:val="001E75B9"/>
    <w:rsid w:val="001F1AF7"/>
    <w:rsid w:val="001F1CA8"/>
    <w:rsid w:val="001F48D9"/>
    <w:rsid w:val="001F4964"/>
    <w:rsid w:val="001F4BD1"/>
    <w:rsid w:val="001F7063"/>
    <w:rsid w:val="00200186"/>
    <w:rsid w:val="00201683"/>
    <w:rsid w:val="0020222A"/>
    <w:rsid w:val="00202B04"/>
    <w:rsid w:val="00204936"/>
    <w:rsid w:val="002100EE"/>
    <w:rsid w:val="00211613"/>
    <w:rsid w:val="00211874"/>
    <w:rsid w:val="00211957"/>
    <w:rsid w:val="00211A92"/>
    <w:rsid w:val="0022065B"/>
    <w:rsid w:val="00222097"/>
    <w:rsid w:val="00222629"/>
    <w:rsid w:val="00222941"/>
    <w:rsid w:val="0022517B"/>
    <w:rsid w:val="00225B78"/>
    <w:rsid w:val="00227BA9"/>
    <w:rsid w:val="00235F8F"/>
    <w:rsid w:val="00237759"/>
    <w:rsid w:val="00244E68"/>
    <w:rsid w:val="00247C20"/>
    <w:rsid w:val="00252520"/>
    <w:rsid w:val="002533B9"/>
    <w:rsid w:val="00263F49"/>
    <w:rsid w:val="002643C1"/>
    <w:rsid w:val="00265652"/>
    <w:rsid w:val="00267DDF"/>
    <w:rsid w:val="00271A27"/>
    <w:rsid w:val="00271D47"/>
    <w:rsid w:val="002721EA"/>
    <w:rsid w:val="002777CA"/>
    <w:rsid w:val="00280E8A"/>
    <w:rsid w:val="00283A40"/>
    <w:rsid w:val="00283B57"/>
    <w:rsid w:val="00285164"/>
    <w:rsid w:val="002857FA"/>
    <w:rsid w:val="00285D78"/>
    <w:rsid w:val="00287B0D"/>
    <w:rsid w:val="00290DC5"/>
    <w:rsid w:val="00295381"/>
    <w:rsid w:val="002A494B"/>
    <w:rsid w:val="002A4956"/>
    <w:rsid w:val="002A5652"/>
    <w:rsid w:val="002A6710"/>
    <w:rsid w:val="002A7622"/>
    <w:rsid w:val="002B1137"/>
    <w:rsid w:val="002B37B1"/>
    <w:rsid w:val="002B3C24"/>
    <w:rsid w:val="002B47A4"/>
    <w:rsid w:val="002B524C"/>
    <w:rsid w:val="002B7904"/>
    <w:rsid w:val="002C2507"/>
    <w:rsid w:val="002C2E6E"/>
    <w:rsid w:val="002C33F0"/>
    <w:rsid w:val="002C4B31"/>
    <w:rsid w:val="002D134A"/>
    <w:rsid w:val="002D3833"/>
    <w:rsid w:val="002E2E93"/>
    <w:rsid w:val="002E632A"/>
    <w:rsid w:val="002E6C14"/>
    <w:rsid w:val="002F1B06"/>
    <w:rsid w:val="002F26FF"/>
    <w:rsid w:val="002F3DE3"/>
    <w:rsid w:val="002F3E7B"/>
    <w:rsid w:val="002F632E"/>
    <w:rsid w:val="00300231"/>
    <w:rsid w:val="00301B97"/>
    <w:rsid w:val="00303742"/>
    <w:rsid w:val="0030628F"/>
    <w:rsid w:val="00310AF9"/>
    <w:rsid w:val="003112E8"/>
    <w:rsid w:val="00312329"/>
    <w:rsid w:val="00312897"/>
    <w:rsid w:val="0031465E"/>
    <w:rsid w:val="00314E6F"/>
    <w:rsid w:val="00314F38"/>
    <w:rsid w:val="00315742"/>
    <w:rsid w:val="003163B3"/>
    <w:rsid w:val="003175BC"/>
    <w:rsid w:val="00317698"/>
    <w:rsid w:val="00323FD5"/>
    <w:rsid w:val="00325B2E"/>
    <w:rsid w:val="00326BBC"/>
    <w:rsid w:val="00335BDB"/>
    <w:rsid w:val="003360A8"/>
    <w:rsid w:val="00340D88"/>
    <w:rsid w:val="00341DEB"/>
    <w:rsid w:val="00343C3E"/>
    <w:rsid w:val="00344E08"/>
    <w:rsid w:val="00346A3D"/>
    <w:rsid w:val="00346AB2"/>
    <w:rsid w:val="00350C20"/>
    <w:rsid w:val="003512E0"/>
    <w:rsid w:val="0035143D"/>
    <w:rsid w:val="003548FA"/>
    <w:rsid w:val="0035548D"/>
    <w:rsid w:val="00355A74"/>
    <w:rsid w:val="0036070E"/>
    <w:rsid w:val="00361427"/>
    <w:rsid w:val="003616D4"/>
    <w:rsid w:val="00363A39"/>
    <w:rsid w:val="0036458B"/>
    <w:rsid w:val="00371328"/>
    <w:rsid w:val="00371D2F"/>
    <w:rsid w:val="00372D5B"/>
    <w:rsid w:val="003752C8"/>
    <w:rsid w:val="00375A72"/>
    <w:rsid w:val="00375E03"/>
    <w:rsid w:val="003813AE"/>
    <w:rsid w:val="0038344F"/>
    <w:rsid w:val="00384161"/>
    <w:rsid w:val="00387610"/>
    <w:rsid w:val="00395A2B"/>
    <w:rsid w:val="003973D3"/>
    <w:rsid w:val="003A0892"/>
    <w:rsid w:val="003A1AAB"/>
    <w:rsid w:val="003A449E"/>
    <w:rsid w:val="003A4841"/>
    <w:rsid w:val="003A501C"/>
    <w:rsid w:val="003A510F"/>
    <w:rsid w:val="003A57F1"/>
    <w:rsid w:val="003A71F3"/>
    <w:rsid w:val="003B14CC"/>
    <w:rsid w:val="003B19F5"/>
    <w:rsid w:val="003B1B35"/>
    <w:rsid w:val="003B2F1C"/>
    <w:rsid w:val="003B7B71"/>
    <w:rsid w:val="003C0A38"/>
    <w:rsid w:val="003C21A7"/>
    <w:rsid w:val="003C3A20"/>
    <w:rsid w:val="003C55DC"/>
    <w:rsid w:val="003D0E0A"/>
    <w:rsid w:val="003D1569"/>
    <w:rsid w:val="003D54DD"/>
    <w:rsid w:val="003E06DD"/>
    <w:rsid w:val="003E1F8A"/>
    <w:rsid w:val="003E3A52"/>
    <w:rsid w:val="003E5E67"/>
    <w:rsid w:val="00402B32"/>
    <w:rsid w:val="00410C93"/>
    <w:rsid w:val="00411B4A"/>
    <w:rsid w:val="00412680"/>
    <w:rsid w:val="004167CD"/>
    <w:rsid w:val="004176D2"/>
    <w:rsid w:val="00425EDA"/>
    <w:rsid w:val="0043290D"/>
    <w:rsid w:val="004353BF"/>
    <w:rsid w:val="00435543"/>
    <w:rsid w:val="0043598D"/>
    <w:rsid w:val="004400CA"/>
    <w:rsid w:val="00441CC6"/>
    <w:rsid w:val="004474F3"/>
    <w:rsid w:val="004515DA"/>
    <w:rsid w:val="0045237E"/>
    <w:rsid w:val="00453628"/>
    <w:rsid w:val="004543A5"/>
    <w:rsid w:val="00455457"/>
    <w:rsid w:val="00457C53"/>
    <w:rsid w:val="00461AE5"/>
    <w:rsid w:val="00462878"/>
    <w:rsid w:val="0046417B"/>
    <w:rsid w:val="004647D7"/>
    <w:rsid w:val="004657EA"/>
    <w:rsid w:val="00470F5C"/>
    <w:rsid w:val="004720B9"/>
    <w:rsid w:val="00473AF6"/>
    <w:rsid w:val="00477482"/>
    <w:rsid w:val="00481A49"/>
    <w:rsid w:val="00484C3B"/>
    <w:rsid w:val="0049380A"/>
    <w:rsid w:val="004953EC"/>
    <w:rsid w:val="0049615E"/>
    <w:rsid w:val="004A015E"/>
    <w:rsid w:val="004A0DE1"/>
    <w:rsid w:val="004A1788"/>
    <w:rsid w:val="004A21A7"/>
    <w:rsid w:val="004A2410"/>
    <w:rsid w:val="004A27AC"/>
    <w:rsid w:val="004A2B68"/>
    <w:rsid w:val="004A448F"/>
    <w:rsid w:val="004B2D95"/>
    <w:rsid w:val="004C0A1E"/>
    <w:rsid w:val="004C1604"/>
    <w:rsid w:val="004C1DD0"/>
    <w:rsid w:val="004C1F4E"/>
    <w:rsid w:val="004C4A4A"/>
    <w:rsid w:val="004C64E4"/>
    <w:rsid w:val="004D4129"/>
    <w:rsid w:val="004D7CD8"/>
    <w:rsid w:val="004E0650"/>
    <w:rsid w:val="004E3234"/>
    <w:rsid w:val="004E3AEE"/>
    <w:rsid w:val="004E4EFB"/>
    <w:rsid w:val="004E55DB"/>
    <w:rsid w:val="004E5AEF"/>
    <w:rsid w:val="004F1943"/>
    <w:rsid w:val="004F2A9F"/>
    <w:rsid w:val="004F6249"/>
    <w:rsid w:val="004F6776"/>
    <w:rsid w:val="004F6879"/>
    <w:rsid w:val="00500D8B"/>
    <w:rsid w:val="00502B2F"/>
    <w:rsid w:val="00505F40"/>
    <w:rsid w:val="00512D00"/>
    <w:rsid w:val="00514179"/>
    <w:rsid w:val="005170E4"/>
    <w:rsid w:val="00522621"/>
    <w:rsid w:val="00524D8A"/>
    <w:rsid w:val="005320C1"/>
    <w:rsid w:val="005349BE"/>
    <w:rsid w:val="00536484"/>
    <w:rsid w:val="005460D5"/>
    <w:rsid w:val="005513DF"/>
    <w:rsid w:val="00551ED4"/>
    <w:rsid w:val="0055343E"/>
    <w:rsid w:val="00556AA7"/>
    <w:rsid w:val="005573AE"/>
    <w:rsid w:val="0056050C"/>
    <w:rsid w:val="00562860"/>
    <w:rsid w:val="0056298A"/>
    <w:rsid w:val="00566A85"/>
    <w:rsid w:val="00571368"/>
    <w:rsid w:val="00571D67"/>
    <w:rsid w:val="00573AE3"/>
    <w:rsid w:val="00581B74"/>
    <w:rsid w:val="00583DAC"/>
    <w:rsid w:val="00587E86"/>
    <w:rsid w:val="00590178"/>
    <w:rsid w:val="005902D9"/>
    <w:rsid w:val="00590B75"/>
    <w:rsid w:val="00590CE0"/>
    <w:rsid w:val="0059244D"/>
    <w:rsid w:val="00595721"/>
    <w:rsid w:val="00596AB7"/>
    <w:rsid w:val="005A1459"/>
    <w:rsid w:val="005A1EA7"/>
    <w:rsid w:val="005A3758"/>
    <w:rsid w:val="005A47DA"/>
    <w:rsid w:val="005A71AD"/>
    <w:rsid w:val="005A7D38"/>
    <w:rsid w:val="005B0724"/>
    <w:rsid w:val="005B1016"/>
    <w:rsid w:val="005B1E46"/>
    <w:rsid w:val="005B7775"/>
    <w:rsid w:val="005C0014"/>
    <w:rsid w:val="005C119A"/>
    <w:rsid w:val="005C42AC"/>
    <w:rsid w:val="005C4F84"/>
    <w:rsid w:val="005C5383"/>
    <w:rsid w:val="005D0ECA"/>
    <w:rsid w:val="005D12E2"/>
    <w:rsid w:val="005D1882"/>
    <w:rsid w:val="005D279A"/>
    <w:rsid w:val="005D703E"/>
    <w:rsid w:val="005E0919"/>
    <w:rsid w:val="005E1AE1"/>
    <w:rsid w:val="005E230B"/>
    <w:rsid w:val="005E370D"/>
    <w:rsid w:val="005E620C"/>
    <w:rsid w:val="005E72A3"/>
    <w:rsid w:val="005E7E9D"/>
    <w:rsid w:val="005F045D"/>
    <w:rsid w:val="005F7F2B"/>
    <w:rsid w:val="00603842"/>
    <w:rsid w:val="00603D21"/>
    <w:rsid w:val="00604076"/>
    <w:rsid w:val="0060543A"/>
    <w:rsid w:val="0060698D"/>
    <w:rsid w:val="00606B25"/>
    <w:rsid w:val="00610C5F"/>
    <w:rsid w:val="00613410"/>
    <w:rsid w:val="00615434"/>
    <w:rsid w:val="0061717E"/>
    <w:rsid w:val="006172F2"/>
    <w:rsid w:val="00617986"/>
    <w:rsid w:val="00617D2D"/>
    <w:rsid w:val="006215A2"/>
    <w:rsid w:val="00625F70"/>
    <w:rsid w:val="00627DD2"/>
    <w:rsid w:val="00630334"/>
    <w:rsid w:val="00634744"/>
    <w:rsid w:val="00635E1A"/>
    <w:rsid w:val="006454B2"/>
    <w:rsid w:val="00646094"/>
    <w:rsid w:val="006471CC"/>
    <w:rsid w:val="00654A48"/>
    <w:rsid w:val="006552FD"/>
    <w:rsid w:val="00655A89"/>
    <w:rsid w:val="0065651B"/>
    <w:rsid w:val="006638F8"/>
    <w:rsid w:val="00664607"/>
    <w:rsid w:val="00670089"/>
    <w:rsid w:val="00671921"/>
    <w:rsid w:val="00676FD3"/>
    <w:rsid w:val="00680AE4"/>
    <w:rsid w:val="00684E51"/>
    <w:rsid w:val="0069086A"/>
    <w:rsid w:val="00692D00"/>
    <w:rsid w:val="006A100B"/>
    <w:rsid w:val="006A143A"/>
    <w:rsid w:val="006A278D"/>
    <w:rsid w:val="006A3285"/>
    <w:rsid w:val="006A4743"/>
    <w:rsid w:val="006A55C3"/>
    <w:rsid w:val="006A58DF"/>
    <w:rsid w:val="006A7E15"/>
    <w:rsid w:val="006B0048"/>
    <w:rsid w:val="006B17C8"/>
    <w:rsid w:val="006B21C0"/>
    <w:rsid w:val="006B5E7E"/>
    <w:rsid w:val="006B72DE"/>
    <w:rsid w:val="006C5FC1"/>
    <w:rsid w:val="006D2B15"/>
    <w:rsid w:val="006D44E1"/>
    <w:rsid w:val="006D552C"/>
    <w:rsid w:val="006D7B1F"/>
    <w:rsid w:val="006E0D5E"/>
    <w:rsid w:val="006E21FA"/>
    <w:rsid w:val="006E3A18"/>
    <w:rsid w:val="006E4673"/>
    <w:rsid w:val="006F03F0"/>
    <w:rsid w:val="006F0DEB"/>
    <w:rsid w:val="006F0FB7"/>
    <w:rsid w:val="006F14E2"/>
    <w:rsid w:val="006F354D"/>
    <w:rsid w:val="006F4C07"/>
    <w:rsid w:val="006F511B"/>
    <w:rsid w:val="006F7C11"/>
    <w:rsid w:val="00701184"/>
    <w:rsid w:val="00702946"/>
    <w:rsid w:val="00702B89"/>
    <w:rsid w:val="00704E5D"/>
    <w:rsid w:val="00705739"/>
    <w:rsid w:val="007079A0"/>
    <w:rsid w:val="007134DF"/>
    <w:rsid w:val="0071489C"/>
    <w:rsid w:val="007148F5"/>
    <w:rsid w:val="00721F54"/>
    <w:rsid w:val="00724F97"/>
    <w:rsid w:val="00726088"/>
    <w:rsid w:val="0072672C"/>
    <w:rsid w:val="007279DB"/>
    <w:rsid w:val="00730689"/>
    <w:rsid w:val="00730B6A"/>
    <w:rsid w:val="00730BFB"/>
    <w:rsid w:val="00731622"/>
    <w:rsid w:val="00732EA7"/>
    <w:rsid w:val="00734C8D"/>
    <w:rsid w:val="00736D88"/>
    <w:rsid w:val="00736DD2"/>
    <w:rsid w:val="00740701"/>
    <w:rsid w:val="00741576"/>
    <w:rsid w:val="00743D93"/>
    <w:rsid w:val="007453BD"/>
    <w:rsid w:val="00745FA2"/>
    <w:rsid w:val="0074681C"/>
    <w:rsid w:val="00746B5E"/>
    <w:rsid w:val="00746EC2"/>
    <w:rsid w:val="00750C3A"/>
    <w:rsid w:val="007515B9"/>
    <w:rsid w:val="00754A55"/>
    <w:rsid w:val="0075581A"/>
    <w:rsid w:val="007600C1"/>
    <w:rsid w:val="0076486C"/>
    <w:rsid w:val="00765359"/>
    <w:rsid w:val="00770494"/>
    <w:rsid w:val="00771617"/>
    <w:rsid w:val="00772310"/>
    <w:rsid w:val="00773C0F"/>
    <w:rsid w:val="007766E9"/>
    <w:rsid w:val="00776727"/>
    <w:rsid w:val="00777433"/>
    <w:rsid w:val="00785E3E"/>
    <w:rsid w:val="00785F86"/>
    <w:rsid w:val="00791246"/>
    <w:rsid w:val="00791668"/>
    <w:rsid w:val="00792A82"/>
    <w:rsid w:val="007940EE"/>
    <w:rsid w:val="00794CCF"/>
    <w:rsid w:val="007959AC"/>
    <w:rsid w:val="0079679A"/>
    <w:rsid w:val="00796C9F"/>
    <w:rsid w:val="00797A50"/>
    <w:rsid w:val="00797F99"/>
    <w:rsid w:val="007A056E"/>
    <w:rsid w:val="007A20E0"/>
    <w:rsid w:val="007A2D82"/>
    <w:rsid w:val="007A5C14"/>
    <w:rsid w:val="007A7737"/>
    <w:rsid w:val="007B2204"/>
    <w:rsid w:val="007B29EC"/>
    <w:rsid w:val="007B4B60"/>
    <w:rsid w:val="007C075F"/>
    <w:rsid w:val="007C2636"/>
    <w:rsid w:val="007C4A0F"/>
    <w:rsid w:val="007C74FD"/>
    <w:rsid w:val="007D3CA6"/>
    <w:rsid w:val="007D6973"/>
    <w:rsid w:val="007D6FD0"/>
    <w:rsid w:val="007D72B8"/>
    <w:rsid w:val="007E0C43"/>
    <w:rsid w:val="007E0D9F"/>
    <w:rsid w:val="007E298C"/>
    <w:rsid w:val="007E2FC2"/>
    <w:rsid w:val="007E3989"/>
    <w:rsid w:val="007E44DD"/>
    <w:rsid w:val="007E5571"/>
    <w:rsid w:val="007F2295"/>
    <w:rsid w:val="007F3CCE"/>
    <w:rsid w:val="007F5B22"/>
    <w:rsid w:val="007F5C55"/>
    <w:rsid w:val="007F63B3"/>
    <w:rsid w:val="007F6A65"/>
    <w:rsid w:val="007F6B03"/>
    <w:rsid w:val="008041D4"/>
    <w:rsid w:val="00807EE7"/>
    <w:rsid w:val="008109A2"/>
    <w:rsid w:val="00810E2D"/>
    <w:rsid w:val="0081156A"/>
    <w:rsid w:val="00815AB4"/>
    <w:rsid w:val="0082180A"/>
    <w:rsid w:val="008223CA"/>
    <w:rsid w:val="00827398"/>
    <w:rsid w:val="00832510"/>
    <w:rsid w:val="00832559"/>
    <w:rsid w:val="00833E46"/>
    <w:rsid w:val="00837EC5"/>
    <w:rsid w:val="00840212"/>
    <w:rsid w:val="00842974"/>
    <w:rsid w:val="0084353E"/>
    <w:rsid w:val="00851805"/>
    <w:rsid w:val="00852E73"/>
    <w:rsid w:val="00852FE7"/>
    <w:rsid w:val="00853FE4"/>
    <w:rsid w:val="00854225"/>
    <w:rsid w:val="00854BF8"/>
    <w:rsid w:val="0085550A"/>
    <w:rsid w:val="008609C1"/>
    <w:rsid w:val="008616EF"/>
    <w:rsid w:val="00863C25"/>
    <w:rsid w:val="008705BC"/>
    <w:rsid w:val="008723B7"/>
    <w:rsid w:val="00873C63"/>
    <w:rsid w:val="00875A42"/>
    <w:rsid w:val="00876B51"/>
    <w:rsid w:val="00883BD5"/>
    <w:rsid w:val="008904A8"/>
    <w:rsid w:val="008909DF"/>
    <w:rsid w:val="00891344"/>
    <w:rsid w:val="00894BD1"/>
    <w:rsid w:val="00897BA6"/>
    <w:rsid w:val="008A164F"/>
    <w:rsid w:val="008A2EFF"/>
    <w:rsid w:val="008A48FC"/>
    <w:rsid w:val="008B12E9"/>
    <w:rsid w:val="008B63A1"/>
    <w:rsid w:val="008C28C6"/>
    <w:rsid w:val="008C3708"/>
    <w:rsid w:val="008C510F"/>
    <w:rsid w:val="008D43C8"/>
    <w:rsid w:val="008D45E0"/>
    <w:rsid w:val="008D4DD3"/>
    <w:rsid w:val="008D4FED"/>
    <w:rsid w:val="008E0E94"/>
    <w:rsid w:val="008E39CA"/>
    <w:rsid w:val="008E538C"/>
    <w:rsid w:val="008E66B8"/>
    <w:rsid w:val="008F1988"/>
    <w:rsid w:val="008F2270"/>
    <w:rsid w:val="008F25DB"/>
    <w:rsid w:val="008F2AD5"/>
    <w:rsid w:val="008F2D73"/>
    <w:rsid w:val="008F59D4"/>
    <w:rsid w:val="008F6252"/>
    <w:rsid w:val="008F7676"/>
    <w:rsid w:val="008F770B"/>
    <w:rsid w:val="0090208D"/>
    <w:rsid w:val="009023F3"/>
    <w:rsid w:val="0090383C"/>
    <w:rsid w:val="009041FD"/>
    <w:rsid w:val="00905382"/>
    <w:rsid w:val="00905D25"/>
    <w:rsid w:val="00907AFF"/>
    <w:rsid w:val="00907FFD"/>
    <w:rsid w:val="00911ACF"/>
    <w:rsid w:val="00911AE9"/>
    <w:rsid w:val="00912132"/>
    <w:rsid w:val="00912A05"/>
    <w:rsid w:val="009134A1"/>
    <w:rsid w:val="0092060B"/>
    <w:rsid w:val="00922FAD"/>
    <w:rsid w:val="00924F0A"/>
    <w:rsid w:val="0092708B"/>
    <w:rsid w:val="009313BB"/>
    <w:rsid w:val="00931987"/>
    <w:rsid w:val="0093578C"/>
    <w:rsid w:val="00937713"/>
    <w:rsid w:val="00943FB2"/>
    <w:rsid w:val="009459CE"/>
    <w:rsid w:val="00954464"/>
    <w:rsid w:val="00955DEE"/>
    <w:rsid w:val="00961D25"/>
    <w:rsid w:val="00963C95"/>
    <w:rsid w:val="00966820"/>
    <w:rsid w:val="009676C6"/>
    <w:rsid w:val="00967A56"/>
    <w:rsid w:val="00967EE9"/>
    <w:rsid w:val="00970BAF"/>
    <w:rsid w:val="00972633"/>
    <w:rsid w:val="00973679"/>
    <w:rsid w:val="009739E4"/>
    <w:rsid w:val="00976F7B"/>
    <w:rsid w:val="00980037"/>
    <w:rsid w:val="00983B43"/>
    <w:rsid w:val="00985AF5"/>
    <w:rsid w:val="0098642C"/>
    <w:rsid w:val="009905C9"/>
    <w:rsid w:val="00992FC7"/>
    <w:rsid w:val="009935C9"/>
    <w:rsid w:val="00996D2C"/>
    <w:rsid w:val="009A0379"/>
    <w:rsid w:val="009A048A"/>
    <w:rsid w:val="009A070C"/>
    <w:rsid w:val="009A5E6D"/>
    <w:rsid w:val="009A7C12"/>
    <w:rsid w:val="009B227D"/>
    <w:rsid w:val="009B4BF3"/>
    <w:rsid w:val="009C017B"/>
    <w:rsid w:val="009C032D"/>
    <w:rsid w:val="009C03DE"/>
    <w:rsid w:val="009C3034"/>
    <w:rsid w:val="009C3F42"/>
    <w:rsid w:val="009C40F0"/>
    <w:rsid w:val="009C4958"/>
    <w:rsid w:val="009D01D6"/>
    <w:rsid w:val="009D12A4"/>
    <w:rsid w:val="009D145F"/>
    <w:rsid w:val="009D2934"/>
    <w:rsid w:val="009D5475"/>
    <w:rsid w:val="009D6931"/>
    <w:rsid w:val="009E737D"/>
    <w:rsid w:val="009E749B"/>
    <w:rsid w:val="009F13B2"/>
    <w:rsid w:val="009F1488"/>
    <w:rsid w:val="009F2B1F"/>
    <w:rsid w:val="009F4390"/>
    <w:rsid w:val="009F5335"/>
    <w:rsid w:val="00A03977"/>
    <w:rsid w:val="00A050D4"/>
    <w:rsid w:val="00A16C2A"/>
    <w:rsid w:val="00A26FF7"/>
    <w:rsid w:val="00A27FC2"/>
    <w:rsid w:val="00A30B50"/>
    <w:rsid w:val="00A3107D"/>
    <w:rsid w:val="00A31984"/>
    <w:rsid w:val="00A32458"/>
    <w:rsid w:val="00A330D4"/>
    <w:rsid w:val="00A35338"/>
    <w:rsid w:val="00A413AC"/>
    <w:rsid w:val="00A42B1C"/>
    <w:rsid w:val="00A445DC"/>
    <w:rsid w:val="00A446E5"/>
    <w:rsid w:val="00A44BEA"/>
    <w:rsid w:val="00A47441"/>
    <w:rsid w:val="00A5177D"/>
    <w:rsid w:val="00A52666"/>
    <w:rsid w:val="00A541FA"/>
    <w:rsid w:val="00A553F3"/>
    <w:rsid w:val="00A567F1"/>
    <w:rsid w:val="00A56919"/>
    <w:rsid w:val="00A575D9"/>
    <w:rsid w:val="00A57A7E"/>
    <w:rsid w:val="00A60C8A"/>
    <w:rsid w:val="00A66DEB"/>
    <w:rsid w:val="00A67DFB"/>
    <w:rsid w:val="00A705E3"/>
    <w:rsid w:val="00A711C6"/>
    <w:rsid w:val="00A71DB9"/>
    <w:rsid w:val="00A7358D"/>
    <w:rsid w:val="00A75ABC"/>
    <w:rsid w:val="00A76321"/>
    <w:rsid w:val="00A837D7"/>
    <w:rsid w:val="00A84033"/>
    <w:rsid w:val="00A84863"/>
    <w:rsid w:val="00A930D0"/>
    <w:rsid w:val="00A95D95"/>
    <w:rsid w:val="00A977EC"/>
    <w:rsid w:val="00AA2042"/>
    <w:rsid w:val="00AA2AF8"/>
    <w:rsid w:val="00AA3FD1"/>
    <w:rsid w:val="00AA68F8"/>
    <w:rsid w:val="00AB0701"/>
    <w:rsid w:val="00AB5D3A"/>
    <w:rsid w:val="00AB5ED3"/>
    <w:rsid w:val="00AB6B0C"/>
    <w:rsid w:val="00AB70CD"/>
    <w:rsid w:val="00AC2047"/>
    <w:rsid w:val="00AC28C5"/>
    <w:rsid w:val="00AC485C"/>
    <w:rsid w:val="00AC48B3"/>
    <w:rsid w:val="00AC4AA6"/>
    <w:rsid w:val="00AC6BCD"/>
    <w:rsid w:val="00AC7AC9"/>
    <w:rsid w:val="00AD23EF"/>
    <w:rsid w:val="00AD2504"/>
    <w:rsid w:val="00AD361A"/>
    <w:rsid w:val="00AD3976"/>
    <w:rsid w:val="00AD3C32"/>
    <w:rsid w:val="00AD4574"/>
    <w:rsid w:val="00AD6A95"/>
    <w:rsid w:val="00AE1920"/>
    <w:rsid w:val="00AF01B3"/>
    <w:rsid w:val="00AF0F13"/>
    <w:rsid w:val="00AF65E5"/>
    <w:rsid w:val="00AF7992"/>
    <w:rsid w:val="00B00AB3"/>
    <w:rsid w:val="00B00B4D"/>
    <w:rsid w:val="00B04833"/>
    <w:rsid w:val="00B0498C"/>
    <w:rsid w:val="00B04AB7"/>
    <w:rsid w:val="00B073C8"/>
    <w:rsid w:val="00B14C52"/>
    <w:rsid w:val="00B14E7A"/>
    <w:rsid w:val="00B200AA"/>
    <w:rsid w:val="00B21225"/>
    <w:rsid w:val="00B21731"/>
    <w:rsid w:val="00B21C11"/>
    <w:rsid w:val="00B225F1"/>
    <w:rsid w:val="00B22A7A"/>
    <w:rsid w:val="00B30668"/>
    <w:rsid w:val="00B313C2"/>
    <w:rsid w:val="00B36D6C"/>
    <w:rsid w:val="00B4023A"/>
    <w:rsid w:val="00B471B1"/>
    <w:rsid w:val="00B478C3"/>
    <w:rsid w:val="00B50A8F"/>
    <w:rsid w:val="00B51BBE"/>
    <w:rsid w:val="00B51D5D"/>
    <w:rsid w:val="00B540F8"/>
    <w:rsid w:val="00B60382"/>
    <w:rsid w:val="00B61348"/>
    <w:rsid w:val="00B6263F"/>
    <w:rsid w:val="00B64178"/>
    <w:rsid w:val="00B65B99"/>
    <w:rsid w:val="00B67114"/>
    <w:rsid w:val="00B702D7"/>
    <w:rsid w:val="00B71C3A"/>
    <w:rsid w:val="00B738C8"/>
    <w:rsid w:val="00B75449"/>
    <w:rsid w:val="00B7610A"/>
    <w:rsid w:val="00B80DB2"/>
    <w:rsid w:val="00B823F6"/>
    <w:rsid w:val="00B90210"/>
    <w:rsid w:val="00B92E47"/>
    <w:rsid w:val="00B93463"/>
    <w:rsid w:val="00B94CCB"/>
    <w:rsid w:val="00BA26B3"/>
    <w:rsid w:val="00BA3FFF"/>
    <w:rsid w:val="00BA4003"/>
    <w:rsid w:val="00BA527C"/>
    <w:rsid w:val="00BA67CA"/>
    <w:rsid w:val="00BA6F7B"/>
    <w:rsid w:val="00BB02CB"/>
    <w:rsid w:val="00BB2F2C"/>
    <w:rsid w:val="00BB5D6B"/>
    <w:rsid w:val="00BB7494"/>
    <w:rsid w:val="00BB778C"/>
    <w:rsid w:val="00BB7C64"/>
    <w:rsid w:val="00BC4ACD"/>
    <w:rsid w:val="00BC51AD"/>
    <w:rsid w:val="00BD0FBA"/>
    <w:rsid w:val="00BD528A"/>
    <w:rsid w:val="00BE07A9"/>
    <w:rsid w:val="00BE0A4E"/>
    <w:rsid w:val="00BE1FCF"/>
    <w:rsid w:val="00BE33D1"/>
    <w:rsid w:val="00BE4671"/>
    <w:rsid w:val="00BE53B0"/>
    <w:rsid w:val="00BF01CB"/>
    <w:rsid w:val="00BF2A33"/>
    <w:rsid w:val="00BF4FCD"/>
    <w:rsid w:val="00BF5230"/>
    <w:rsid w:val="00BF6355"/>
    <w:rsid w:val="00BF784A"/>
    <w:rsid w:val="00BF7EE4"/>
    <w:rsid w:val="00C1090C"/>
    <w:rsid w:val="00C23C73"/>
    <w:rsid w:val="00C240C8"/>
    <w:rsid w:val="00C26513"/>
    <w:rsid w:val="00C30A55"/>
    <w:rsid w:val="00C35A56"/>
    <w:rsid w:val="00C37F72"/>
    <w:rsid w:val="00C4162F"/>
    <w:rsid w:val="00C420C1"/>
    <w:rsid w:val="00C4525F"/>
    <w:rsid w:val="00C45963"/>
    <w:rsid w:val="00C472B8"/>
    <w:rsid w:val="00C472D5"/>
    <w:rsid w:val="00C477E6"/>
    <w:rsid w:val="00C53124"/>
    <w:rsid w:val="00C53B2E"/>
    <w:rsid w:val="00C53FFD"/>
    <w:rsid w:val="00C55080"/>
    <w:rsid w:val="00C6160A"/>
    <w:rsid w:val="00C61696"/>
    <w:rsid w:val="00C65570"/>
    <w:rsid w:val="00C70424"/>
    <w:rsid w:val="00C72EC5"/>
    <w:rsid w:val="00C76ECD"/>
    <w:rsid w:val="00C824D2"/>
    <w:rsid w:val="00C837B9"/>
    <w:rsid w:val="00C83C75"/>
    <w:rsid w:val="00C84763"/>
    <w:rsid w:val="00C848E6"/>
    <w:rsid w:val="00C848F4"/>
    <w:rsid w:val="00C84E04"/>
    <w:rsid w:val="00C8791A"/>
    <w:rsid w:val="00C909AA"/>
    <w:rsid w:val="00C910BE"/>
    <w:rsid w:val="00C922BE"/>
    <w:rsid w:val="00C92F76"/>
    <w:rsid w:val="00C9397F"/>
    <w:rsid w:val="00C951AE"/>
    <w:rsid w:val="00CA288A"/>
    <w:rsid w:val="00CA5844"/>
    <w:rsid w:val="00CA7415"/>
    <w:rsid w:val="00CB16AC"/>
    <w:rsid w:val="00CB265C"/>
    <w:rsid w:val="00CB7A07"/>
    <w:rsid w:val="00CC296F"/>
    <w:rsid w:val="00CC457C"/>
    <w:rsid w:val="00CC59BB"/>
    <w:rsid w:val="00CC7B11"/>
    <w:rsid w:val="00CD3FF9"/>
    <w:rsid w:val="00CD5E87"/>
    <w:rsid w:val="00CD635D"/>
    <w:rsid w:val="00CD78C7"/>
    <w:rsid w:val="00CD7CED"/>
    <w:rsid w:val="00CE04C7"/>
    <w:rsid w:val="00CE1547"/>
    <w:rsid w:val="00CF156B"/>
    <w:rsid w:val="00CF1E02"/>
    <w:rsid w:val="00CF2D68"/>
    <w:rsid w:val="00CF329B"/>
    <w:rsid w:val="00CF3626"/>
    <w:rsid w:val="00CF597A"/>
    <w:rsid w:val="00D009B0"/>
    <w:rsid w:val="00D032D5"/>
    <w:rsid w:val="00D05BAA"/>
    <w:rsid w:val="00D0767C"/>
    <w:rsid w:val="00D07FB9"/>
    <w:rsid w:val="00D121B8"/>
    <w:rsid w:val="00D13B7A"/>
    <w:rsid w:val="00D16559"/>
    <w:rsid w:val="00D22C4B"/>
    <w:rsid w:val="00D230C7"/>
    <w:rsid w:val="00D238CC"/>
    <w:rsid w:val="00D23E7D"/>
    <w:rsid w:val="00D2405F"/>
    <w:rsid w:val="00D30C7F"/>
    <w:rsid w:val="00D35D2A"/>
    <w:rsid w:val="00D41BA9"/>
    <w:rsid w:val="00D42FBC"/>
    <w:rsid w:val="00D456F3"/>
    <w:rsid w:val="00D47ADC"/>
    <w:rsid w:val="00D47E3D"/>
    <w:rsid w:val="00D52376"/>
    <w:rsid w:val="00D524BC"/>
    <w:rsid w:val="00D57B9E"/>
    <w:rsid w:val="00D612C2"/>
    <w:rsid w:val="00D63F47"/>
    <w:rsid w:val="00D64080"/>
    <w:rsid w:val="00D66175"/>
    <w:rsid w:val="00D66A2D"/>
    <w:rsid w:val="00D72A81"/>
    <w:rsid w:val="00D745E0"/>
    <w:rsid w:val="00D74CF9"/>
    <w:rsid w:val="00D74E94"/>
    <w:rsid w:val="00D76AA3"/>
    <w:rsid w:val="00D80604"/>
    <w:rsid w:val="00D832D0"/>
    <w:rsid w:val="00D84B98"/>
    <w:rsid w:val="00D858F8"/>
    <w:rsid w:val="00D86212"/>
    <w:rsid w:val="00D9460E"/>
    <w:rsid w:val="00D94EA1"/>
    <w:rsid w:val="00D95411"/>
    <w:rsid w:val="00DA086B"/>
    <w:rsid w:val="00DA0B92"/>
    <w:rsid w:val="00DA565F"/>
    <w:rsid w:val="00DA5E46"/>
    <w:rsid w:val="00DA7E05"/>
    <w:rsid w:val="00DB1007"/>
    <w:rsid w:val="00DB4794"/>
    <w:rsid w:val="00DB4BDE"/>
    <w:rsid w:val="00DB5C3E"/>
    <w:rsid w:val="00DB628E"/>
    <w:rsid w:val="00DC3230"/>
    <w:rsid w:val="00DD0E6E"/>
    <w:rsid w:val="00DD1761"/>
    <w:rsid w:val="00DD4362"/>
    <w:rsid w:val="00DD6D66"/>
    <w:rsid w:val="00DD7326"/>
    <w:rsid w:val="00DE1889"/>
    <w:rsid w:val="00DE1E3E"/>
    <w:rsid w:val="00DE428E"/>
    <w:rsid w:val="00DE4F9A"/>
    <w:rsid w:val="00DE7ABF"/>
    <w:rsid w:val="00DF3046"/>
    <w:rsid w:val="00DF348B"/>
    <w:rsid w:val="00DF782C"/>
    <w:rsid w:val="00E00A17"/>
    <w:rsid w:val="00E023D0"/>
    <w:rsid w:val="00E02BE3"/>
    <w:rsid w:val="00E030A0"/>
    <w:rsid w:val="00E124E3"/>
    <w:rsid w:val="00E12907"/>
    <w:rsid w:val="00E12DC5"/>
    <w:rsid w:val="00E1380E"/>
    <w:rsid w:val="00E14812"/>
    <w:rsid w:val="00E14F74"/>
    <w:rsid w:val="00E15DDE"/>
    <w:rsid w:val="00E2339E"/>
    <w:rsid w:val="00E23F76"/>
    <w:rsid w:val="00E308E8"/>
    <w:rsid w:val="00E316F5"/>
    <w:rsid w:val="00E3201E"/>
    <w:rsid w:val="00E3245B"/>
    <w:rsid w:val="00E36945"/>
    <w:rsid w:val="00E3707B"/>
    <w:rsid w:val="00E37B2C"/>
    <w:rsid w:val="00E4024B"/>
    <w:rsid w:val="00E45FF2"/>
    <w:rsid w:val="00E4710C"/>
    <w:rsid w:val="00E50685"/>
    <w:rsid w:val="00E563CD"/>
    <w:rsid w:val="00E570D9"/>
    <w:rsid w:val="00E57EAB"/>
    <w:rsid w:val="00E57F6B"/>
    <w:rsid w:val="00E6083B"/>
    <w:rsid w:val="00E6236B"/>
    <w:rsid w:val="00E65E89"/>
    <w:rsid w:val="00E707DE"/>
    <w:rsid w:val="00E71896"/>
    <w:rsid w:val="00E71934"/>
    <w:rsid w:val="00E7342C"/>
    <w:rsid w:val="00E75FA3"/>
    <w:rsid w:val="00E76943"/>
    <w:rsid w:val="00E76C3D"/>
    <w:rsid w:val="00E81555"/>
    <w:rsid w:val="00E82B78"/>
    <w:rsid w:val="00E968F9"/>
    <w:rsid w:val="00EA010E"/>
    <w:rsid w:val="00EA38F7"/>
    <w:rsid w:val="00EB0E2D"/>
    <w:rsid w:val="00EB1E33"/>
    <w:rsid w:val="00EB2F99"/>
    <w:rsid w:val="00EB5B48"/>
    <w:rsid w:val="00EB706C"/>
    <w:rsid w:val="00EC0215"/>
    <w:rsid w:val="00EC0881"/>
    <w:rsid w:val="00EC3AB1"/>
    <w:rsid w:val="00EC6D39"/>
    <w:rsid w:val="00ED0742"/>
    <w:rsid w:val="00ED30A6"/>
    <w:rsid w:val="00ED492C"/>
    <w:rsid w:val="00ED579F"/>
    <w:rsid w:val="00EE061A"/>
    <w:rsid w:val="00EE1A36"/>
    <w:rsid w:val="00EE30AF"/>
    <w:rsid w:val="00EE67BB"/>
    <w:rsid w:val="00EE68E4"/>
    <w:rsid w:val="00EF2C5E"/>
    <w:rsid w:val="00F06D97"/>
    <w:rsid w:val="00F1120A"/>
    <w:rsid w:val="00F11A47"/>
    <w:rsid w:val="00F134B1"/>
    <w:rsid w:val="00F13738"/>
    <w:rsid w:val="00F169C3"/>
    <w:rsid w:val="00F20FF1"/>
    <w:rsid w:val="00F21918"/>
    <w:rsid w:val="00F25205"/>
    <w:rsid w:val="00F3106C"/>
    <w:rsid w:val="00F31987"/>
    <w:rsid w:val="00F35457"/>
    <w:rsid w:val="00F3595B"/>
    <w:rsid w:val="00F36398"/>
    <w:rsid w:val="00F4097C"/>
    <w:rsid w:val="00F423E1"/>
    <w:rsid w:val="00F426A6"/>
    <w:rsid w:val="00F429FD"/>
    <w:rsid w:val="00F43477"/>
    <w:rsid w:val="00F449C4"/>
    <w:rsid w:val="00F458FF"/>
    <w:rsid w:val="00F52469"/>
    <w:rsid w:val="00F538D9"/>
    <w:rsid w:val="00F552A2"/>
    <w:rsid w:val="00F5531F"/>
    <w:rsid w:val="00F56399"/>
    <w:rsid w:val="00F6510D"/>
    <w:rsid w:val="00F66141"/>
    <w:rsid w:val="00F675C7"/>
    <w:rsid w:val="00F7213B"/>
    <w:rsid w:val="00F725B2"/>
    <w:rsid w:val="00F7298D"/>
    <w:rsid w:val="00F7750A"/>
    <w:rsid w:val="00F80006"/>
    <w:rsid w:val="00F80084"/>
    <w:rsid w:val="00F82372"/>
    <w:rsid w:val="00F87961"/>
    <w:rsid w:val="00F92045"/>
    <w:rsid w:val="00F92EF3"/>
    <w:rsid w:val="00F95676"/>
    <w:rsid w:val="00FA0979"/>
    <w:rsid w:val="00FA59E0"/>
    <w:rsid w:val="00FB1021"/>
    <w:rsid w:val="00FB16A4"/>
    <w:rsid w:val="00FB4F05"/>
    <w:rsid w:val="00FB55DC"/>
    <w:rsid w:val="00FC3EBE"/>
    <w:rsid w:val="00FC66C2"/>
    <w:rsid w:val="00FC6FA8"/>
    <w:rsid w:val="00FD2256"/>
    <w:rsid w:val="00FD2470"/>
    <w:rsid w:val="00FD26B5"/>
    <w:rsid w:val="00FD5823"/>
    <w:rsid w:val="00FD7A4F"/>
    <w:rsid w:val="00FE19CA"/>
    <w:rsid w:val="00FE1C27"/>
    <w:rsid w:val="00FE215B"/>
    <w:rsid w:val="00FE271F"/>
    <w:rsid w:val="00FE5C31"/>
    <w:rsid w:val="00FE68B1"/>
    <w:rsid w:val="00FE79A2"/>
    <w:rsid w:val="00FF25BA"/>
    <w:rsid w:val="00FF26FC"/>
    <w:rsid w:val="00FF2C67"/>
    <w:rsid w:val="00FF6E94"/>
    <w:rsid w:val="00FF748B"/>
    <w:rsid w:val="00FF7623"/>
    <w:rsid w:val="01104D35"/>
    <w:rsid w:val="013640CD"/>
    <w:rsid w:val="014B59A0"/>
    <w:rsid w:val="01975167"/>
    <w:rsid w:val="01D02B32"/>
    <w:rsid w:val="01E77670"/>
    <w:rsid w:val="023D1E28"/>
    <w:rsid w:val="025B4399"/>
    <w:rsid w:val="02816982"/>
    <w:rsid w:val="02A1164B"/>
    <w:rsid w:val="02A608BD"/>
    <w:rsid w:val="02C16821"/>
    <w:rsid w:val="02F312D1"/>
    <w:rsid w:val="030A0612"/>
    <w:rsid w:val="038C319A"/>
    <w:rsid w:val="03AA50D0"/>
    <w:rsid w:val="03F831A2"/>
    <w:rsid w:val="04466F54"/>
    <w:rsid w:val="04491569"/>
    <w:rsid w:val="045100BF"/>
    <w:rsid w:val="049B24CA"/>
    <w:rsid w:val="049F2B6B"/>
    <w:rsid w:val="04A54679"/>
    <w:rsid w:val="04AB09E9"/>
    <w:rsid w:val="04D46D43"/>
    <w:rsid w:val="04F97287"/>
    <w:rsid w:val="054F24AA"/>
    <w:rsid w:val="05551E7D"/>
    <w:rsid w:val="056728ED"/>
    <w:rsid w:val="05B4502E"/>
    <w:rsid w:val="0611595F"/>
    <w:rsid w:val="06117078"/>
    <w:rsid w:val="064024C5"/>
    <w:rsid w:val="064E6ACB"/>
    <w:rsid w:val="06A53106"/>
    <w:rsid w:val="07856321"/>
    <w:rsid w:val="07BF71BF"/>
    <w:rsid w:val="07DA3804"/>
    <w:rsid w:val="085706AF"/>
    <w:rsid w:val="087A215B"/>
    <w:rsid w:val="087C078B"/>
    <w:rsid w:val="0885596C"/>
    <w:rsid w:val="08E56300"/>
    <w:rsid w:val="08EF714A"/>
    <w:rsid w:val="08FB1A7E"/>
    <w:rsid w:val="09210F9A"/>
    <w:rsid w:val="09221359"/>
    <w:rsid w:val="095649F4"/>
    <w:rsid w:val="097B791D"/>
    <w:rsid w:val="09A92ED0"/>
    <w:rsid w:val="09AE3B20"/>
    <w:rsid w:val="0A487B00"/>
    <w:rsid w:val="0A536644"/>
    <w:rsid w:val="0A744169"/>
    <w:rsid w:val="0AC72508"/>
    <w:rsid w:val="0AC7562C"/>
    <w:rsid w:val="0AE23759"/>
    <w:rsid w:val="0AF63B99"/>
    <w:rsid w:val="0AFF5936"/>
    <w:rsid w:val="0AFF6B1C"/>
    <w:rsid w:val="0B015245"/>
    <w:rsid w:val="0B107E9C"/>
    <w:rsid w:val="0B3853B3"/>
    <w:rsid w:val="0B4736D3"/>
    <w:rsid w:val="0B5C1F66"/>
    <w:rsid w:val="0BBA2064"/>
    <w:rsid w:val="0BCC3D2F"/>
    <w:rsid w:val="0BDA66AA"/>
    <w:rsid w:val="0BDF241C"/>
    <w:rsid w:val="0BEE465E"/>
    <w:rsid w:val="0C08445F"/>
    <w:rsid w:val="0C0F6E28"/>
    <w:rsid w:val="0C113E08"/>
    <w:rsid w:val="0C1C6B50"/>
    <w:rsid w:val="0C7F0B94"/>
    <w:rsid w:val="0CC75F86"/>
    <w:rsid w:val="0D1059EB"/>
    <w:rsid w:val="0D3229A4"/>
    <w:rsid w:val="0D442BCB"/>
    <w:rsid w:val="0D44748D"/>
    <w:rsid w:val="0D501579"/>
    <w:rsid w:val="0D5E144F"/>
    <w:rsid w:val="0D8730EE"/>
    <w:rsid w:val="0DE90657"/>
    <w:rsid w:val="0DF4258B"/>
    <w:rsid w:val="0E0B0EBD"/>
    <w:rsid w:val="0E3C2359"/>
    <w:rsid w:val="0E4767DA"/>
    <w:rsid w:val="0E6C34EA"/>
    <w:rsid w:val="0F2449BA"/>
    <w:rsid w:val="0F484B12"/>
    <w:rsid w:val="0F4F48BB"/>
    <w:rsid w:val="0F59240A"/>
    <w:rsid w:val="0F765F03"/>
    <w:rsid w:val="0FD369C5"/>
    <w:rsid w:val="100D3A5B"/>
    <w:rsid w:val="1027784F"/>
    <w:rsid w:val="1028000B"/>
    <w:rsid w:val="103B45F7"/>
    <w:rsid w:val="106405BC"/>
    <w:rsid w:val="10775503"/>
    <w:rsid w:val="10B70458"/>
    <w:rsid w:val="10E2057D"/>
    <w:rsid w:val="10EA0507"/>
    <w:rsid w:val="10ED6EF0"/>
    <w:rsid w:val="10ED7858"/>
    <w:rsid w:val="11575CC6"/>
    <w:rsid w:val="115F2B08"/>
    <w:rsid w:val="11B07AEB"/>
    <w:rsid w:val="11B969F4"/>
    <w:rsid w:val="11BE3E9D"/>
    <w:rsid w:val="11C3556B"/>
    <w:rsid w:val="11C71BA8"/>
    <w:rsid w:val="125875C4"/>
    <w:rsid w:val="12662719"/>
    <w:rsid w:val="129D5378"/>
    <w:rsid w:val="129D5FBB"/>
    <w:rsid w:val="12D62551"/>
    <w:rsid w:val="13054310"/>
    <w:rsid w:val="13113D25"/>
    <w:rsid w:val="131A181D"/>
    <w:rsid w:val="133C4226"/>
    <w:rsid w:val="134D2E5E"/>
    <w:rsid w:val="135528D0"/>
    <w:rsid w:val="135D59B4"/>
    <w:rsid w:val="13BF28A4"/>
    <w:rsid w:val="13EA5BAB"/>
    <w:rsid w:val="14122B26"/>
    <w:rsid w:val="14370E01"/>
    <w:rsid w:val="14430683"/>
    <w:rsid w:val="147512F3"/>
    <w:rsid w:val="14933CD3"/>
    <w:rsid w:val="149F4005"/>
    <w:rsid w:val="14FF1174"/>
    <w:rsid w:val="15247A89"/>
    <w:rsid w:val="15614BAB"/>
    <w:rsid w:val="15E77ECB"/>
    <w:rsid w:val="164F3244"/>
    <w:rsid w:val="16787568"/>
    <w:rsid w:val="16D730A6"/>
    <w:rsid w:val="16DE5AAA"/>
    <w:rsid w:val="16E55D9E"/>
    <w:rsid w:val="177C1A3C"/>
    <w:rsid w:val="17E922D5"/>
    <w:rsid w:val="17EC5038"/>
    <w:rsid w:val="17FE0744"/>
    <w:rsid w:val="183A2573"/>
    <w:rsid w:val="183F536F"/>
    <w:rsid w:val="184848F6"/>
    <w:rsid w:val="184B292D"/>
    <w:rsid w:val="1852303A"/>
    <w:rsid w:val="188C4B9F"/>
    <w:rsid w:val="18D27C5C"/>
    <w:rsid w:val="18FA5F88"/>
    <w:rsid w:val="19151B94"/>
    <w:rsid w:val="193C02C8"/>
    <w:rsid w:val="19C81326"/>
    <w:rsid w:val="19D906DA"/>
    <w:rsid w:val="19DE47A1"/>
    <w:rsid w:val="19F40B52"/>
    <w:rsid w:val="1A115749"/>
    <w:rsid w:val="1A1F314E"/>
    <w:rsid w:val="1A263C6E"/>
    <w:rsid w:val="1A6526DD"/>
    <w:rsid w:val="1A8D29C4"/>
    <w:rsid w:val="1AAA7D09"/>
    <w:rsid w:val="1ACB08C7"/>
    <w:rsid w:val="1AFF658A"/>
    <w:rsid w:val="1B416152"/>
    <w:rsid w:val="1BB73312"/>
    <w:rsid w:val="1BF676ED"/>
    <w:rsid w:val="1C150120"/>
    <w:rsid w:val="1C474FDE"/>
    <w:rsid w:val="1C501DD2"/>
    <w:rsid w:val="1C8D52CB"/>
    <w:rsid w:val="1CA4592B"/>
    <w:rsid w:val="1CA816CE"/>
    <w:rsid w:val="1CAB41B6"/>
    <w:rsid w:val="1CAC352E"/>
    <w:rsid w:val="1CD843D8"/>
    <w:rsid w:val="1CE864AF"/>
    <w:rsid w:val="1D2C6571"/>
    <w:rsid w:val="1D42529D"/>
    <w:rsid w:val="1D435695"/>
    <w:rsid w:val="1D4E0ED5"/>
    <w:rsid w:val="1D53174B"/>
    <w:rsid w:val="1D983619"/>
    <w:rsid w:val="1DA8155D"/>
    <w:rsid w:val="1DF1193F"/>
    <w:rsid w:val="1E00019F"/>
    <w:rsid w:val="1E186254"/>
    <w:rsid w:val="1E372E0B"/>
    <w:rsid w:val="1E7B5AD9"/>
    <w:rsid w:val="1EA32914"/>
    <w:rsid w:val="1EA47168"/>
    <w:rsid w:val="1EBD1A8B"/>
    <w:rsid w:val="1ECB0EEB"/>
    <w:rsid w:val="1ED86249"/>
    <w:rsid w:val="1F031114"/>
    <w:rsid w:val="1F035C93"/>
    <w:rsid w:val="1F49661D"/>
    <w:rsid w:val="1FF04FBC"/>
    <w:rsid w:val="203A2850"/>
    <w:rsid w:val="209150D0"/>
    <w:rsid w:val="2095026C"/>
    <w:rsid w:val="209625E8"/>
    <w:rsid w:val="21260BE9"/>
    <w:rsid w:val="2137539A"/>
    <w:rsid w:val="214930CE"/>
    <w:rsid w:val="215B5602"/>
    <w:rsid w:val="215D18D7"/>
    <w:rsid w:val="2167154D"/>
    <w:rsid w:val="21882B97"/>
    <w:rsid w:val="21BC6012"/>
    <w:rsid w:val="221A1EFC"/>
    <w:rsid w:val="222D562D"/>
    <w:rsid w:val="222E083D"/>
    <w:rsid w:val="22585ADE"/>
    <w:rsid w:val="22657027"/>
    <w:rsid w:val="226C355C"/>
    <w:rsid w:val="22763428"/>
    <w:rsid w:val="22815215"/>
    <w:rsid w:val="22925E43"/>
    <w:rsid w:val="22DE085E"/>
    <w:rsid w:val="23033051"/>
    <w:rsid w:val="23574918"/>
    <w:rsid w:val="23BF2E9D"/>
    <w:rsid w:val="23F17EB2"/>
    <w:rsid w:val="241039A3"/>
    <w:rsid w:val="242D1A94"/>
    <w:rsid w:val="243451E6"/>
    <w:rsid w:val="243540F5"/>
    <w:rsid w:val="245010F9"/>
    <w:rsid w:val="24571399"/>
    <w:rsid w:val="245B32B8"/>
    <w:rsid w:val="24687361"/>
    <w:rsid w:val="25020A5D"/>
    <w:rsid w:val="25916B02"/>
    <w:rsid w:val="26160729"/>
    <w:rsid w:val="265E3775"/>
    <w:rsid w:val="26F3405D"/>
    <w:rsid w:val="26F45CC6"/>
    <w:rsid w:val="270C0607"/>
    <w:rsid w:val="271255E1"/>
    <w:rsid w:val="273D0716"/>
    <w:rsid w:val="275A26E4"/>
    <w:rsid w:val="2763164E"/>
    <w:rsid w:val="27723F90"/>
    <w:rsid w:val="277E27A6"/>
    <w:rsid w:val="27D01834"/>
    <w:rsid w:val="27DB3447"/>
    <w:rsid w:val="28375FA7"/>
    <w:rsid w:val="28377ADD"/>
    <w:rsid w:val="286A2960"/>
    <w:rsid w:val="28C70B0E"/>
    <w:rsid w:val="28CF34C8"/>
    <w:rsid w:val="29092E0B"/>
    <w:rsid w:val="2944355C"/>
    <w:rsid w:val="2952301D"/>
    <w:rsid w:val="29AD696F"/>
    <w:rsid w:val="29E1352A"/>
    <w:rsid w:val="2A212440"/>
    <w:rsid w:val="2A5761F4"/>
    <w:rsid w:val="2A9A0926"/>
    <w:rsid w:val="2AAA79E5"/>
    <w:rsid w:val="2AC41846"/>
    <w:rsid w:val="2AED15D5"/>
    <w:rsid w:val="2B286BC5"/>
    <w:rsid w:val="2B507C0E"/>
    <w:rsid w:val="2B6C1086"/>
    <w:rsid w:val="2BD07ED1"/>
    <w:rsid w:val="2BDC6508"/>
    <w:rsid w:val="2BE540EA"/>
    <w:rsid w:val="2BF8035C"/>
    <w:rsid w:val="2BFE1A3A"/>
    <w:rsid w:val="2C1E708F"/>
    <w:rsid w:val="2C2D2523"/>
    <w:rsid w:val="2C560793"/>
    <w:rsid w:val="2C637B49"/>
    <w:rsid w:val="2CBF3424"/>
    <w:rsid w:val="2CBF7893"/>
    <w:rsid w:val="2D0A5FEF"/>
    <w:rsid w:val="2D1D53DC"/>
    <w:rsid w:val="2D69443B"/>
    <w:rsid w:val="2DBF5F0C"/>
    <w:rsid w:val="2DD81272"/>
    <w:rsid w:val="2DDC39A9"/>
    <w:rsid w:val="2DE37846"/>
    <w:rsid w:val="2E672F15"/>
    <w:rsid w:val="2E6E0647"/>
    <w:rsid w:val="2E7A32F2"/>
    <w:rsid w:val="2E826E21"/>
    <w:rsid w:val="2EA259BE"/>
    <w:rsid w:val="2EBB0913"/>
    <w:rsid w:val="2EBC54A7"/>
    <w:rsid w:val="2ED94850"/>
    <w:rsid w:val="2F475B6E"/>
    <w:rsid w:val="2F57706B"/>
    <w:rsid w:val="2F5A68F9"/>
    <w:rsid w:val="2FA605F4"/>
    <w:rsid w:val="2FA94859"/>
    <w:rsid w:val="2FCA38FB"/>
    <w:rsid w:val="302F7C52"/>
    <w:rsid w:val="307C5B44"/>
    <w:rsid w:val="30B84D8D"/>
    <w:rsid w:val="30C77660"/>
    <w:rsid w:val="30D132D5"/>
    <w:rsid w:val="30F25529"/>
    <w:rsid w:val="30FB7B93"/>
    <w:rsid w:val="31147133"/>
    <w:rsid w:val="3131492F"/>
    <w:rsid w:val="31804A59"/>
    <w:rsid w:val="318B468D"/>
    <w:rsid w:val="31AA18C4"/>
    <w:rsid w:val="31C41B96"/>
    <w:rsid w:val="3249029F"/>
    <w:rsid w:val="32692793"/>
    <w:rsid w:val="32A52326"/>
    <w:rsid w:val="32C85D57"/>
    <w:rsid w:val="3330578A"/>
    <w:rsid w:val="3334394F"/>
    <w:rsid w:val="3380360C"/>
    <w:rsid w:val="33927B90"/>
    <w:rsid w:val="339B33B0"/>
    <w:rsid w:val="33AC2FCC"/>
    <w:rsid w:val="33BF51A9"/>
    <w:rsid w:val="33CB48D1"/>
    <w:rsid w:val="340A65FB"/>
    <w:rsid w:val="345110C1"/>
    <w:rsid w:val="346908F9"/>
    <w:rsid w:val="347D27F2"/>
    <w:rsid w:val="35082633"/>
    <w:rsid w:val="35387669"/>
    <w:rsid w:val="35492805"/>
    <w:rsid w:val="354F0799"/>
    <w:rsid w:val="355C2A38"/>
    <w:rsid w:val="35746E3A"/>
    <w:rsid w:val="35A4304E"/>
    <w:rsid w:val="35CA2FFB"/>
    <w:rsid w:val="35F46CE1"/>
    <w:rsid w:val="35F75748"/>
    <w:rsid w:val="361604EE"/>
    <w:rsid w:val="361F4606"/>
    <w:rsid w:val="362E48DF"/>
    <w:rsid w:val="366B0F82"/>
    <w:rsid w:val="369C0BB4"/>
    <w:rsid w:val="36A84600"/>
    <w:rsid w:val="36A84C94"/>
    <w:rsid w:val="36AF526B"/>
    <w:rsid w:val="36DB07A4"/>
    <w:rsid w:val="36EA2EF3"/>
    <w:rsid w:val="36EE1EB5"/>
    <w:rsid w:val="37026CD5"/>
    <w:rsid w:val="376E121E"/>
    <w:rsid w:val="37F54414"/>
    <w:rsid w:val="37F91A52"/>
    <w:rsid w:val="38035B8A"/>
    <w:rsid w:val="382D2500"/>
    <w:rsid w:val="38C37596"/>
    <w:rsid w:val="38C823B6"/>
    <w:rsid w:val="3908427C"/>
    <w:rsid w:val="39175B02"/>
    <w:rsid w:val="392E030F"/>
    <w:rsid w:val="394336AB"/>
    <w:rsid w:val="395609BD"/>
    <w:rsid w:val="396D1EFC"/>
    <w:rsid w:val="396E059F"/>
    <w:rsid w:val="39BB4525"/>
    <w:rsid w:val="39C119ED"/>
    <w:rsid w:val="39D50599"/>
    <w:rsid w:val="39DC51E2"/>
    <w:rsid w:val="39FA5F67"/>
    <w:rsid w:val="3A0D3C6F"/>
    <w:rsid w:val="3A8A4147"/>
    <w:rsid w:val="3AA51045"/>
    <w:rsid w:val="3AAB4E49"/>
    <w:rsid w:val="3AB20D0C"/>
    <w:rsid w:val="3AF73BAA"/>
    <w:rsid w:val="3B0D2CD2"/>
    <w:rsid w:val="3B21657C"/>
    <w:rsid w:val="3B642DB5"/>
    <w:rsid w:val="3BCE338C"/>
    <w:rsid w:val="3BE47054"/>
    <w:rsid w:val="3C2B13C9"/>
    <w:rsid w:val="3C2F53BE"/>
    <w:rsid w:val="3CDC7EE0"/>
    <w:rsid w:val="3D132163"/>
    <w:rsid w:val="3D396C7C"/>
    <w:rsid w:val="3D43368D"/>
    <w:rsid w:val="3D76054E"/>
    <w:rsid w:val="3D7B284C"/>
    <w:rsid w:val="3D7E0059"/>
    <w:rsid w:val="3D8D11ED"/>
    <w:rsid w:val="3DAA12F9"/>
    <w:rsid w:val="3DAC0948"/>
    <w:rsid w:val="3DD30609"/>
    <w:rsid w:val="3DED49D9"/>
    <w:rsid w:val="3DF41CB3"/>
    <w:rsid w:val="3DFF19D1"/>
    <w:rsid w:val="3E1A3D2D"/>
    <w:rsid w:val="3E453DD7"/>
    <w:rsid w:val="3E57657C"/>
    <w:rsid w:val="3E6829CE"/>
    <w:rsid w:val="3E760F80"/>
    <w:rsid w:val="3E866A88"/>
    <w:rsid w:val="3EF14543"/>
    <w:rsid w:val="3F094AAF"/>
    <w:rsid w:val="3F3E5735"/>
    <w:rsid w:val="3F8A7C55"/>
    <w:rsid w:val="3FA04042"/>
    <w:rsid w:val="3FCC15FC"/>
    <w:rsid w:val="3FD80565"/>
    <w:rsid w:val="40046A92"/>
    <w:rsid w:val="40073837"/>
    <w:rsid w:val="40091BBC"/>
    <w:rsid w:val="407B1409"/>
    <w:rsid w:val="409F5875"/>
    <w:rsid w:val="40BC3E0E"/>
    <w:rsid w:val="40F37685"/>
    <w:rsid w:val="410E48E6"/>
    <w:rsid w:val="414C48A8"/>
    <w:rsid w:val="417A56CE"/>
    <w:rsid w:val="417E65BD"/>
    <w:rsid w:val="419F2215"/>
    <w:rsid w:val="41B75B24"/>
    <w:rsid w:val="41BB7D66"/>
    <w:rsid w:val="421B0A51"/>
    <w:rsid w:val="42211924"/>
    <w:rsid w:val="42423245"/>
    <w:rsid w:val="42480DAF"/>
    <w:rsid w:val="42572F18"/>
    <w:rsid w:val="4285179A"/>
    <w:rsid w:val="42FD16EC"/>
    <w:rsid w:val="4311195E"/>
    <w:rsid w:val="431D1B1C"/>
    <w:rsid w:val="438F6909"/>
    <w:rsid w:val="43993360"/>
    <w:rsid w:val="43AF023B"/>
    <w:rsid w:val="43FE4A8A"/>
    <w:rsid w:val="44133EA1"/>
    <w:rsid w:val="4423230C"/>
    <w:rsid w:val="446F2B7F"/>
    <w:rsid w:val="4490134D"/>
    <w:rsid w:val="44C37047"/>
    <w:rsid w:val="44E42491"/>
    <w:rsid w:val="45010369"/>
    <w:rsid w:val="45075BF4"/>
    <w:rsid w:val="4581699F"/>
    <w:rsid w:val="45941FB0"/>
    <w:rsid w:val="45A040C5"/>
    <w:rsid w:val="45AF7250"/>
    <w:rsid w:val="461E698C"/>
    <w:rsid w:val="46217AAB"/>
    <w:rsid w:val="46270E66"/>
    <w:rsid w:val="464466C5"/>
    <w:rsid w:val="467526F7"/>
    <w:rsid w:val="46876046"/>
    <w:rsid w:val="46934EC1"/>
    <w:rsid w:val="46A3314B"/>
    <w:rsid w:val="46AA5D57"/>
    <w:rsid w:val="46C261CE"/>
    <w:rsid w:val="46E23C7F"/>
    <w:rsid w:val="46E967A6"/>
    <w:rsid w:val="471C7ABF"/>
    <w:rsid w:val="472F1E55"/>
    <w:rsid w:val="47A66707"/>
    <w:rsid w:val="47AB10C1"/>
    <w:rsid w:val="47AB4DE7"/>
    <w:rsid w:val="47F80EB6"/>
    <w:rsid w:val="47FB4DB9"/>
    <w:rsid w:val="484A7F65"/>
    <w:rsid w:val="48920C0D"/>
    <w:rsid w:val="48F6071D"/>
    <w:rsid w:val="48FD7CFE"/>
    <w:rsid w:val="49273BAE"/>
    <w:rsid w:val="49377275"/>
    <w:rsid w:val="493E6AC6"/>
    <w:rsid w:val="495311D0"/>
    <w:rsid w:val="49CB4A51"/>
    <w:rsid w:val="49FD0C2F"/>
    <w:rsid w:val="4A9024F5"/>
    <w:rsid w:val="4AA71523"/>
    <w:rsid w:val="4B325D0A"/>
    <w:rsid w:val="4B79337A"/>
    <w:rsid w:val="4B921AD1"/>
    <w:rsid w:val="4BA516C2"/>
    <w:rsid w:val="4BFA4A51"/>
    <w:rsid w:val="4C1F03F1"/>
    <w:rsid w:val="4C3B5BFF"/>
    <w:rsid w:val="4C8F4067"/>
    <w:rsid w:val="4CAD7D86"/>
    <w:rsid w:val="4CB324FA"/>
    <w:rsid w:val="4CD247D3"/>
    <w:rsid w:val="4D3002CA"/>
    <w:rsid w:val="4D594CFC"/>
    <w:rsid w:val="4D755A90"/>
    <w:rsid w:val="4D8D5EC5"/>
    <w:rsid w:val="4DDB4A63"/>
    <w:rsid w:val="4DE30FF1"/>
    <w:rsid w:val="4DF01FEB"/>
    <w:rsid w:val="4E095B66"/>
    <w:rsid w:val="4E3648DB"/>
    <w:rsid w:val="4E3F2D9E"/>
    <w:rsid w:val="4EA10708"/>
    <w:rsid w:val="4EF45559"/>
    <w:rsid w:val="4EF91428"/>
    <w:rsid w:val="4EFB6441"/>
    <w:rsid w:val="4F0F7AC8"/>
    <w:rsid w:val="4F2B5D07"/>
    <w:rsid w:val="4F7F6BCB"/>
    <w:rsid w:val="4FC76EE5"/>
    <w:rsid w:val="4FD479E6"/>
    <w:rsid w:val="504C7D72"/>
    <w:rsid w:val="50BB4088"/>
    <w:rsid w:val="50CB2E03"/>
    <w:rsid w:val="50E2617F"/>
    <w:rsid w:val="50F13A72"/>
    <w:rsid w:val="51143ACE"/>
    <w:rsid w:val="51790627"/>
    <w:rsid w:val="51942F6C"/>
    <w:rsid w:val="51AD694E"/>
    <w:rsid w:val="51BB25F2"/>
    <w:rsid w:val="51E8728E"/>
    <w:rsid w:val="520B194A"/>
    <w:rsid w:val="5239524E"/>
    <w:rsid w:val="523F606D"/>
    <w:rsid w:val="525105C9"/>
    <w:rsid w:val="52753CC1"/>
    <w:rsid w:val="52C2621C"/>
    <w:rsid w:val="52CC58B8"/>
    <w:rsid w:val="52FC029F"/>
    <w:rsid w:val="536D378F"/>
    <w:rsid w:val="539C5BC2"/>
    <w:rsid w:val="54313EDE"/>
    <w:rsid w:val="544008E2"/>
    <w:rsid w:val="545C6AF1"/>
    <w:rsid w:val="548347D4"/>
    <w:rsid w:val="549C6A75"/>
    <w:rsid w:val="54BF36D2"/>
    <w:rsid w:val="54CA197E"/>
    <w:rsid w:val="54CE1BAD"/>
    <w:rsid w:val="54E90F6C"/>
    <w:rsid w:val="558A76F1"/>
    <w:rsid w:val="559F1832"/>
    <w:rsid w:val="55D77B94"/>
    <w:rsid w:val="563914F7"/>
    <w:rsid w:val="564361D5"/>
    <w:rsid w:val="56563420"/>
    <w:rsid w:val="565F40E6"/>
    <w:rsid w:val="56A41A00"/>
    <w:rsid w:val="56DD4911"/>
    <w:rsid w:val="56E57191"/>
    <w:rsid w:val="571F1400"/>
    <w:rsid w:val="57506F49"/>
    <w:rsid w:val="578E66B1"/>
    <w:rsid w:val="57E42B61"/>
    <w:rsid w:val="58156BA4"/>
    <w:rsid w:val="58834454"/>
    <w:rsid w:val="58940BA5"/>
    <w:rsid w:val="58EA5B85"/>
    <w:rsid w:val="594E2393"/>
    <w:rsid w:val="595C17F1"/>
    <w:rsid w:val="59623892"/>
    <w:rsid w:val="59D9651C"/>
    <w:rsid w:val="59F3161E"/>
    <w:rsid w:val="5A0C264D"/>
    <w:rsid w:val="5A296B8B"/>
    <w:rsid w:val="5A366AF3"/>
    <w:rsid w:val="5A683ADE"/>
    <w:rsid w:val="5A696BC4"/>
    <w:rsid w:val="5A73365A"/>
    <w:rsid w:val="5A9552A3"/>
    <w:rsid w:val="5A970D37"/>
    <w:rsid w:val="5AD44BC2"/>
    <w:rsid w:val="5B066E35"/>
    <w:rsid w:val="5B083D63"/>
    <w:rsid w:val="5B33411D"/>
    <w:rsid w:val="5B380E01"/>
    <w:rsid w:val="5B74363B"/>
    <w:rsid w:val="5BAD36EB"/>
    <w:rsid w:val="5C3D7885"/>
    <w:rsid w:val="5C6159E7"/>
    <w:rsid w:val="5C714EEA"/>
    <w:rsid w:val="5CF725AA"/>
    <w:rsid w:val="5D1B313B"/>
    <w:rsid w:val="5D1C57B9"/>
    <w:rsid w:val="5D1E50CA"/>
    <w:rsid w:val="5D8334CB"/>
    <w:rsid w:val="5D8E71EB"/>
    <w:rsid w:val="5D9147E0"/>
    <w:rsid w:val="5DF324EF"/>
    <w:rsid w:val="5E297F31"/>
    <w:rsid w:val="5E456AFF"/>
    <w:rsid w:val="5E4B5264"/>
    <w:rsid w:val="5E6317FC"/>
    <w:rsid w:val="5E7E2D18"/>
    <w:rsid w:val="5E910B3F"/>
    <w:rsid w:val="5EB25A7B"/>
    <w:rsid w:val="5EB56721"/>
    <w:rsid w:val="5EDD3C2B"/>
    <w:rsid w:val="5F0F539B"/>
    <w:rsid w:val="5F2F5419"/>
    <w:rsid w:val="5F5260F5"/>
    <w:rsid w:val="5F527CD2"/>
    <w:rsid w:val="5FB7573C"/>
    <w:rsid w:val="5FC714A7"/>
    <w:rsid w:val="604E3154"/>
    <w:rsid w:val="60515132"/>
    <w:rsid w:val="605824DE"/>
    <w:rsid w:val="60A25D8B"/>
    <w:rsid w:val="60C30A79"/>
    <w:rsid w:val="60D67173"/>
    <w:rsid w:val="60F1554E"/>
    <w:rsid w:val="614D1C07"/>
    <w:rsid w:val="61811558"/>
    <w:rsid w:val="61A137D4"/>
    <w:rsid w:val="61A41AB7"/>
    <w:rsid w:val="61DC403A"/>
    <w:rsid w:val="61F53EFC"/>
    <w:rsid w:val="62272BD8"/>
    <w:rsid w:val="625C4A55"/>
    <w:rsid w:val="627A2C93"/>
    <w:rsid w:val="627A6FED"/>
    <w:rsid w:val="627C04E4"/>
    <w:rsid w:val="62AF3123"/>
    <w:rsid w:val="62C176B1"/>
    <w:rsid w:val="630E6D38"/>
    <w:rsid w:val="63307EDF"/>
    <w:rsid w:val="63750E3D"/>
    <w:rsid w:val="637C50A3"/>
    <w:rsid w:val="644D3118"/>
    <w:rsid w:val="64731602"/>
    <w:rsid w:val="64C24F00"/>
    <w:rsid w:val="64D54CD3"/>
    <w:rsid w:val="650C756F"/>
    <w:rsid w:val="651D1034"/>
    <w:rsid w:val="651D4F2D"/>
    <w:rsid w:val="65293FC3"/>
    <w:rsid w:val="65D74A11"/>
    <w:rsid w:val="660B2FBB"/>
    <w:rsid w:val="66126D2F"/>
    <w:rsid w:val="66185387"/>
    <w:rsid w:val="66295637"/>
    <w:rsid w:val="665E3EA1"/>
    <w:rsid w:val="66954110"/>
    <w:rsid w:val="66E73BDC"/>
    <w:rsid w:val="672E27D1"/>
    <w:rsid w:val="67400EBD"/>
    <w:rsid w:val="677E4210"/>
    <w:rsid w:val="678B4A41"/>
    <w:rsid w:val="67BE2992"/>
    <w:rsid w:val="67D15D24"/>
    <w:rsid w:val="67F62E39"/>
    <w:rsid w:val="684D7F7D"/>
    <w:rsid w:val="68564D19"/>
    <w:rsid w:val="686140CE"/>
    <w:rsid w:val="687227C5"/>
    <w:rsid w:val="687C5B6B"/>
    <w:rsid w:val="68865A1B"/>
    <w:rsid w:val="692D2576"/>
    <w:rsid w:val="6931477D"/>
    <w:rsid w:val="693A33E7"/>
    <w:rsid w:val="69866909"/>
    <w:rsid w:val="69A141FA"/>
    <w:rsid w:val="69BE2857"/>
    <w:rsid w:val="69C03EE9"/>
    <w:rsid w:val="69C629E7"/>
    <w:rsid w:val="69D1664D"/>
    <w:rsid w:val="69E56ADB"/>
    <w:rsid w:val="69F64994"/>
    <w:rsid w:val="6A6512BC"/>
    <w:rsid w:val="6AA51958"/>
    <w:rsid w:val="6B0325E3"/>
    <w:rsid w:val="6B0F7284"/>
    <w:rsid w:val="6B231038"/>
    <w:rsid w:val="6B2A5A9D"/>
    <w:rsid w:val="6B2B368F"/>
    <w:rsid w:val="6B4361A4"/>
    <w:rsid w:val="6B683E48"/>
    <w:rsid w:val="6B6D4871"/>
    <w:rsid w:val="6B9D3327"/>
    <w:rsid w:val="6BD54DFB"/>
    <w:rsid w:val="6BDF6987"/>
    <w:rsid w:val="6C2D0BBA"/>
    <w:rsid w:val="6C3D59C3"/>
    <w:rsid w:val="6C7D69A3"/>
    <w:rsid w:val="6CAF75AF"/>
    <w:rsid w:val="6CC066FB"/>
    <w:rsid w:val="6CFE51D9"/>
    <w:rsid w:val="6D0853FD"/>
    <w:rsid w:val="6D0F0FC6"/>
    <w:rsid w:val="6D226249"/>
    <w:rsid w:val="6D8B00EE"/>
    <w:rsid w:val="6D9864B0"/>
    <w:rsid w:val="6D9C41A8"/>
    <w:rsid w:val="6E52662C"/>
    <w:rsid w:val="6E532514"/>
    <w:rsid w:val="6E53257E"/>
    <w:rsid w:val="6E632F9A"/>
    <w:rsid w:val="6E8C545A"/>
    <w:rsid w:val="6EE4513D"/>
    <w:rsid w:val="6EF35E76"/>
    <w:rsid w:val="6F062BB9"/>
    <w:rsid w:val="6F357F16"/>
    <w:rsid w:val="6F455EC9"/>
    <w:rsid w:val="6F4E2E47"/>
    <w:rsid w:val="6F753F59"/>
    <w:rsid w:val="6F9173E9"/>
    <w:rsid w:val="6FC93767"/>
    <w:rsid w:val="6FD865A2"/>
    <w:rsid w:val="6FE10831"/>
    <w:rsid w:val="6FE84FCE"/>
    <w:rsid w:val="702F2333"/>
    <w:rsid w:val="708641A2"/>
    <w:rsid w:val="70B67FBD"/>
    <w:rsid w:val="710368CA"/>
    <w:rsid w:val="712E2082"/>
    <w:rsid w:val="7135329A"/>
    <w:rsid w:val="71407924"/>
    <w:rsid w:val="716D3AE6"/>
    <w:rsid w:val="719F7015"/>
    <w:rsid w:val="71A600DD"/>
    <w:rsid w:val="71EC6C42"/>
    <w:rsid w:val="7213409F"/>
    <w:rsid w:val="721C3F61"/>
    <w:rsid w:val="721F5A62"/>
    <w:rsid w:val="72491FFE"/>
    <w:rsid w:val="72A85422"/>
    <w:rsid w:val="72B63003"/>
    <w:rsid w:val="735744F0"/>
    <w:rsid w:val="73835193"/>
    <w:rsid w:val="73C13FEC"/>
    <w:rsid w:val="73E50A89"/>
    <w:rsid w:val="73FC45FA"/>
    <w:rsid w:val="74210FD9"/>
    <w:rsid w:val="743A7AAC"/>
    <w:rsid w:val="74621BC1"/>
    <w:rsid w:val="74864D9D"/>
    <w:rsid w:val="749D649A"/>
    <w:rsid w:val="74CD4AA5"/>
    <w:rsid w:val="75002DD0"/>
    <w:rsid w:val="7535227E"/>
    <w:rsid w:val="758464B0"/>
    <w:rsid w:val="758D086F"/>
    <w:rsid w:val="75A102C2"/>
    <w:rsid w:val="75A6063F"/>
    <w:rsid w:val="75C04462"/>
    <w:rsid w:val="75D3392C"/>
    <w:rsid w:val="75E047F4"/>
    <w:rsid w:val="75E43F52"/>
    <w:rsid w:val="76074F54"/>
    <w:rsid w:val="760964AA"/>
    <w:rsid w:val="76E44E51"/>
    <w:rsid w:val="76EE7B56"/>
    <w:rsid w:val="770E2B1A"/>
    <w:rsid w:val="775358C7"/>
    <w:rsid w:val="7775334F"/>
    <w:rsid w:val="77907CE5"/>
    <w:rsid w:val="7792633B"/>
    <w:rsid w:val="77A4717A"/>
    <w:rsid w:val="77A802B7"/>
    <w:rsid w:val="78037F99"/>
    <w:rsid w:val="786B4D56"/>
    <w:rsid w:val="789E5CA1"/>
    <w:rsid w:val="78C13732"/>
    <w:rsid w:val="78DB0477"/>
    <w:rsid w:val="79131637"/>
    <w:rsid w:val="794545B0"/>
    <w:rsid w:val="794C744B"/>
    <w:rsid w:val="796D1D22"/>
    <w:rsid w:val="796D6F74"/>
    <w:rsid w:val="7A2B1331"/>
    <w:rsid w:val="7A3653FD"/>
    <w:rsid w:val="7A407197"/>
    <w:rsid w:val="7AEA68BF"/>
    <w:rsid w:val="7AFC1635"/>
    <w:rsid w:val="7B25352A"/>
    <w:rsid w:val="7B354EED"/>
    <w:rsid w:val="7B396E5D"/>
    <w:rsid w:val="7B443F63"/>
    <w:rsid w:val="7B63457C"/>
    <w:rsid w:val="7BA36A90"/>
    <w:rsid w:val="7BBA22B8"/>
    <w:rsid w:val="7BC263E0"/>
    <w:rsid w:val="7C6F53D5"/>
    <w:rsid w:val="7CE72A31"/>
    <w:rsid w:val="7CFC284F"/>
    <w:rsid w:val="7D0744FF"/>
    <w:rsid w:val="7D536244"/>
    <w:rsid w:val="7D6A27C2"/>
    <w:rsid w:val="7D7A0E9A"/>
    <w:rsid w:val="7D82036C"/>
    <w:rsid w:val="7E323330"/>
    <w:rsid w:val="7E7E558A"/>
    <w:rsid w:val="7E981B59"/>
    <w:rsid w:val="7EAE00A5"/>
    <w:rsid w:val="7ED82409"/>
    <w:rsid w:val="7EFA3CEF"/>
    <w:rsid w:val="7F113741"/>
    <w:rsid w:val="7F2F55B6"/>
    <w:rsid w:val="7F481475"/>
    <w:rsid w:val="7F5D2AF9"/>
    <w:rsid w:val="7FA169E1"/>
    <w:rsid w:val="7FC43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qFormat/>
    <w:uiPriority w:val="0"/>
    <w:pPr>
      <w:keepNext/>
      <w:snapToGrid w:val="0"/>
      <w:spacing w:line="360" w:lineRule="atLeast"/>
      <w:outlineLvl w:val="0"/>
    </w:pPr>
    <w:rPr>
      <w:rFonts w:ascii="宋体"/>
    </w:rPr>
  </w:style>
  <w:style w:type="paragraph" w:styleId="4">
    <w:name w:val="heading 2"/>
    <w:basedOn w:val="1"/>
    <w:next w:val="1"/>
    <w:link w:val="234"/>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link w:val="238"/>
    <w:qFormat/>
    <w:uiPriority w:val="0"/>
    <w:pPr>
      <w:keepNext/>
      <w:keepLines/>
      <w:spacing w:before="260" w:after="260" w:line="413" w:lineRule="auto"/>
      <w:outlineLvl w:val="2"/>
    </w:pPr>
    <w:rPr>
      <w:b/>
      <w:sz w:val="32"/>
    </w:rPr>
  </w:style>
  <w:style w:type="paragraph" w:styleId="6">
    <w:name w:val="heading 4"/>
    <w:basedOn w:val="1"/>
    <w:next w:val="1"/>
    <w:qFormat/>
    <w:uiPriority w:val="0"/>
    <w:pPr>
      <w:keepNext/>
      <w:keepLines/>
      <w:spacing w:before="280" w:after="290" w:line="372" w:lineRule="auto"/>
      <w:outlineLvl w:val="3"/>
    </w:pPr>
    <w:rPr>
      <w:rFonts w:ascii="Arial" w:hAnsi="Arial" w:eastAsia="黑体"/>
      <w:b/>
    </w:rPr>
  </w:style>
  <w:style w:type="paragraph" w:styleId="7">
    <w:name w:val="heading 5"/>
    <w:basedOn w:val="1"/>
    <w:next w:val="1"/>
    <w:qFormat/>
    <w:uiPriority w:val="0"/>
    <w:pPr>
      <w:keepNext/>
      <w:keepLines/>
      <w:tabs>
        <w:tab w:val="left" w:pos="2551"/>
      </w:tabs>
      <w:spacing w:before="280" w:after="290" w:line="372" w:lineRule="auto"/>
      <w:ind w:left="2551" w:hanging="850"/>
      <w:outlineLvl w:val="4"/>
    </w:pPr>
    <w:rPr>
      <w:b/>
    </w:rPr>
  </w:style>
  <w:style w:type="paragraph" w:styleId="8">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9">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10">
    <w:name w:val="heading 8"/>
    <w:basedOn w:val="1"/>
    <w:next w:val="1"/>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1">
    <w:name w:val="heading 9"/>
    <w:basedOn w:val="1"/>
    <w:next w:val="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9">
    <w:name w:val="Default Paragraph Font"/>
    <w:semiHidden/>
    <w:unhideWhenUsed/>
    <w:uiPriority w:val="1"/>
  </w:style>
  <w:style w:type="table" w:default="1" w:styleId="57">
    <w:name w:val="Normal Table"/>
    <w:semiHidden/>
    <w:unhideWhenUsed/>
    <w:uiPriority w:val="99"/>
    <w:tblPr>
      <w:tblCellMar>
        <w:top w:w="0" w:type="dxa"/>
        <w:left w:w="108" w:type="dxa"/>
        <w:bottom w:w="0" w:type="dxa"/>
        <w:right w:w="108" w:type="dxa"/>
      </w:tblCellMar>
    </w:tblPr>
  </w:style>
  <w:style w:type="paragraph" w:styleId="2">
    <w:name w:val="toc 1"/>
    <w:basedOn w:val="1"/>
    <w:next w:val="1"/>
    <w:qFormat/>
    <w:uiPriority w:val="0"/>
    <w:pPr>
      <w:spacing w:line="180" w:lineRule="auto"/>
      <w:jc w:val="center"/>
    </w:pPr>
    <w:rPr>
      <w:sz w:val="30"/>
    </w:rPr>
  </w:style>
  <w:style w:type="paragraph" w:styleId="12">
    <w:name w:val="List 3"/>
    <w:basedOn w:val="1"/>
    <w:qFormat/>
    <w:uiPriority w:val="0"/>
    <w:pPr>
      <w:adjustRightInd w:val="0"/>
      <w:snapToGrid w:val="0"/>
      <w:spacing w:line="360" w:lineRule="auto"/>
      <w:ind w:left="100" w:leftChars="400" w:hanging="200" w:hangingChars="200"/>
    </w:pPr>
    <w:rPr>
      <w:sz w:val="24"/>
    </w:r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tabs>
        <w:tab w:val="left" w:pos="780"/>
        <w:tab w:val="clear" w:pos="425"/>
      </w:tabs>
      <w:spacing w:line="360" w:lineRule="auto"/>
    </w:pPr>
    <w:rPr>
      <w:sz w:val="24"/>
    </w:rPr>
  </w:style>
  <w:style w:type="paragraph" w:styleId="15">
    <w:name w:val="List Bullet 4"/>
    <w:basedOn w:val="1"/>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6">
    <w:name w:val="Normal Indent"/>
    <w:basedOn w:val="1"/>
    <w:qFormat/>
    <w:uiPriority w:val="0"/>
    <w:pPr>
      <w:adjustRightInd w:val="0"/>
      <w:snapToGrid w:val="0"/>
      <w:spacing w:line="360" w:lineRule="auto"/>
      <w:ind w:firstLine="420"/>
    </w:pPr>
    <w:rPr>
      <w:sz w:val="24"/>
    </w:rPr>
  </w:style>
  <w:style w:type="paragraph" w:styleId="17">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8">
    <w:name w:val="Document Map"/>
    <w:basedOn w:val="1"/>
    <w:qFormat/>
    <w:uiPriority w:val="0"/>
    <w:pPr>
      <w:shd w:val="clear" w:color="auto" w:fill="000080"/>
    </w:pPr>
  </w:style>
  <w:style w:type="paragraph" w:styleId="19">
    <w:name w:val="toa heading"/>
    <w:basedOn w:val="1"/>
    <w:next w:val="1"/>
    <w:qFormat/>
    <w:uiPriority w:val="0"/>
    <w:pPr>
      <w:spacing w:before="120"/>
    </w:pPr>
    <w:rPr>
      <w:rFonts w:ascii="Arial" w:hAnsi="Arial"/>
      <w:sz w:val="24"/>
    </w:rPr>
  </w:style>
  <w:style w:type="paragraph" w:styleId="20">
    <w:name w:val="annotation text"/>
    <w:basedOn w:val="1"/>
    <w:link w:val="222"/>
    <w:qFormat/>
    <w:uiPriority w:val="0"/>
    <w:pPr>
      <w:adjustRightInd w:val="0"/>
      <w:spacing w:line="360" w:lineRule="atLeast"/>
      <w:jc w:val="left"/>
      <w:textAlignment w:val="baseline"/>
    </w:pPr>
    <w:rPr>
      <w:kern w:val="0"/>
      <w:sz w:val="24"/>
    </w:rPr>
  </w:style>
  <w:style w:type="paragraph" w:styleId="21">
    <w:name w:val="Body Text 3"/>
    <w:basedOn w:val="1"/>
    <w:qFormat/>
    <w:uiPriority w:val="0"/>
    <w:pPr>
      <w:adjustRightInd w:val="0"/>
      <w:snapToGrid w:val="0"/>
      <w:spacing w:after="120" w:line="360" w:lineRule="auto"/>
    </w:pPr>
    <w:rPr>
      <w:sz w:val="16"/>
    </w:rPr>
  </w:style>
  <w:style w:type="paragraph" w:styleId="22">
    <w:name w:val="List Bullet 3"/>
    <w:basedOn w:val="1"/>
    <w:qFormat/>
    <w:uiPriority w:val="0"/>
    <w:pPr>
      <w:tabs>
        <w:tab w:val="left" w:pos="1200"/>
      </w:tabs>
      <w:adjustRightInd w:val="0"/>
      <w:snapToGrid w:val="0"/>
      <w:spacing w:line="360" w:lineRule="auto"/>
      <w:ind w:left="1200" w:hanging="360"/>
    </w:pPr>
    <w:rPr>
      <w:sz w:val="24"/>
    </w:rPr>
  </w:style>
  <w:style w:type="paragraph" w:styleId="23">
    <w:name w:val="Body Text"/>
    <w:basedOn w:val="1"/>
    <w:qFormat/>
    <w:uiPriority w:val="0"/>
    <w:rPr>
      <w:rFonts w:ascii="仿宋_GB2312" w:eastAsia="仿宋_GB2312"/>
      <w:sz w:val="32"/>
    </w:rPr>
  </w:style>
  <w:style w:type="paragraph" w:styleId="24">
    <w:name w:val="Body Text Indent"/>
    <w:basedOn w:val="1"/>
    <w:link w:val="211"/>
    <w:qFormat/>
    <w:uiPriority w:val="0"/>
    <w:pPr>
      <w:spacing w:line="700" w:lineRule="exact"/>
      <w:ind w:left="960"/>
    </w:pPr>
    <w:rPr>
      <w:sz w:val="44"/>
    </w:rPr>
  </w:style>
  <w:style w:type="paragraph" w:styleId="25">
    <w:name w:val="List Number 3"/>
    <w:basedOn w:val="1"/>
    <w:qFormat/>
    <w:uiPriority w:val="0"/>
    <w:pPr>
      <w:tabs>
        <w:tab w:val="left" w:pos="2120"/>
      </w:tabs>
      <w:adjustRightInd w:val="0"/>
      <w:snapToGrid w:val="0"/>
      <w:spacing w:line="360" w:lineRule="auto"/>
      <w:ind w:left="2120" w:hanging="720"/>
    </w:pPr>
    <w:rPr>
      <w:sz w:val="24"/>
    </w:rPr>
  </w:style>
  <w:style w:type="paragraph" w:styleId="26">
    <w:name w:val="List 2"/>
    <w:basedOn w:val="1"/>
    <w:qFormat/>
    <w:uiPriority w:val="0"/>
    <w:pPr>
      <w:adjustRightInd w:val="0"/>
      <w:snapToGrid w:val="0"/>
      <w:spacing w:line="360" w:lineRule="auto"/>
      <w:ind w:left="100" w:leftChars="200" w:hanging="200" w:hangingChars="200"/>
    </w:pPr>
    <w:rPr>
      <w:sz w:val="24"/>
    </w:rPr>
  </w:style>
  <w:style w:type="paragraph" w:styleId="27">
    <w:name w:val="List Continue"/>
    <w:basedOn w:val="1"/>
    <w:qFormat/>
    <w:uiPriority w:val="0"/>
    <w:pPr>
      <w:adjustRightInd w:val="0"/>
      <w:snapToGrid w:val="0"/>
      <w:spacing w:after="120" w:line="360" w:lineRule="auto"/>
      <w:ind w:left="420" w:leftChars="200"/>
    </w:pPr>
    <w:rPr>
      <w:sz w:val="24"/>
    </w:rPr>
  </w:style>
  <w:style w:type="paragraph" w:styleId="28">
    <w:name w:val="List Bullet 2"/>
    <w:basedOn w:val="1"/>
    <w:qFormat/>
    <w:uiPriority w:val="0"/>
    <w:pPr>
      <w:numPr>
        <w:ilvl w:val="0"/>
        <w:numId w:val="2"/>
      </w:numPr>
      <w:adjustRightInd w:val="0"/>
      <w:snapToGrid w:val="0"/>
      <w:spacing w:line="360" w:lineRule="auto"/>
    </w:pPr>
    <w:rPr>
      <w:sz w:val="24"/>
    </w:rPr>
  </w:style>
  <w:style w:type="paragraph" w:styleId="29">
    <w:name w:val="toc 5"/>
    <w:basedOn w:val="1"/>
    <w:next w:val="1"/>
    <w:qFormat/>
    <w:uiPriority w:val="0"/>
    <w:pPr>
      <w:ind w:left="1680" w:leftChars="800"/>
    </w:pPr>
  </w:style>
  <w:style w:type="paragraph" w:styleId="30">
    <w:name w:val="toc 3"/>
    <w:basedOn w:val="1"/>
    <w:next w:val="1"/>
    <w:qFormat/>
    <w:uiPriority w:val="39"/>
    <w:pPr>
      <w:ind w:left="840" w:leftChars="400"/>
    </w:pPr>
  </w:style>
  <w:style w:type="paragraph" w:styleId="31">
    <w:name w:val="Plain Text"/>
    <w:basedOn w:val="1"/>
    <w:link w:val="219"/>
    <w:qFormat/>
    <w:uiPriority w:val="0"/>
    <w:rPr>
      <w:rFonts w:ascii="宋体" w:hAnsi="Courier New"/>
      <w:sz w:val="21"/>
    </w:rPr>
  </w:style>
  <w:style w:type="paragraph" w:styleId="32">
    <w:name w:val="toc 8"/>
    <w:basedOn w:val="1"/>
    <w:next w:val="1"/>
    <w:qFormat/>
    <w:uiPriority w:val="0"/>
    <w:pPr>
      <w:ind w:left="2940" w:leftChars="1400"/>
    </w:pPr>
  </w:style>
  <w:style w:type="paragraph" w:styleId="33">
    <w:name w:val="Date"/>
    <w:basedOn w:val="1"/>
    <w:next w:val="1"/>
    <w:link w:val="214"/>
    <w:qFormat/>
    <w:uiPriority w:val="0"/>
  </w:style>
  <w:style w:type="paragraph" w:styleId="34">
    <w:name w:val="Body Text Indent 2"/>
    <w:basedOn w:val="1"/>
    <w:link w:val="218"/>
    <w:qFormat/>
    <w:uiPriority w:val="0"/>
    <w:pPr>
      <w:snapToGrid w:val="0"/>
      <w:spacing w:line="560" w:lineRule="atLeast"/>
      <w:ind w:firstLine="540"/>
    </w:pPr>
  </w:style>
  <w:style w:type="paragraph" w:styleId="35">
    <w:name w:val="Balloon Text"/>
    <w:basedOn w:val="1"/>
    <w:qFormat/>
    <w:uiPriority w:val="0"/>
    <w:rPr>
      <w:sz w:val="18"/>
    </w:rPr>
  </w:style>
  <w:style w:type="paragraph" w:styleId="36">
    <w:name w:val="footer"/>
    <w:basedOn w:val="1"/>
    <w:qFormat/>
    <w:uiPriority w:val="0"/>
    <w:pPr>
      <w:tabs>
        <w:tab w:val="center" w:pos="4153"/>
        <w:tab w:val="right" w:pos="8306"/>
      </w:tabs>
      <w:snapToGrid w:val="0"/>
      <w:jc w:val="left"/>
    </w:pPr>
    <w:rPr>
      <w:sz w:val="18"/>
    </w:rPr>
  </w:style>
  <w:style w:type="paragraph" w:styleId="37">
    <w:name w:val="header"/>
    <w:basedOn w:val="1"/>
    <w:qFormat/>
    <w:uiPriority w:val="0"/>
    <w:pPr>
      <w:pBdr>
        <w:bottom w:val="single" w:color="auto" w:sz="6" w:space="1"/>
      </w:pBdr>
      <w:tabs>
        <w:tab w:val="center" w:pos="4153"/>
        <w:tab w:val="right" w:pos="8306"/>
      </w:tabs>
      <w:snapToGrid w:val="0"/>
      <w:jc w:val="center"/>
    </w:pPr>
    <w:rPr>
      <w:sz w:val="18"/>
    </w:rPr>
  </w:style>
  <w:style w:type="paragraph" w:styleId="38">
    <w:name w:val="List Continue 4"/>
    <w:basedOn w:val="1"/>
    <w:qFormat/>
    <w:uiPriority w:val="0"/>
    <w:pPr>
      <w:adjustRightInd w:val="0"/>
      <w:snapToGrid w:val="0"/>
      <w:spacing w:after="120" w:line="360" w:lineRule="auto"/>
      <w:ind w:left="1680" w:leftChars="800"/>
    </w:pPr>
    <w:rPr>
      <w:sz w:val="24"/>
    </w:rPr>
  </w:style>
  <w:style w:type="paragraph" w:styleId="39">
    <w:name w:val="toc 4"/>
    <w:basedOn w:val="1"/>
    <w:next w:val="1"/>
    <w:qFormat/>
    <w:uiPriority w:val="0"/>
    <w:pPr>
      <w:ind w:left="1260" w:leftChars="600"/>
    </w:pPr>
  </w:style>
  <w:style w:type="paragraph" w:styleId="40">
    <w:name w:val="footnote text"/>
    <w:basedOn w:val="1"/>
    <w:link w:val="220"/>
    <w:qFormat/>
    <w:uiPriority w:val="0"/>
    <w:pPr>
      <w:spacing w:line="360" w:lineRule="auto"/>
    </w:pPr>
    <w:rPr>
      <w:sz w:val="18"/>
    </w:rPr>
  </w:style>
  <w:style w:type="paragraph" w:styleId="41">
    <w:name w:val="toc 6"/>
    <w:basedOn w:val="1"/>
    <w:next w:val="1"/>
    <w:qFormat/>
    <w:uiPriority w:val="0"/>
    <w:pPr>
      <w:ind w:left="2100" w:leftChars="1000"/>
    </w:pPr>
  </w:style>
  <w:style w:type="paragraph" w:styleId="42">
    <w:name w:val="List 5"/>
    <w:basedOn w:val="1"/>
    <w:qFormat/>
    <w:uiPriority w:val="0"/>
    <w:pPr>
      <w:adjustRightInd w:val="0"/>
      <w:snapToGrid w:val="0"/>
      <w:spacing w:line="360" w:lineRule="auto"/>
      <w:ind w:left="100" w:leftChars="800" w:hanging="200" w:hangingChars="200"/>
    </w:pPr>
    <w:rPr>
      <w:sz w:val="24"/>
    </w:rPr>
  </w:style>
  <w:style w:type="paragraph" w:styleId="43">
    <w:name w:val="Body Text Indent 3"/>
    <w:basedOn w:val="1"/>
    <w:qFormat/>
    <w:uiPriority w:val="0"/>
    <w:pPr>
      <w:spacing w:line="360" w:lineRule="auto"/>
      <w:ind w:firstLine="632"/>
    </w:pPr>
    <w:rPr>
      <w:rFonts w:ascii="黑体" w:eastAsia="黑体"/>
    </w:rPr>
  </w:style>
  <w:style w:type="paragraph" w:styleId="44">
    <w:name w:val="table of figures"/>
    <w:basedOn w:val="1"/>
    <w:next w:val="1"/>
    <w:qFormat/>
    <w:uiPriority w:val="0"/>
    <w:pPr>
      <w:tabs>
        <w:tab w:val="right" w:leader="dot" w:pos="8640"/>
      </w:tabs>
      <w:spacing w:line="360" w:lineRule="auto"/>
      <w:ind w:left="400" w:hanging="400"/>
    </w:pPr>
    <w:rPr>
      <w:sz w:val="24"/>
    </w:rPr>
  </w:style>
  <w:style w:type="paragraph" w:styleId="45">
    <w:name w:val="toc 2"/>
    <w:basedOn w:val="1"/>
    <w:next w:val="1"/>
    <w:qFormat/>
    <w:uiPriority w:val="39"/>
    <w:pPr>
      <w:ind w:left="420" w:leftChars="200"/>
    </w:pPr>
  </w:style>
  <w:style w:type="paragraph" w:styleId="46">
    <w:name w:val="toc 9"/>
    <w:basedOn w:val="1"/>
    <w:next w:val="1"/>
    <w:qFormat/>
    <w:uiPriority w:val="0"/>
    <w:pPr>
      <w:ind w:left="3360" w:leftChars="1600"/>
    </w:pPr>
  </w:style>
  <w:style w:type="paragraph" w:styleId="47">
    <w:name w:val="Body Text 2"/>
    <w:basedOn w:val="1"/>
    <w:qFormat/>
    <w:uiPriority w:val="0"/>
    <w:pPr>
      <w:adjustRightInd w:val="0"/>
      <w:snapToGrid w:val="0"/>
      <w:spacing w:after="120" w:line="480" w:lineRule="auto"/>
    </w:pPr>
    <w:rPr>
      <w:sz w:val="24"/>
    </w:rPr>
  </w:style>
  <w:style w:type="paragraph" w:styleId="48">
    <w:name w:val="List 4"/>
    <w:basedOn w:val="1"/>
    <w:qFormat/>
    <w:uiPriority w:val="0"/>
    <w:pPr>
      <w:adjustRightInd w:val="0"/>
      <w:snapToGrid w:val="0"/>
      <w:spacing w:line="360" w:lineRule="auto"/>
      <w:ind w:left="100" w:leftChars="600" w:hanging="200" w:hangingChars="200"/>
    </w:pPr>
    <w:rPr>
      <w:sz w:val="24"/>
    </w:rPr>
  </w:style>
  <w:style w:type="paragraph" w:styleId="49">
    <w:name w:val="List Continue 2"/>
    <w:basedOn w:val="1"/>
    <w:qFormat/>
    <w:uiPriority w:val="0"/>
    <w:pPr>
      <w:adjustRightInd w:val="0"/>
      <w:snapToGrid w:val="0"/>
      <w:spacing w:after="120" w:line="360" w:lineRule="auto"/>
      <w:ind w:left="840" w:leftChars="400"/>
    </w:pPr>
    <w:rPr>
      <w:sz w:val="24"/>
    </w:rPr>
  </w:style>
  <w:style w:type="paragraph" w:styleId="50">
    <w:name w:val="Normal (Web)"/>
    <w:basedOn w:val="1"/>
    <w:qFormat/>
    <w:uiPriority w:val="0"/>
    <w:pPr>
      <w:widowControl/>
      <w:spacing w:before="100" w:beforeAutospacing="1" w:after="100" w:afterAutospacing="1"/>
      <w:jc w:val="left"/>
    </w:pPr>
    <w:rPr>
      <w:rFonts w:ascii="宋体" w:hAnsi="宋体"/>
      <w:kern w:val="0"/>
      <w:sz w:val="24"/>
    </w:rPr>
  </w:style>
  <w:style w:type="paragraph" w:styleId="51">
    <w:name w:val="List Continue 3"/>
    <w:basedOn w:val="1"/>
    <w:qFormat/>
    <w:uiPriority w:val="0"/>
    <w:pPr>
      <w:adjustRightInd w:val="0"/>
      <w:snapToGrid w:val="0"/>
      <w:spacing w:after="120" w:line="360" w:lineRule="auto"/>
      <w:ind w:left="1260" w:leftChars="600"/>
    </w:pPr>
    <w:rPr>
      <w:sz w:val="24"/>
    </w:rPr>
  </w:style>
  <w:style w:type="paragraph" w:styleId="52">
    <w:name w:val="index 1"/>
    <w:basedOn w:val="1"/>
    <w:next w:val="1"/>
    <w:qFormat/>
    <w:uiPriority w:val="0"/>
    <w:pPr>
      <w:adjustRightInd w:val="0"/>
      <w:spacing w:line="240" w:lineRule="atLeast"/>
      <w:textAlignment w:val="baseline"/>
    </w:pPr>
    <w:rPr>
      <w:rFonts w:ascii="宋体"/>
      <w:kern w:val="0"/>
      <w:sz w:val="21"/>
    </w:rPr>
  </w:style>
  <w:style w:type="paragraph" w:styleId="53">
    <w:name w:val="Title"/>
    <w:basedOn w:val="1"/>
    <w:qFormat/>
    <w:uiPriority w:val="0"/>
    <w:pPr>
      <w:widowControl/>
      <w:spacing w:after="240" w:line="360" w:lineRule="auto"/>
      <w:jc w:val="center"/>
    </w:pPr>
    <w:rPr>
      <w:rFonts w:ascii="Arial" w:hAnsi="Arial"/>
      <w:b/>
      <w:smallCaps/>
      <w:kern w:val="28"/>
      <w:sz w:val="36"/>
      <w:lang w:eastAsia="en-US"/>
    </w:rPr>
  </w:style>
  <w:style w:type="paragraph" w:styleId="54">
    <w:name w:val="annotation subject"/>
    <w:basedOn w:val="20"/>
    <w:next w:val="20"/>
    <w:link w:val="231"/>
    <w:qFormat/>
    <w:uiPriority w:val="0"/>
    <w:pPr>
      <w:adjustRightInd/>
      <w:spacing w:line="240" w:lineRule="auto"/>
      <w:textAlignment w:val="auto"/>
    </w:pPr>
  </w:style>
  <w:style w:type="paragraph" w:styleId="55">
    <w:name w:val="Body Text First Indent"/>
    <w:basedOn w:val="1"/>
    <w:qFormat/>
    <w:uiPriority w:val="0"/>
    <w:pPr>
      <w:spacing w:line="360" w:lineRule="auto"/>
      <w:ind w:firstLine="420"/>
    </w:pPr>
    <w:rPr>
      <w:rFonts w:ascii="宋体" w:hAnsi="宋体"/>
      <w:sz w:val="24"/>
    </w:rPr>
  </w:style>
  <w:style w:type="paragraph" w:styleId="56">
    <w:name w:val="Body Text First Indent 2"/>
    <w:basedOn w:val="24"/>
    <w:link w:val="210"/>
    <w:qFormat/>
    <w:uiPriority w:val="0"/>
    <w:pPr>
      <w:spacing w:after="120" w:line="240" w:lineRule="auto"/>
      <w:ind w:left="420" w:leftChars="200" w:firstLine="420" w:firstLineChars="200"/>
    </w:pPr>
  </w:style>
  <w:style w:type="table" w:styleId="58">
    <w:name w:val="Table Grid"/>
    <w:basedOn w:val="5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0">
    <w:name w:val="Strong"/>
    <w:qFormat/>
    <w:uiPriority w:val="22"/>
    <w:rPr>
      <w:b/>
    </w:rPr>
  </w:style>
  <w:style w:type="character" w:styleId="61">
    <w:name w:val="page number"/>
    <w:basedOn w:val="59"/>
    <w:qFormat/>
    <w:uiPriority w:val="0"/>
  </w:style>
  <w:style w:type="character" w:styleId="62">
    <w:name w:val="FollowedHyperlink"/>
    <w:qFormat/>
    <w:uiPriority w:val="0"/>
    <w:rPr>
      <w:color w:val="800080"/>
      <w:u w:val="single"/>
    </w:rPr>
  </w:style>
  <w:style w:type="character" w:styleId="63">
    <w:name w:val="Emphasis"/>
    <w:qFormat/>
    <w:uiPriority w:val="0"/>
    <w:rPr>
      <w:i/>
    </w:rPr>
  </w:style>
  <w:style w:type="character" w:styleId="64">
    <w:name w:val="Hyperlink"/>
    <w:qFormat/>
    <w:uiPriority w:val="99"/>
    <w:rPr>
      <w:color w:val="0000FF"/>
      <w:u w:val="single"/>
    </w:rPr>
  </w:style>
  <w:style w:type="character" w:styleId="65">
    <w:name w:val="annotation reference"/>
    <w:qFormat/>
    <w:uiPriority w:val="0"/>
    <w:rPr>
      <w:sz w:val="21"/>
      <w:szCs w:val="21"/>
    </w:rPr>
  </w:style>
  <w:style w:type="character" w:styleId="66">
    <w:name w:val="footnote reference"/>
    <w:qFormat/>
    <w:uiPriority w:val="0"/>
    <w:rPr>
      <w:position w:val="6"/>
      <w:sz w:val="14"/>
      <w:vertAlign w:val="superscript"/>
    </w:rPr>
  </w:style>
  <w:style w:type="paragraph" w:customStyle="1" w:styleId="67">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68">
    <w:name w:val="章标题"/>
    <w:next w:val="1"/>
    <w:qFormat/>
    <w:uiPriority w:val="0"/>
    <w:pPr>
      <w:numPr>
        <w:ilvl w:val="1"/>
        <w:numId w:val="3"/>
      </w:numPr>
      <w:spacing w:before="156" w:beforeLines="50" w:after="156" w:afterLines="50"/>
      <w:ind w:left="0"/>
      <w:jc w:val="both"/>
      <w:outlineLvl w:val="1"/>
    </w:pPr>
    <w:rPr>
      <w:rFonts w:ascii="黑体" w:hAnsi="Times New Roman" w:eastAsia="黑体" w:cs="Times New Roman"/>
      <w:sz w:val="24"/>
      <w:lang w:val="en-US" w:eastAsia="zh-CN" w:bidi="ar-SA"/>
    </w:rPr>
  </w:style>
  <w:style w:type="paragraph" w:customStyle="1" w:styleId="69">
    <w:name w:val="标题2"/>
    <w:basedOn w:val="4"/>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7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71">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72">
    <w:name w:val="司法正文"/>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73">
    <w:name w:val="彩色底纹1"/>
    <w:qFormat/>
    <w:uiPriority w:val="0"/>
    <w:rPr>
      <w:rFonts w:ascii="Times New Roman" w:hAnsi="Times New Roman" w:eastAsia="宋体" w:cs="Times New Roman"/>
      <w:kern w:val="2"/>
      <w:sz w:val="21"/>
      <w:lang w:val="en-US" w:eastAsia="zh-CN" w:bidi="ar-SA"/>
    </w:rPr>
  </w:style>
  <w:style w:type="paragraph" w:customStyle="1" w:styleId="74">
    <w:name w:val="Note"/>
    <w:basedOn w:val="1"/>
    <w:qFormat/>
    <w:uiPriority w:val="0"/>
    <w:pPr>
      <w:pBdr>
        <w:top w:val="single" w:color="auto" w:sz="12" w:space="3"/>
        <w:bottom w:val="single" w:color="auto" w:sz="12" w:space="3"/>
      </w:pBdr>
      <w:spacing w:line="360" w:lineRule="auto"/>
    </w:pPr>
    <w:rPr>
      <w:sz w:val="24"/>
    </w:rPr>
  </w:style>
  <w:style w:type="paragraph" w:customStyle="1" w:styleId="75">
    <w:name w:val="00"/>
    <w:basedOn w:val="1"/>
    <w:qFormat/>
    <w:uiPriority w:val="0"/>
    <w:pPr>
      <w:autoSpaceDE w:val="0"/>
      <w:autoSpaceDN w:val="0"/>
      <w:adjustRightInd w:val="0"/>
      <w:jc w:val="left"/>
    </w:pPr>
    <w:rPr>
      <w:rFonts w:ascii="黑体" w:eastAsia="黑体"/>
      <w:b/>
      <w:kern w:val="0"/>
      <w:sz w:val="20"/>
    </w:rPr>
  </w:style>
  <w:style w:type="paragraph" w:customStyle="1" w:styleId="76">
    <w:name w:val="样式 标题 1章标题Heading 0Section HeadPIM 1H1h11st levell11H1..."/>
    <w:basedOn w:val="3"/>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77">
    <w:name w:val="正文 + 三号"/>
    <w:basedOn w:val="1"/>
    <w:qFormat/>
    <w:uiPriority w:val="0"/>
    <w:rPr>
      <w:sz w:val="21"/>
    </w:rPr>
  </w:style>
  <w:style w:type="paragraph" w:customStyle="1" w:styleId="78">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79">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80">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81">
    <w:name w:val="段落正文"/>
    <w:basedOn w:val="1"/>
    <w:qFormat/>
    <w:uiPriority w:val="0"/>
    <w:pPr>
      <w:spacing w:before="156" w:beforeLines="50" w:line="360" w:lineRule="auto"/>
      <w:ind w:firstLine="200" w:firstLineChars="200"/>
    </w:pPr>
    <w:rPr>
      <w:spacing w:val="2"/>
      <w:sz w:val="24"/>
    </w:rPr>
  </w:style>
  <w:style w:type="paragraph" w:customStyle="1" w:styleId="82">
    <w:name w:val="Char Char14 Char Char"/>
    <w:basedOn w:val="1"/>
    <w:qFormat/>
    <w:uiPriority w:val="0"/>
    <w:rPr>
      <w:sz w:val="21"/>
      <w:szCs w:val="24"/>
    </w:rPr>
  </w:style>
  <w:style w:type="paragraph" w:customStyle="1" w:styleId="83">
    <w:name w:val="Char"/>
    <w:basedOn w:val="1"/>
    <w:qFormat/>
    <w:uiPriority w:val="0"/>
    <w:pPr>
      <w:spacing w:line="240" w:lineRule="atLeast"/>
      <w:ind w:left="420" w:firstLine="420"/>
    </w:pPr>
    <w:rPr>
      <w:kern w:val="0"/>
      <w:sz w:val="21"/>
    </w:rPr>
  </w:style>
  <w:style w:type="paragraph" w:customStyle="1" w:styleId="84">
    <w:name w:val="图例"/>
    <w:basedOn w:val="1"/>
    <w:qFormat/>
    <w:uiPriority w:val="0"/>
    <w:pPr>
      <w:spacing w:before="120" w:after="120" w:line="360" w:lineRule="auto"/>
      <w:jc w:val="center"/>
    </w:pPr>
    <w:rPr>
      <w:rFonts w:eastAsia="仿宋_GB2312"/>
      <w:b/>
      <w:sz w:val="24"/>
    </w:rPr>
  </w:style>
  <w:style w:type="paragraph" w:customStyle="1" w:styleId="85">
    <w:name w:val="样式4"/>
    <w:basedOn w:val="6"/>
    <w:qFormat/>
    <w:uiPriority w:val="0"/>
    <w:pPr>
      <w:adjustRightInd w:val="0"/>
      <w:snapToGrid w:val="0"/>
    </w:pPr>
  </w:style>
  <w:style w:type="paragraph" w:customStyle="1" w:styleId="86">
    <w:name w:val="文本框样式1"/>
    <w:basedOn w:val="1"/>
    <w:qFormat/>
    <w:uiPriority w:val="0"/>
    <w:pPr>
      <w:adjustRightInd w:val="0"/>
      <w:snapToGrid w:val="0"/>
      <w:spacing w:before="60" w:line="180" w:lineRule="exact"/>
      <w:jc w:val="center"/>
    </w:pPr>
    <w:rPr>
      <w:sz w:val="21"/>
    </w:rPr>
  </w:style>
  <w:style w:type="paragraph" w:customStyle="1" w:styleId="87">
    <w:name w:val="Char Char Char Char Char"/>
    <w:basedOn w:val="1"/>
    <w:qFormat/>
    <w:uiPriority w:val="0"/>
    <w:pPr>
      <w:tabs>
        <w:tab w:val="left" w:pos="425"/>
      </w:tabs>
      <w:ind w:left="1620" w:hanging="360"/>
    </w:pPr>
    <w:rPr>
      <w:rFonts w:ascii="Tahoma" w:hAnsi="Tahoma"/>
      <w:sz w:val="24"/>
    </w:rPr>
  </w:style>
  <w:style w:type="paragraph" w:customStyle="1" w:styleId="88">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89">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90">
    <w:name w:val="1.正文"/>
    <w:basedOn w:val="1"/>
    <w:qFormat/>
    <w:uiPriority w:val="0"/>
    <w:pPr>
      <w:spacing w:line="360" w:lineRule="auto"/>
      <w:ind w:left="540" w:leftChars="225" w:firstLine="540" w:firstLineChars="225"/>
    </w:pPr>
    <w:rPr>
      <w:sz w:val="24"/>
    </w:rPr>
  </w:style>
  <w:style w:type="paragraph" w:customStyle="1" w:styleId="91">
    <w:name w:val="1"/>
    <w:basedOn w:val="1"/>
    <w:next w:val="31"/>
    <w:qFormat/>
    <w:uiPriority w:val="0"/>
    <w:rPr>
      <w:rFonts w:ascii="宋体" w:hAnsi="Courier New"/>
      <w:sz w:val="21"/>
    </w:rPr>
  </w:style>
  <w:style w:type="paragraph" w:customStyle="1" w:styleId="92">
    <w:name w:val="样式1xz"/>
    <w:basedOn w:val="1"/>
    <w:qFormat/>
    <w:uiPriority w:val="0"/>
    <w:pPr>
      <w:tabs>
        <w:tab w:val="left" w:pos="1050"/>
        <w:tab w:val="right" w:leader="dot" w:pos="8296"/>
      </w:tabs>
    </w:pPr>
    <w:rPr>
      <w:caps/>
      <w:spacing w:val="20"/>
      <w:sz w:val="24"/>
    </w:rPr>
  </w:style>
  <w:style w:type="paragraph" w:customStyle="1" w:styleId="93">
    <w:name w:val="样式 样式 正文首行缩进 2 + 左  0 字符 + 首行缩进:  2.57 字符"/>
    <w:basedOn w:val="1"/>
    <w:next w:val="1"/>
    <w:qFormat/>
    <w:uiPriority w:val="0"/>
    <w:pPr>
      <w:adjustRightInd w:val="0"/>
      <w:snapToGrid w:val="0"/>
      <w:spacing w:after="120"/>
      <w:ind w:firstLine="540" w:firstLineChars="257"/>
    </w:pPr>
    <w:rPr>
      <w:sz w:val="21"/>
    </w:rPr>
  </w:style>
  <w:style w:type="paragraph" w:customStyle="1" w:styleId="94">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5">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96">
    <w:name w:val="列表项目"/>
    <w:basedOn w:val="1"/>
    <w:qFormat/>
    <w:uiPriority w:val="0"/>
    <w:pPr>
      <w:numPr>
        <w:ilvl w:val="0"/>
        <w:numId w:val="4"/>
      </w:numPr>
      <w:tabs>
        <w:tab w:val="left" w:pos="420"/>
        <w:tab w:val="clear" w:pos="1200"/>
      </w:tabs>
      <w:spacing w:line="288" w:lineRule="auto"/>
      <w:ind w:left="840" w:leftChars="200" w:hanging="420" w:hangingChars="200"/>
    </w:pPr>
    <w:rPr>
      <w:sz w:val="21"/>
    </w:rPr>
  </w:style>
  <w:style w:type="paragraph" w:customStyle="1" w:styleId="97">
    <w:name w:val="没有缩进（为图形使用）"/>
    <w:basedOn w:val="1"/>
    <w:qFormat/>
    <w:uiPriority w:val="0"/>
    <w:pPr>
      <w:spacing w:before="120" w:after="120" w:line="360" w:lineRule="auto"/>
    </w:pPr>
    <w:rPr>
      <w:sz w:val="24"/>
    </w:rPr>
  </w:style>
  <w:style w:type="paragraph" w:customStyle="1" w:styleId="98">
    <w:name w:val="样式 正文缩进正文（首行缩进两字）表正文正文非缩进特点标题4段1 + 首行缩进:  2 字符"/>
    <w:basedOn w:val="16"/>
    <w:qFormat/>
    <w:uiPriority w:val="0"/>
    <w:pPr>
      <w:ind w:firstLine="480" w:firstLineChars="200"/>
    </w:pPr>
  </w:style>
  <w:style w:type="paragraph" w:customStyle="1" w:styleId="99">
    <w:name w:val="标书正文:  0.74 厘米"/>
    <w:basedOn w:val="1"/>
    <w:qFormat/>
    <w:uiPriority w:val="0"/>
    <w:pPr>
      <w:snapToGrid w:val="0"/>
      <w:spacing w:line="360" w:lineRule="auto"/>
      <w:ind w:firstLine="420"/>
    </w:pPr>
    <w:rPr>
      <w:sz w:val="24"/>
    </w:rPr>
  </w:style>
  <w:style w:type="paragraph" w:customStyle="1" w:styleId="100">
    <w:name w:val="Char Char Char"/>
    <w:basedOn w:val="1"/>
    <w:qFormat/>
    <w:uiPriority w:val="0"/>
    <w:rPr>
      <w:rFonts w:ascii="Tahoma" w:hAnsi="Tahoma"/>
      <w:sz w:val="24"/>
    </w:rPr>
  </w:style>
  <w:style w:type="paragraph" w:customStyle="1" w:styleId="101">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02">
    <w:name w:val="表格正文"/>
    <w:basedOn w:val="1"/>
    <w:qFormat/>
    <w:uiPriority w:val="0"/>
    <w:rPr>
      <w:rFonts w:ascii="Calibri" w:hAnsi="Calibri" w:eastAsia="仿宋" w:cs="宋体"/>
      <w:sz w:val="24"/>
    </w:rPr>
  </w:style>
  <w:style w:type="paragraph" w:customStyle="1" w:styleId="103">
    <w:name w:val="Char Char Char Char Char Char Char Char Char Char Char Char Char Char Char Char"/>
    <w:basedOn w:val="1"/>
    <w:qFormat/>
    <w:uiPriority w:val="0"/>
    <w:pPr>
      <w:tabs>
        <w:tab w:val="left" w:pos="360"/>
      </w:tabs>
    </w:pPr>
    <w:rPr>
      <w:sz w:val="24"/>
    </w:rPr>
  </w:style>
  <w:style w:type="paragraph" w:customStyle="1" w:styleId="104">
    <w:name w:val="首行缩进 1"/>
    <w:basedOn w:val="1"/>
    <w:qFormat/>
    <w:uiPriority w:val="0"/>
    <w:pPr>
      <w:spacing w:after="120" w:line="360" w:lineRule="auto"/>
      <w:ind w:firstLine="200" w:firstLineChars="200"/>
    </w:pPr>
    <w:rPr>
      <w:sz w:val="24"/>
    </w:rPr>
  </w:style>
  <w:style w:type="paragraph" w:customStyle="1" w:styleId="105">
    <w:name w:val="默认段落字体 Para Char Char Char Char Char Char Char Char Char1 Char Char Char Char"/>
    <w:basedOn w:val="1"/>
    <w:qFormat/>
    <w:uiPriority w:val="0"/>
    <w:rPr>
      <w:rFonts w:ascii="Tahoma" w:hAnsi="Tahoma"/>
      <w:sz w:val="24"/>
    </w:rPr>
  </w:style>
  <w:style w:type="paragraph" w:customStyle="1" w:styleId="106">
    <w:name w:val="Char Char Char Char Char Char Char"/>
    <w:basedOn w:val="1"/>
    <w:qFormat/>
    <w:uiPriority w:val="0"/>
    <w:rPr>
      <w:rFonts w:ascii="Tahoma" w:hAnsi="Tahoma"/>
      <w:sz w:val="24"/>
    </w:rPr>
  </w:style>
  <w:style w:type="paragraph" w:customStyle="1" w:styleId="107">
    <w:name w:val="二级条标题"/>
    <w:basedOn w:val="108"/>
    <w:next w:val="70"/>
    <w:qFormat/>
    <w:uiPriority w:val="0"/>
    <w:pPr>
      <w:ind w:left="840"/>
      <w:outlineLvl w:val="3"/>
    </w:pPr>
  </w:style>
  <w:style w:type="paragraph" w:customStyle="1" w:styleId="108">
    <w:name w:val="一级条标题"/>
    <w:basedOn w:val="68"/>
    <w:next w:val="70"/>
    <w:qFormat/>
    <w:uiPriority w:val="0"/>
    <w:pPr>
      <w:numPr>
        <w:numId w:val="0"/>
      </w:numPr>
      <w:spacing w:before="0" w:beforeLines="0" w:after="0" w:afterLines="0"/>
      <w:ind w:left="525"/>
      <w:outlineLvl w:val="2"/>
    </w:pPr>
    <w:rPr>
      <w:sz w:val="21"/>
    </w:rPr>
  </w:style>
  <w:style w:type="paragraph" w:customStyle="1" w:styleId="109">
    <w:name w:val="操作步骤"/>
    <w:basedOn w:val="1"/>
    <w:qFormat/>
    <w:uiPriority w:val="0"/>
    <w:pPr>
      <w:numPr>
        <w:ilvl w:val="0"/>
        <w:numId w:val="5"/>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110">
    <w:name w:val="表头样式"/>
    <w:basedOn w:val="1"/>
    <w:qFormat/>
    <w:uiPriority w:val="0"/>
    <w:pPr>
      <w:autoSpaceDE w:val="0"/>
      <w:autoSpaceDN w:val="0"/>
      <w:adjustRightInd w:val="0"/>
      <w:spacing w:line="360" w:lineRule="auto"/>
      <w:jc w:val="left"/>
    </w:pPr>
    <w:rPr>
      <w:b/>
      <w:kern w:val="0"/>
      <w:sz w:val="21"/>
    </w:rPr>
  </w:style>
  <w:style w:type="paragraph" w:customStyle="1" w:styleId="111">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12">
    <w:name w:val="Item Step in Table"/>
    <w:qFormat/>
    <w:uiPriority w:val="0"/>
    <w:pPr>
      <w:numPr>
        <w:ilvl w:val="0"/>
        <w:numId w:val="3"/>
      </w:numPr>
      <w:tabs>
        <w:tab w:val="left" w:pos="397"/>
      </w:tabs>
      <w:spacing w:before="40" w:after="40"/>
      <w:jc w:val="both"/>
    </w:pPr>
    <w:rPr>
      <w:rFonts w:ascii="Arial" w:hAnsi="Arial" w:eastAsia="宋体" w:cs="Times New Roman"/>
      <w:sz w:val="18"/>
      <w:lang w:val="en-US" w:eastAsia="zh-CN" w:bidi="ar-SA"/>
    </w:rPr>
  </w:style>
  <w:style w:type="paragraph" w:customStyle="1" w:styleId="113">
    <w:name w:val="表头"/>
    <w:basedOn w:val="102"/>
    <w:qFormat/>
    <w:uiPriority w:val="0"/>
    <w:pPr>
      <w:jc w:val="center"/>
    </w:pPr>
    <w:rPr>
      <w:b/>
      <w:bCs/>
    </w:rPr>
  </w:style>
  <w:style w:type="paragraph" w:customStyle="1" w:styleId="114">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115">
    <w:name w:val="_"/>
    <w:basedOn w:val="1"/>
    <w:qFormat/>
    <w:uiPriority w:val="0"/>
    <w:pPr>
      <w:adjustRightInd w:val="0"/>
      <w:spacing w:line="360" w:lineRule="auto"/>
      <w:ind w:left="480" w:firstLine="200" w:firstLineChars="200"/>
      <w:textAlignment w:val="baseline"/>
    </w:pPr>
    <w:rPr>
      <w:kern w:val="0"/>
      <w:sz w:val="24"/>
    </w:rPr>
  </w:style>
  <w:style w:type="paragraph" w:customStyle="1" w:styleId="116">
    <w:name w:val="摘要"/>
    <w:basedOn w:val="1"/>
    <w:next w:val="4"/>
    <w:qFormat/>
    <w:uiPriority w:val="0"/>
    <w:pPr>
      <w:spacing w:line="360" w:lineRule="auto"/>
    </w:pPr>
    <w:rPr>
      <w:rFonts w:eastAsia="黑体"/>
      <w:sz w:val="20"/>
    </w:rPr>
  </w:style>
  <w:style w:type="paragraph" w:customStyle="1" w:styleId="117">
    <w:name w:val="彩色列表1"/>
    <w:basedOn w:val="1"/>
    <w:qFormat/>
    <w:uiPriority w:val="34"/>
    <w:pPr>
      <w:ind w:firstLine="420" w:firstLineChars="200"/>
    </w:pPr>
  </w:style>
  <w:style w:type="paragraph" w:customStyle="1" w:styleId="118">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19">
    <w:name w:val="IN Step"/>
    <w:basedOn w:val="1"/>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20">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21">
    <w:name w:val="关键词"/>
    <w:basedOn w:val="1"/>
    <w:next w:val="1"/>
    <w:qFormat/>
    <w:uiPriority w:val="0"/>
    <w:pPr>
      <w:spacing w:line="360" w:lineRule="auto"/>
    </w:pPr>
    <w:rPr>
      <w:rFonts w:eastAsia="黑体"/>
      <w:sz w:val="20"/>
    </w:rPr>
  </w:style>
  <w:style w:type="paragraph" w:customStyle="1" w:styleId="122">
    <w:name w:val="样式 正文首行缩进 2 + 首行缩进:  2 字符"/>
    <w:basedOn w:val="1"/>
    <w:qFormat/>
    <w:uiPriority w:val="0"/>
    <w:pPr>
      <w:numPr>
        <w:ilvl w:val="0"/>
        <w:numId w:val="6"/>
      </w:numPr>
      <w:adjustRightInd w:val="0"/>
      <w:snapToGrid w:val="0"/>
      <w:spacing w:line="360" w:lineRule="auto"/>
    </w:pPr>
    <w:rPr>
      <w:rFonts w:ascii="Arial" w:hAnsi="Arial"/>
      <w:b/>
      <w:sz w:val="24"/>
    </w:rPr>
  </w:style>
  <w:style w:type="paragraph" w:customStyle="1" w:styleId="123">
    <w:name w:val="样式 行距: 1.5 倍行距1"/>
    <w:basedOn w:val="1"/>
    <w:qFormat/>
    <w:uiPriority w:val="0"/>
    <w:pPr>
      <w:snapToGrid w:val="0"/>
    </w:pPr>
    <w:rPr>
      <w:sz w:val="21"/>
    </w:rPr>
  </w:style>
  <w:style w:type="paragraph" w:customStyle="1" w:styleId="124">
    <w:name w:val="af"/>
    <w:basedOn w:val="1"/>
    <w:qFormat/>
    <w:uiPriority w:val="0"/>
    <w:pPr>
      <w:widowControl/>
      <w:spacing w:line="300" w:lineRule="atLeast"/>
      <w:jc w:val="left"/>
    </w:pPr>
    <w:rPr>
      <w:rFonts w:ascii="宋体" w:hAnsi="宋体"/>
      <w:kern w:val="0"/>
      <w:sz w:val="18"/>
    </w:rPr>
  </w:style>
  <w:style w:type="paragraph" w:customStyle="1" w:styleId="125">
    <w:name w:val="图片文字"/>
    <w:basedOn w:val="1"/>
    <w:qFormat/>
    <w:uiPriority w:val="0"/>
    <w:pPr>
      <w:spacing w:line="240" w:lineRule="atLeast"/>
      <w:jc w:val="center"/>
    </w:pPr>
    <w:rPr>
      <w:sz w:val="21"/>
    </w:rPr>
  </w:style>
  <w:style w:type="paragraph" w:customStyle="1" w:styleId="126">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127">
    <w:name w:val="Title - Date"/>
    <w:basedOn w:val="53"/>
    <w:next w:val="1"/>
    <w:qFormat/>
    <w:uiPriority w:val="0"/>
    <w:pPr>
      <w:spacing w:before="240" w:after="720"/>
    </w:pPr>
    <w:rPr>
      <w:sz w:val="28"/>
    </w:rPr>
  </w:style>
  <w:style w:type="paragraph" w:customStyle="1" w:styleId="128">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129">
    <w:name w:val="内容标题"/>
    <w:basedOn w:val="18"/>
    <w:qFormat/>
    <w:uiPriority w:val="0"/>
    <w:rPr>
      <w:rFonts w:ascii="Tahoma" w:hAnsi="Tahoma"/>
      <w:sz w:val="24"/>
    </w:rPr>
  </w:style>
  <w:style w:type="paragraph" w:customStyle="1" w:styleId="130">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31">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132">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33">
    <w:name w:val="样式1"/>
    <w:basedOn w:val="6"/>
    <w:qFormat/>
    <w:uiPriority w:val="0"/>
    <w:pPr>
      <w:tabs>
        <w:tab w:val="left" w:pos="720"/>
      </w:tabs>
      <w:spacing w:before="500" w:after="260" w:line="560" w:lineRule="atLeast"/>
      <w:ind w:left="420" w:hanging="420"/>
    </w:pPr>
  </w:style>
  <w:style w:type="paragraph" w:customStyle="1" w:styleId="134">
    <w:name w:val="文本1"/>
    <w:basedOn w:val="1"/>
    <w:qFormat/>
    <w:uiPriority w:val="0"/>
    <w:pPr>
      <w:adjustRightInd w:val="0"/>
      <w:spacing w:line="312" w:lineRule="atLeast"/>
      <w:jc w:val="center"/>
      <w:textAlignment w:val="baseline"/>
    </w:pPr>
    <w:rPr>
      <w:kern w:val="0"/>
      <w:sz w:val="18"/>
    </w:rPr>
  </w:style>
  <w:style w:type="paragraph" w:customStyle="1" w:styleId="135">
    <w:name w:val="简单回函地址"/>
    <w:basedOn w:val="1"/>
    <w:qFormat/>
    <w:uiPriority w:val="0"/>
    <w:pPr>
      <w:adjustRightInd w:val="0"/>
      <w:snapToGrid w:val="0"/>
      <w:spacing w:line="360" w:lineRule="auto"/>
    </w:pPr>
    <w:rPr>
      <w:sz w:val="24"/>
    </w:rPr>
  </w:style>
  <w:style w:type="paragraph" w:customStyle="1" w:styleId="136">
    <w:name w:val="Char Char1 Char"/>
    <w:basedOn w:val="1"/>
    <w:qFormat/>
    <w:uiPriority w:val="0"/>
    <w:rPr>
      <w:rFonts w:ascii="Tahoma" w:hAnsi="Tahoma"/>
      <w:sz w:val="24"/>
      <w:szCs w:val="24"/>
    </w:rPr>
  </w:style>
  <w:style w:type="paragraph" w:customStyle="1" w:styleId="137">
    <w:name w:val="表头文本"/>
    <w:qFormat/>
    <w:uiPriority w:val="0"/>
    <w:pPr>
      <w:jc w:val="center"/>
    </w:pPr>
    <w:rPr>
      <w:rFonts w:ascii="Arial" w:hAnsi="Arial" w:eastAsia="宋体" w:cs="Times New Roman"/>
      <w:b/>
      <w:sz w:val="21"/>
      <w:lang w:val="en-US" w:eastAsia="zh-CN" w:bidi="ar-SA"/>
    </w:rPr>
  </w:style>
  <w:style w:type="paragraph" w:customStyle="1" w:styleId="138">
    <w:name w:val="可研正文"/>
    <w:basedOn w:val="23"/>
    <w:qFormat/>
    <w:uiPriority w:val="0"/>
    <w:pPr>
      <w:adjustRightInd w:val="0"/>
      <w:snapToGrid w:val="0"/>
      <w:spacing w:line="440" w:lineRule="exact"/>
      <w:ind w:firstLine="567"/>
    </w:pPr>
    <w:rPr>
      <w:sz w:val="28"/>
    </w:rPr>
  </w:style>
  <w:style w:type="paragraph" w:customStyle="1" w:styleId="139">
    <w:name w:val="样式 首行缩进:  0.74 厘米"/>
    <w:basedOn w:val="1"/>
    <w:qFormat/>
    <w:uiPriority w:val="0"/>
    <w:pPr>
      <w:spacing w:line="360" w:lineRule="auto"/>
      <w:ind w:firstLine="420"/>
    </w:pPr>
    <w:rPr>
      <w:sz w:val="24"/>
    </w:rPr>
  </w:style>
  <w:style w:type="paragraph" w:customStyle="1" w:styleId="140">
    <w:name w:val="正文文本缩进 21"/>
    <w:basedOn w:val="1"/>
    <w:qFormat/>
    <w:uiPriority w:val="0"/>
    <w:pPr>
      <w:adjustRightInd w:val="0"/>
      <w:spacing w:before="120"/>
      <w:ind w:firstLine="420"/>
      <w:textAlignment w:val="baseline"/>
    </w:pPr>
    <w:rPr>
      <w:sz w:val="24"/>
    </w:rPr>
  </w:style>
  <w:style w:type="paragraph" w:customStyle="1" w:styleId="141">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42">
    <w:name w:val="样式 标题 1 + 居中 段前: 6 磅 段后: 6 磅 行距: 1.5 倍行距"/>
    <w:basedOn w:val="3"/>
    <w:qFormat/>
    <w:uiPriority w:val="0"/>
    <w:pPr>
      <w:keepLines/>
      <w:adjustRightInd w:val="0"/>
      <w:spacing w:before="120" w:after="120" w:line="360" w:lineRule="auto"/>
      <w:jc w:val="center"/>
    </w:pPr>
    <w:rPr>
      <w:rFonts w:ascii="Times New Roman"/>
      <w:b/>
      <w:kern w:val="44"/>
      <w:sz w:val="32"/>
    </w:rPr>
  </w:style>
  <w:style w:type="paragraph" w:customStyle="1" w:styleId="143">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44">
    <w:name w:val="Char1 Char Char Char"/>
    <w:basedOn w:val="1"/>
    <w:qFormat/>
    <w:uiPriority w:val="0"/>
    <w:rPr>
      <w:rFonts w:ascii="Tahoma" w:hAnsi="Tahoma"/>
      <w:sz w:val="30"/>
    </w:rPr>
  </w:style>
  <w:style w:type="paragraph" w:customStyle="1" w:styleId="145">
    <w:name w:val="Char Char Char Char"/>
    <w:basedOn w:val="1"/>
    <w:qFormat/>
    <w:uiPriority w:val="0"/>
    <w:pPr>
      <w:pageBreakBefore/>
      <w:widowControl/>
      <w:spacing w:after="160" w:line="240" w:lineRule="exact"/>
      <w:jc w:val="left"/>
    </w:pPr>
    <w:rPr>
      <w:rFonts w:ascii="Verdana" w:hAnsi="Verdana"/>
      <w:kern w:val="0"/>
      <w:sz w:val="20"/>
      <w:lang w:eastAsia="en-US"/>
    </w:rPr>
  </w:style>
  <w:style w:type="paragraph" w:customStyle="1" w:styleId="146">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147">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148">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49">
    <w:name w:val="正文字缩2字"/>
    <w:basedOn w:val="1"/>
    <w:qFormat/>
    <w:uiPriority w:val="0"/>
    <w:pPr>
      <w:spacing w:before="60" w:after="60" w:line="360" w:lineRule="auto"/>
      <w:ind w:left="200" w:leftChars="200" w:firstLine="200" w:firstLineChars="200"/>
    </w:pPr>
    <w:rPr>
      <w:sz w:val="24"/>
    </w:rPr>
  </w:style>
  <w:style w:type="paragraph" w:customStyle="1" w:styleId="150">
    <w:name w:val="默认段落字体 Para Char Char Char Char Char Char Char"/>
    <w:basedOn w:val="1"/>
    <w:qFormat/>
    <w:uiPriority w:val="0"/>
    <w:rPr>
      <w:rFonts w:ascii="Tahoma" w:hAnsi="Tahoma"/>
      <w:sz w:val="24"/>
    </w:rPr>
  </w:style>
  <w:style w:type="paragraph" w:customStyle="1" w:styleId="151">
    <w:name w:val="Char Char Char Char Char Char1 Char"/>
    <w:basedOn w:val="1"/>
    <w:qFormat/>
    <w:uiPriority w:val="0"/>
    <w:pPr>
      <w:widowControl/>
      <w:spacing w:after="160" w:line="240" w:lineRule="exact"/>
      <w:jc w:val="left"/>
    </w:pPr>
    <w:rPr>
      <w:rFonts w:ascii="Verdana" w:hAnsi="Verdana"/>
      <w:kern w:val="0"/>
      <w:sz w:val="21"/>
      <w:lang w:eastAsia="en-US"/>
    </w:rPr>
  </w:style>
  <w:style w:type="paragraph" w:customStyle="1" w:styleId="152">
    <w:name w:val="CSS1级正文 Char"/>
    <w:basedOn w:val="23"/>
    <w:qFormat/>
    <w:uiPriority w:val="0"/>
    <w:pPr>
      <w:adjustRightInd w:val="0"/>
      <w:snapToGrid w:val="0"/>
      <w:spacing w:line="360" w:lineRule="auto"/>
      <w:ind w:firstLine="480"/>
    </w:pPr>
    <w:rPr>
      <w:rFonts w:ascii="Times New Roman" w:eastAsia="宋体"/>
      <w:sz w:val="24"/>
    </w:rPr>
  </w:style>
  <w:style w:type="paragraph" w:customStyle="1" w:styleId="153">
    <w:name w:val="正文1"/>
    <w:basedOn w:val="1"/>
    <w:qFormat/>
    <w:uiPriority w:val="0"/>
    <w:pPr>
      <w:spacing w:line="300" w:lineRule="auto"/>
      <w:ind w:firstLine="200" w:firstLineChars="200"/>
    </w:pPr>
    <w:rPr>
      <w:sz w:val="24"/>
    </w:rPr>
  </w:style>
  <w:style w:type="paragraph" w:customStyle="1" w:styleId="154">
    <w:name w:val="编号正文"/>
    <w:basedOn w:val="89"/>
    <w:qFormat/>
    <w:uiPriority w:val="0"/>
    <w:pPr>
      <w:snapToGrid/>
      <w:spacing w:line="360" w:lineRule="auto"/>
      <w:ind w:left="1407" w:hanging="1047"/>
      <w:jc w:val="left"/>
    </w:pPr>
    <w:rPr>
      <w:rFonts w:eastAsia="仿宋_GB2312"/>
    </w:rPr>
  </w:style>
  <w:style w:type="paragraph" w:customStyle="1" w:styleId="155">
    <w:name w:val="二级列表"/>
    <w:basedOn w:val="81"/>
    <w:next w:val="81"/>
    <w:qFormat/>
    <w:uiPriority w:val="0"/>
    <w:pPr>
      <w:tabs>
        <w:tab w:val="left" w:pos="2120"/>
      </w:tabs>
      <w:ind w:firstLine="0" w:firstLineChars="0"/>
    </w:pPr>
    <w:rPr>
      <w:b/>
    </w:rPr>
  </w:style>
  <w:style w:type="paragraph" w:customStyle="1" w:styleId="156">
    <w:name w:val="IN Feature"/>
    <w:next w:val="119"/>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57">
    <w:name w:val="标题3——2"/>
    <w:basedOn w:val="5"/>
    <w:next w:val="55"/>
    <w:qFormat/>
    <w:uiPriority w:val="0"/>
    <w:pPr>
      <w:tabs>
        <w:tab w:val="left" w:pos="1280"/>
        <w:tab w:val="right" w:leader="dot" w:pos="8777"/>
      </w:tabs>
      <w:spacing w:before="312" w:beforeLines="100" w:after="0" w:line="240" w:lineRule="auto"/>
      <w:ind w:left="851" w:hanging="851"/>
      <w:outlineLvl w:val="9"/>
    </w:pPr>
    <w:rPr>
      <w:rFonts w:ascii="黑体" w:hAnsi="宋体" w:eastAsia="黑体"/>
      <w:sz w:val="30"/>
    </w:rPr>
  </w:style>
  <w:style w:type="paragraph" w:customStyle="1" w:styleId="158">
    <w:name w:val="标题无"/>
    <w:basedOn w:val="1"/>
    <w:qFormat/>
    <w:uiPriority w:val="0"/>
    <w:pPr>
      <w:spacing w:line="360" w:lineRule="auto"/>
    </w:pPr>
    <w:rPr>
      <w:sz w:val="24"/>
    </w:rPr>
  </w:style>
  <w:style w:type="paragraph" w:customStyle="1" w:styleId="159">
    <w:name w:val="样式2"/>
    <w:basedOn w:val="6"/>
    <w:qFormat/>
    <w:uiPriority w:val="0"/>
    <w:pPr>
      <w:numPr>
        <w:ilvl w:val="0"/>
        <w:numId w:val="7"/>
      </w:numPr>
      <w:spacing w:before="560" w:line="400" w:lineRule="exact"/>
      <w:jc w:val="center"/>
      <w:outlineLvl w:val="0"/>
    </w:pPr>
    <w:rPr>
      <w:b w:val="0"/>
      <w:sz w:val="44"/>
    </w:rPr>
  </w:style>
  <w:style w:type="paragraph" w:customStyle="1" w:styleId="160">
    <w:name w:val="首行缩进"/>
    <w:basedOn w:val="1"/>
    <w:qFormat/>
    <w:uiPriority w:val="0"/>
    <w:pPr>
      <w:numPr>
        <w:ilvl w:val="0"/>
        <w:numId w:val="8"/>
      </w:numPr>
      <w:spacing w:line="360" w:lineRule="auto"/>
    </w:pPr>
    <w:rPr>
      <w:rFonts w:eastAsia="仿宋_GB2312"/>
    </w:rPr>
  </w:style>
  <w:style w:type="paragraph" w:customStyle="1" w:styleId="161">
    <w:name w:val="Title - Revision"/>
    <w:basedOn w:val="53"/>
    <w:qFormat/>
    <w:uiPriority w:val="0"/>
    <w:pPr>
      <w:spacing w:before="720"/>
    </w:pPr>
  </w:style>
  <w:style w:type="paragraph" w:customStyle="1" w:styleId="162">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163">
    <w:name w:val="style1"/>
    <w:basedOn w:val="1"/>
    <w:qFormat/>
    <w:uiPriority w:val="0"/>
    <w:pPr>
      <w:widowControl/>
      <w:spacing w:before="100" w:beforeAutospacing="1" w:after="100" w:afterAutospacing="1"/>
      <w:jc w:val="left"/>
    </w:pPr>
    <w:rPr>
      <w:rFonts w:ascii="宋体" w:hAnsi="宋体"/>
      <w:kern w:val="0"/>
      <w:sz w:val="21"/>
    </w:rPr>
  </w:style>
  <w:style w:type="paragraph" w:customStyle="1" w:styleId="164">
    <w:name w:val="表格内文字"/>
    <w:basedOn w:val="31"/>
    <w:qFormat/>
    <w:uiPriority w:val="0"/>
    <w:pPr>
      <w:adjustRightInd w:val="0"/>
    </w:pPr>
    <w:rPr>
      <w:color w:val="000000"/>
      <w:lang w:val="en-GB"/>
    </w:rPr>
  </w:style>
  <w:style w:type="paragraph" w:customStyle="1" w:styleId="165">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166">
    <w:name w:val="样式 标题 6第五层条 + 三号 段前: 0.5 行"/>
    <w:basedOn w:val="8"/>
    <w:qFormat/>
    <w:uiPriority w:val="0"/>
    <w:pPr>
      <w:widowControl/>
      <w:adjustRightInd/>
      <w:snapToGrid/>
      <w:spacing w:before="156" w:beforeLines="50"/>
      <w:jc w:val="left"/>
    </w:pPr>
    <w:rPr>
      <w:snapToGrid w:val="0"/>
      <w:kern w:val="24"/>
      <w:sz w:val="28"/>
    </w:rPr>
  </w:style>
  <w:style w:type="paragraph" w:customStyle="1" w:styleId="167">
    <w:name w:val="Table Contents"/>
    <w:basedOn w:val="23"/>
    <w:qFormat/>
    <w:uiPriority w:val="0"/>
    <w:pPr>
      <w:suppressAutoHyphens/>
      <w:jc w:val="left"/>
    </w:pPr>
    <w:rPr>
      <w:rFonts w:ascii="Times New Roman" w:eastAsia="Times New Roman"/>
      <w:kern w:val="0"/>
      <w:sz w:val="24"/>
    </w:rPr>
  </w:style>
  <w:style w:type="paragraph" w:customStyle="1" w:styleId="168">
    <w:name w:val="附录3"/>
    <w:basedOn w:val="1"/>
    <w:next w:val="1"/>
    <w:qFormat/>
    <w:uiPriority w:val="0"/>
    <w:pPr>
      <w:tabs>
        <w:tab w:val="left" w:pos="851"/>
      </w:tabs>
      <w:ind w:left="425" w:hanging="425"/>
      <w:outlineLvl w:val="2"/>
    </w:pPr>
    <w:rPr>
      <w:rFonts w:eastAsia="黑体"/>
      <w:b/>
      <w:sz w:val="32"/>
    </w:rPr>
  </w:style>
  <w:style w:type="paragraph" w:customStyle="1" w:styleId="169">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170">
    <w:name w:val="Style Heading 3h3Heading 3 - oldLevel 3 HeadH3level_3PIM 3se..."/>
    <w:basedOn w:val="5"/>
    <w:qFormat/>
    <w:uiPriority w:val="0"/>
    <w:pPr>
      <w:numPr>
        <w:ilvl w:val="2"/>
        <w:numId w:val="9"/>
      </w:numPr>
      <w:tabs>
        <w:tab w:val="left" w:pos="709"/>
        <w:tab w:val="left" w:pos="1620"/>
      </w:tabs>
    </w:pPr>
  </w:style>
  <w:style w:type="paragraph" w:customStyle="1" w:styleId="171">
    <w:name w:val="标准正文"/>
    <w:basedOn w:val="24"/>
    <w:qFormat/>
    <w:uiPriority w:val="0"/>
    <w:pPr>
      <w:spacing w:before="60" w:after="60" w:line="360" w:lineRule="auto"/>
      <w:ind w:left="0" w:firstLine="482"/>
    </w:pPr>
    <w:rPr>
      <w:rFonts w:ascii="Arial" w:hAnsi="Arial"/>
      <w:sz w:val="24"/>
    </w:rPr>
  </w:style>
  <w:style w:type="paragraph" w:customStyle="1" w:styleId="172">
    <w:name w:val="Char11"/>
    <w:basedOn w:val="1"/>
    <w:qFormat/>
    <w:uiPriority w:val="0"/>
    <w:pPr>
      <w:spacing w:line="240" w:lineRule="atLeast"/>
      <w:ind w:left="420" w:firstLine="420"/>
    </w:pPr>
    <w:rPr>
      <w:kern w:val="0"/>
      <w:sz w:val="21"/>
    </w:rPr>
  </w:style>
  <w:style w:type="paragraph" w:customStyle="1" w:styleId="173">
    <w:name w:val="样式3"/>
    <w:basedOn w:val="3"/>
    <w:next w:val="3"/>
    <w:qFormat/>
    <w:uiPriority w:val="0"/>
    <w:pPr>
      <w:keepLines/>
      <w:adjustRightInd w:val="0"/>
      <w:spacing w:before="340" w:after="330" w:line="576" w:lineRule="auto"/>
    </w:pPr>
    <w:rPr>
      <w:rFonts w:ascii="Times New Roman" w:eastAsia="黑体"/>
      <w:b/>
      <w:kern w:val="44"/>
      <w:sz w:val="44"/>
    </w:rPr>
  </w:style>
  <w:style w:type="paragraph" w:customStyle="1" w:styleId="174">
    <w:name w:val="文章正文"/>
    <w:basedOn w:val="1"/>
    <w:qFormat/>
    <w:uiPriority w:val="0"/>
    <w:pPr>
      <w:ind w:firstLine="560" w:firstLineChars="200"/>
    </w:pPr>
    <w:rPr>
      <w:rFonts w:ascii="仿宋_GB2312" w:hAnsi="宋体" w:eastAsia="仿宋_GB2312"/>
      <w:color w:val="000000"/>
    </w:rPr>
  </w:style>
  <w:style w:type="paragraph" w:customStyle="1" w:styleId="175">
    <w:name w:val="正文表格"/>
    <w:basedOn w:val="1"/>
    <w:qFormat/>
    <w:uiPriority w:val="0"/>
    <w:pPr>
      <w:adjustRightInd w:val="0"/>
      <w:spacing w:before="40" w:after="40"/>
    </w:pPr>
    <w:rPr>
      <w:sz w:val="24"/>
    </w:rPr>
  </w:style>
  <w:style w:type="paragraph" w:customStyle="1" w:styleId="176">
    <w:name w:val="Char Char Char Char Char Char Char1"/>
    <w:basedOn w:val="18"/>
    <w:qFormat/>
    <w:uiPriority w:val="0"/>
    <w:rPr>
      <w:rFonts w:ascii="宋体" w:hAnsi="Tahoma"/>
    </w:rPr>
  </w:style>
  <w:style w:type="paragraph" w:customStyle="1" w:styleId="177">
    <w:name w:val="正文4"/>
    <w:basedOn w:val="1"/>
    <w:qFormat/>
    <w:uiPriority w:val="0"/>
    <w:pPr>
      <w:tabs>
        <w:tab w:val="left" w:pos="1275"/>
      </w:tabs>
      <w:spacing w:before="60" w:after="60" w:line="360" w:lineRule="auto"/>
      <w:ind w:left="820" w:leftChars="400" w:hanging="705"/>
    </w:pPr>
    <w:rPr>
      <w:sz w:val="24"/>
    </w:rPr>
  </w:style>
  <w:style w:type="paragraph" w:customStyle="1" w:styleId="178">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79">
    <w:name w:val="Char1"/>
    <w:basedOn w:val="1"/>
    <w:qFormat/>
    <w:uiPriority w:val="0"/>
    <w:rPr>
      <w:sz w:val="21"/>
    </w:rPr>
  </w:style>
  <w:style w:type="paragraph" w:customStyle="1" w:styleId="180">
    <w:name w:val="bt"/>
    <w:basedOn w:val="1"/>
    <w:next w:val="23"/>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181">
    <w:name w:val="Item List"/>
    <w:qFormat/>
    <w:uiPriority w:val="0"/>
    <w:pPr>
      <w:numPr>
        <w:ilvl w:val="0"/>
        <w:numId w:val="10"/>
      </w:numPr>
      <w:spacing w:line="300" w:lineRule="auto"/>
      <w:jc w:val="both"/>
    </w:pPr>
    <w:rPr>
      <w:rFonts w:ascii="Arial" w:hAnsi="Arial" w:eastAsia="宋体" w:cs="Times New Roman"/>
      <w:sz w:val="21"/>
      <w:lang w:val="en-US" w:eastAsia="zh-CN" w:bidi="ar-SA"/>
    </w:rPr>
  </w:style>
  <w:style w:type="paragraph" w:customStyle="1" w:styleId="182">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83">
    <w:name w:val="表号"/>
    <w:basedOn w:val="1"/>
    <w:qFormat/>
    <w:uiPriority w:val="0"/>
    <w:pPr>
      <w:numPr>
        <w:ilvl w:val="0"/>
        <w:numId w:val="11"/>
      </w:numPr>
      <w:tabs>
        <w:tab w:val="left" w:pos="648"/>
        <w:tab w:val="clear" w:pos="360"/>
      </w:tabs>
      <w:autoSpaceDE w:val="0"/>
      <w:autoSpaceDN w:val="0"/>
      <w:adjustRightInd w:val="0"/>
      <w:spacing w:before="210" w:after="210"/>
      <w:ind w:left="425" w:hanging="137"/>
      <w:jc w:val="center"/>
    </w:pPr>
    <w:rPr>
      <w:kern w:val="0"/>
      <w:sz w:val="21"/>
      <w:lang w:eastAsia="en-US"/>
    </w:rPr>
  </w:style>
  <w:style w:type="paragraph" w:customStyle="1" w:styleId="184">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85">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186">
    <w:name w:val="样式 宋体 五号 行距: 单倍行距"/>
    <w:basedOn w:val="1"/>
    <w:qFormat/>
    <w:uiPriority w:val="0"/>
    <w:pPr>
      <w:adjustRightInd w:val="0"/>
      <w:jc w:val="left"/>
    </w:pPr>
    <w:rPr>
      <w:rFonts w:ascii="宋体" w:hAnsi="宋体"/>
      <w:kern w:val="0"/>
      <w:sz w:val="21"/>
    </w:rPr>
  </w:style>
  <w:style w:type="paragraph" w:customStyle="1" w:styleId="187">
    <w:name w:val="Char Char Char1 Char Char Char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188">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89">
    <w:name w:val="正文格式"/>
    <w:basedOn w:val="1"/>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90">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191">
    <w:name w:val="文字"/>
    <w:basedOn w:val="1"/>
    <w:link w:val="206"/>
    <w:qFormat/>
    <w:uiPriority w:val="0"/>
    <w:pPr>
      <w:tabs>
        <w:tab w:val="left" w:pos="8520"/>
      </w:tabs>
      <w:spacing w:line="312" w:lineRule="auto"/>
      <w:ind w:right="-210" w:firstLine="556"/>
    </w:pPr>
    <w:rPr>
      <w:rFonts w:ascii="宋体"/>
    </w:rPr>
  </w:style>
  <w:style w:type="paragraph" w:customStyle="1" w:styleId="192">
    <w:name w:val="正文文本 21"/>
    <w:basedOn w:val="1"/>
    <w:qFormat/>
    <w:uiPriority w:val="0"/>
    <w:pPr>
      <w:adjustRightInd w:val="0"/>
      <w:spacing w:before="120" w:line="360" w:lineRule="auto"/>
      <w:ind w:firstLine="480"/>
      <w:textAlignment w:val="baseline"/>
    </w:pPr>
    <w:rPr>
      <w:sz w:val="24"/>
    </w:rPr>
  </w:style>
  <w:style w:type="paragraph" w:customStyle="1" w:styleId="193">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94">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195">
    <w:name w:val="Char1 Char Char Char1"/>
    <w:basedOn w:val="1"/>
    <w:qFormat/>
    <w:uiPriority w:val="0"/>
    <w:rPr>
      <w:rFonts w:ascii="Tahoma" w:hAnsi="Tahoma"/>
      <w:sz w:val="24"/>
    </w:rPr>
  </w:style>
  <w:style w:type="paragraph" w:customStyle="1" w:styleId="196">
    <w:name w:val="Char Char 字元 字元 字元 Char Char Char Char"/>
    <w:basedOn w:val="1"/>
    <w:qFormat/>
    <w:uiPriority w:val="0"/>
    <w:pPr>
      <w:adjustRightInd w:val="0"/>
      <w:spacing w:line="360" w:lineRule="auto"/>
    </w:pPr>
    <w:rPr>
      <w:kern w:val="0"/>
      <w:sz w:val="24"/>
    </w:rPr>
  </w:style>
  <w:style w:type="paragraph" w:customStyle="1" w:styleId="197">
    <w:name w:val="表文字"/>
    <w:qFormat/>
    <w:uiPriority w:val="0"/>
    <w:rPr>
      <w:rFonts w:ascii="宋体" w:hAnsi="Times New Roman" w:eastAsia="宋体" w:cs="Times New Roman"/>
      <w:kern w:val="2"/>
      <w:lang w:val="en-US" w:eastAsia="zh-CN" w:bidi="ar-SA"/>
    </w:rPr>
  </w:style>
  <w:style w:type="paragraph" w:customStyle="1" w:styleId="198">
    <w:name w:val="正文（首行不缩进）"/>
    <w:basedOn w:val="1"/>
    <w:qFormat/>
    <w:uiPriority w:val="0"/>
    <w:pPr>
      <w:autoSpaceDE w:val="0"/>
      <w:autoSpaceDN w:val="0"/>
      <w:adjustRightInd w:val="0"/>
      <w:spacing w:line="360" w:lineRule="auto"/>
      <w:jc w:val="left"/>
    </w:pPr>
    <w:rPr>
      <w:kern w:val="0"/>
      <w:sz w:val="21"/>
    </w:rPr>
  </w:style>
  <w:style w:type="paragraph" w:customStyle="1" w:styleId="199">
    <w:name w:val="Table Text Char Char Char"/>
    <w:link w:val="225"/>
    <w:qFormat/>
    <w:uiPriority w:val="0"/>
    <w:pPr>
      <w:snapToGrid w:val="0"/>
      <w:spacing w:before="80" w:after="80"/>
    </w:pPr>
    <w:rPr>
      <w:rFonts w:ascii="Arial" w:hAnsi="Arial" w:eastAsia="宋体" w:cs="Times New Roman"/>
      <w:kern w:val="2"/>
      <w:sz w:val="18"/>
      <w:lang w:val="en-US" w:eastAsia="zh-CN" w:bidi="ar-SA"/>
    </w:rPr>
  </w:style>
  <w:style w:type="paragraph" w:customStyle="1" w:styleId="200">
    <w:name w:val="样式 样式 首行缩进:  2 字符 + 首行缩进:  2 字符"/>
    <w:basedOn w:val="1"/>
    <w:qFormat/>
    <w:uiPriority w:val="0"/>
    <w:pPr>
      <w:numPr>
        <w:ilvl w:val="0"/>
        <w:numId w:val="12"/>
      </w:numPr>
      <w:tabs>
        <w:tab w:val="clear" w:pos="1230"/>
      </w:tabs>
      <w:spacing w:line="360" w:lineRule="auto"/>
      <w:ind w:firstLine="480" w:firstLineChars="200"/>
    </w:pPr>
    <w:rPr>
      <w:sz w:val="24"/>
    </w:rPr>
  </w:style>
  <w:style w:type="paragraph" w:customStyle="1" w:styleId="201">
    <w:name w:val="表格文本"/>
    <w:qFormat/>
    <w:uiPriority w:val="0"/>
    <w:pPr>
      <w:tabs>
        <w:tab w:val="decimal" w:pos="0"/>
      </w:tabs>
    </w:pPr>
    <w:rPr>
      <w:rFonts w:ascii="Arial" w:hAnsi="Arial" w:eastAsia="宋体" w:cs="Times New Roman"/>
      <w:sz w:val="21"/>
      <w:lang w:val="en-US" w:eastAsia="zh-CN" w:bidi="ar-SA"/>
    </w:rPr>
  </w:style>
  <w:style w:type="paragraph" w:customStyle="1" w:styleId="202">
    <w:name w:val="Char2 Char Char Char Char Char Char"/>
    <w:basedOn w:val="1"/>
    <w:qFormat/>
    <w:uiPriority w:val="0"/>
    <w:rPr>
      <w:rFonts w:ascii="仿宋_GB2312"/>
      <w:b/>
      <w:sz w:val="30"/>
    </w:rPr>
  </w:style>
  <w:style w:type="paragraph" w:customStyle="1" w:styleId="203">
    <w:name w:val="Table Text"/>
    <w:link w:val="216"/>
    <w:qFormat/>
    <w:uiPriority w:val="0"/>
    <w:pPr>
      <w:snapToGrid w:val="0"/>
      <w:spacing w:before="80" w:after="80"/>
    </w:pPr>
    <w:rPr>
      <w:rFonts w:ascii="Arial" w:hAnsi="Arial" w:eastAsia="宋体" w:cs="Times New Roman"/>
      <w:kern w:val="2"/>
      <w:sz w:val="18"/>
      <w:lang w:val="en-US" w:eastAsia="zh-CN" w:bidi="ar-SA"/>
    </w:rPr>
  </w:style>
  <w:style w:type="paragraph" w:customStyle="1" w:styleId="204">
    <w:name w:val="正文格式 Char"/>
    <w:basedOn w:val="1"/>
    <w:qFormat/>
    <w:uiPriority w:val="0"/>
    <w:pPr>
      <w:widowControl/>
      <w:adjustRightInd w:val="0"/>
      <w:spacing w:line="440" w:lineRule="atLeast"/>
      <w:ind w:firstLine="510"/>
      <w:textAlignment w:val="baseline"/>
    </w:pPr>
    <w:rPr>
      <w:kern w:val="0"/>
      <w:sz w:val="24"/>
    </w:rPr>
  </w:style>
  <w:style w:type="character" w:customStyle="1" w:styleId="205">
    <w:name w:val="Char Char"/>
    <w:qFormat/>
    <w:uiPriority w:val="0"/>
    <w:rPr>
      <w:rFonts w:ascii="宋体" w:hAnsi="宋体" w:eastAsia="宋体"/>
      <w:kern w:val="2"/>
      <w:sz w:val="24"/>
      <w:lang w:val="en-US" w:eastAsia="zh-CN" w:bidi="ar-SA"/>
    </w:rPr>
  </w:style>
  <w:style w:type="character" w:customStyle="1" w:styleId="206">
    <w:name w:val="文字 Char"/>
    <w:link w:val="191"/>
    <w:qFormat/>
    <w:uiPriority w:val="0"/>
    <w:rPr>
      <w:rFonts w:ascii="宋体"/>
      <w:kern w:val="2"/>
      <w:sz w:val="28"/>
    </w:rPr>
  </w:style>
  <w:style w:type="character" w:customStyle="1" w:styleId="207">
    <w:name w:val="Char Char6"/>
    <w:qFormat/>
    <w:uiPriority w:val="0"/>
    <w:rPr>
      <w:rFonts w:ascii="仿宋_GB2312" w:eastAsia="仿宋_GB2312"/>
      <w:kern w:val="2"/>
      <w:sz w:val="32"/>
    </w:rPr>
  </w:style>
  <w:style w:type="character" w:customStyle="1" w:styleId="208">
    <w:name w:val="Char Char2"/>
    <w:qFormat/>
    <w:uiPriority w:val="0"/>
    <w:rPr>
      <w:rFonts w:eastAsia="宋体"/>
      <w:kern w:val="2"/>
      <w:sz w:val="18"/>
      <w:lang w:val="en-US" w:eastAsia="zh-CN"/>
    </w:rPr>
  </w:style>
  <w:style w:type="character" w:customStyle="1" w:styleId="209">
    <w:name w:val="Char Char5"/>
    <w:qFormat/>
    <w:uiPriority w:val="0"/>
    <w:rPr>
      <w:rFonts w:ascii="Arial" w:hAnsi="Arial" w:eastAsia="宋体"/>
      <w:b/>
      <w:smallCaps/>
      <w:kern w:val="28"/>
      <w:sz w:val="36"/>
      <w:lang w:val="en-US" w:eastAsia="en-US"/>
    </w:rPr>
  </w:style>
  <w:style w:type="character" w:customStyle="1" w:styleId="210">
    <w:name w:val="正文首行缩进 2 字符"/>
    <w:basedOn w:val="211"/>
    <w:link w:val="56"/>
    <w:qFormat/>
    <w:uiPriority w:val="0"/>
    <w:rPr>
      <w:kern w:val="2"/>
      <w:sz w:val="44"/>
    </w:rPr>
  </w:style>
  <w:style w:type="character" w:customStyle="1" w:styleId="211">
    <w:name w:val="正文文本缩进 字符"/>
    <w:link w:val="24"/>
    <w:qFormat/>
    <w:uiPriority w:val="0"/>
    <w:rPr>
      <w:kern w:val="2"/>
      <w:sz w:val="44"/>
    </w:rPr>
  </w:style>
  <w:style w:type="character" w:customStyle="1" w:styleId="212">
    <w:name w:val="crowed11"/>
    <w:qFormat/>
    <w:uiPriority w:val="0"/>
    <w:rPr>
      <w:rFonts w:hint="default" w:ascii="_x000B__x000C_" w:hAnsi="_x000B__x000C_"/>
      <w:sz w:val="24"/>
    </w:rPr>
  </w:style>
  <w:style w:type="character" w:customStyle="1" w:styleId="213">
    <w:name w:val="top-det1"/>
    <w:qFormat/>
    <w:uiPriority w:val="0"/>
    <w:rPr>
      <w:b/>
      <w:color w:val="000000"/>
    </w:rPr>
  </w:style>
  <w:style w:type="character" w:customStyle="1" w:styleId="214">
    <w:name w:val="日期 字符"/>
    <w:link w:val="33"/>
    <w:qFormat/>
    <w:uiPriority w:val="0"/>
    <w:rPr>
      <w:kern w:val="2"/>
      <w:sz w:val="28"/>
    </w:rPr>
  </w:style>
  <w:style w:type="character" w:customStyle="1" w:styleId="215">
    <w:name w:val="样式 宋体"/>
    <w:qFormat/>
    <w:uiPriority w:val="0"/>
    <w:rPr>
      <w:rFonts w:ascii="宋体" w:hAnsi="宋体" w:eastAsia="宋体"/>
      <w:sz w:val="28"/>
    </w:rPr>
  </w:style>
  <w:style w:type="character" w:customStyle="1" w:styleId="216">
    <w:name w:val="Table Text Char"/>
    <w:link w:val="203"/>
    <w:qFormat/>
    <w:uiPriority w:val="0"/>
    <w:rPr>
      <w:rFonts w:ascii="Arial" w:hAnsi="Arial"/>
      <w:kern w:val="2"/>
      <w:sz w:val="18"/>
      <w:lang w:val="en-US" w:eastAsia="zh-CN" w:bidi="ar-SA"/>
    </w:rPr>
  </w:style>
  <w:style w:type="character" w:customStyle="1" w:styleId="217">
    <w:name w:val="content-white1"/>
    <w:qFormat/>
    <w:uiPriority w:val="0"/>
    <w:rPr>
      <w:rFonts w:ascii="_x000B__x000C_" w:hAnsi="_x000B__x000C_"/>
      <w:color w:val="auto"/>
      <w:sz w:val="18"/>
      <w:u w:val="none"/>
    </w:rPr>
  </w:style>
  <w:style w:type="character" w:customStyle="1" w:styleId="218">
    <w:name w:val="正文文本缩进 2 字符"/>
    <w:link w:val="34"/>
    <w:qFormat/>
    <w:uiPriority w:val="0"/>
    <w:rPr>
      <w:kern w:val="2"/>
      <w:sz w:val="28"/>
    </w:rPr>
  </w:style>
  <w:style w:type="character" w:customStyle="1" w:styleId="219">
    <w:name w:val="纯文本 字符"/>
    <w:link w:val="31"/>
    <w:qFormat/>
    <w:uiPriority w:val="0"/>
    <w:rPr>
      <w:rFonts w:ascii="宋体" w:hAnsi="Courier New"/>
      <w:kern w:val="2"/>
      <w:sz w:val="21"/>
    </w:rPr>
  </w:style>
  <w:style w:type="character" w:customStyle="1" w:styleId="220">
    <w:name w:val="脚注文本 字符"/>
    <w:link w:val="40"/>
    <w:qFormat/>
    <w:uiPriority w:val="0"/>
    <w:rPr>
      <w:kern w:val="2"/>
      <w:sz w:val="18"/>
    </w:rPr>
  </w:style>
  <w:style w:type="character" w:customStyle="1" w:styleId="221">
    <w:name w:val="v151"/>
    <w:qFormat/>
    <w:uiPriority w:val="0"/>
    <w:rPr>
      <w:sz w:val="18"/>
    </w:rPr>
  </w:style>
  <w:style w:type="character" w:customStyle="1" w:styleId="222">
    <w:name w:val="批注文字 字符"/>
    <w:link w:val="20"/>
    <w:qFormat/>
    <w:uiPriority w:val="0"/>
    <w:rPr>
      <w:sz w:val="24"/>
    </w:rPr>
  </w:style>
  <w:style w:type="character" w:customStyle="1" w:styleId="223">
    <w:name w:val="title_emph1"/>
    <w:qFormat/>
    <w:uiPriority w:val="0"/>
    <w:rPr>
      <w:rFonts w:hint="default" w:ascii="Arial" w:hAnsi="Arial"/>
      <w:b/>
      <w:sz w:val="20"/>
    </w:rPr>
  </w:style>
  <w:style w:type="character" w:customStyle="1" w:styleId="224">
    <w:name w:val="Table Heading Char Char"/>
    <w:qFormat/>
    <w:uiPriority w:val="0"/>
    <w:rPr>
      <w:rFonts w:ascii="Arial" w:hAnsi="Arial" w:eastAsia="黑体"/>
      <w:kern w:val="2"/>
      <w:sz w:val="18"/>
      <w:lang w:val="en-US" w:eastAsia="zh-CN"/>
    </w:rPr>
  </w:style>
  <w:style w:type="character" w:customStyle="1" w:styleId="225">
    <w:name w:val="Table Text Char Char Char Char"/>
    <w:link w:val="199"/>
    <w:qFormat/>
    <w:uiPriority w:val="0"/>
    <w:rPr>
      <w:rFonts w:ascii="Arial" w:hAnsi="Arial"/>
      <w:kern w:val="2"/>
      <w:sz w:val="18"/>
      <w:lang w:val="en-US" w:eastAsia="zh-CN" w:bidi="ar-SA"/>
    </w:rPr>
  </w:style>
  <w:style w:type="character" w:customStyle="1" w:styleId="226">
    <w:name w:val="font01"/>
    <w:qFormat/>
    <w:uiPriority w:val="0"/>
    <w:rPr>
      <w:rFonts w:hint="eastAsia" w:ascii="宋体" w:hAnsi="宋体" w:eastAsia="宋体" w:cs="宋体"/>
      <w:color w:val="000000"/>
      <w:sz w:val="24"/>
      <w:szCs w:val="24"/>
      <w:u w:val="none"/>
    </w:rPr>
  </w:style>
  <w:style w:type="character" w:customStyle="1" w:styleId="227">
    <w:name w:val="Char Char7"/>
    <w:qFormat/>
    <w:uiPriority w:val="0"/>
    <w:rPr>
      <w:rFonts w:ascii="宋体" w:hAnsi="宋体" w:eastAsia="宋体"/>
      <w:kern w:val="2"/>
      <w:sz w:val="28"/>
    </w:rPr>
  </w:style>
  <w:style w:type="character" w:customStyle="1" w:styleId="228">
    <w:name w:val="Table Text Char1 Char"/>
    <w:qFormat/>
    <w:uiPriority w:val="0"/>
    <w:rPr>
      <w:rFonts w:ascii="Arial" w:hAnsi="Arial"/>
      <w:kern w:val="2"/>
      <w:sz w:val="18"/>
      <w:lang w:val="en-US" w:eastAsia="zh-CN" w:bidi="ar-SA"/>
    </w:rPr>
  </w:style>
  <w:style w:type="character" w:customStyle="1" w:styleId="229">
    <w:name w:val="H2 Char"/>
    <w:qFormat/>
    <w:uiPriority w:val="0"/>
    <w:rPr>
      <w:rFonts w:ascii="Arial" w:hAnsi="Arial" w:eastAsia="宋体"/>
      <w:kern w:val="2"/>
      <w:sz w:val="28"/>
      <w:lang w:val="en-US" w:eastAsia="zh-CN"/>
    </w:rPr>
  </w:style>
  <w:style w:type="character" w:customStyle="1" w:styleId="230">
    <w:name w:val="正文 + 三号 Char"/>
    <w:qFormat/>
    <w:uiPriority w:val="0"/>
    <w:rPr>
      <w:rFonts w:eastAsia="宋体"/>
      <w:kern w:val="2"/>
      <w:sz w:val="21"/>
      <w:lang w:val="en-US" w:eastAsia="zh-CN"/>
    </w:rPr>
  </w:style>
  <w:style w:type="character" w:customStyle="1" w:styleId="231">
    <w:name w:val="批注主题 字符"/>
    <w:basedOn w:val="222"/>
    <w:link w:val="54"/>
    <w:qFormat/>
    <w:uiPriority w:val="0"/>
    <w:rPr>
      <w:sz w:val="24"/>
    </w:rPr>
  </w:style>
  <w:style w:type="character" w:customStyle="1" w:styleId="232">
    <w:name w:val="标书正文:  0.74 厘米 Char1"/>
    <w:qFormat/>
    <w:uiPriority w:val="0"/>
    <w:rPr>
      <w:rFonts w:eastAsia="宋体"/>
      <w:kern w:val="2"/>
      <w:sz w:val="24"/>
      <w:lang w:val="en-US" w:eastAsia="zh-CN"/>
    </w:rPr>
  </w:style>
  <w:style w:type="character" w:customStyle="1" w:styleId="233">
    <w:name w:val="小 Char"/>
    <w:qFormat/>
    <w:uiPriority w:val="0"/>
    <w:rPr>
      <w:rFonts w:ascii="宋体" w:hAnsi="Courier New" w:eastAsia="宋体"/>
      <w:kern w:val="2"/>
      <w:sz w:val="21"/>
      <w:lang w:val="en-US" w:eastAsia="zh-CN" w:bidi="ar-SA"/>
    </w:rPr>
  </w:style>
  <w:style w:type="character" w:customStyle="1" w:styleId="234">
    <w:name w:val="标题 2 字符"/>
    <w:link w:val="4"/>
    <w:qFormat/>
    <w:uiPriority w:val="0"/>
    <w:rPr>
      <w:rFonts w:ascii="Arial" w:hAnsi="Arial" w:eastAsia="黑体"/>
      <w:b/>
      <w:kern w:val="2"/>
      <w:sz w:val="32"/>
    </w:rPr>
  </w:style>
  <w:style w:type="character" w:customStyle="1" w:styleId="235">
    <w:name w:val="font1"/>
    <w:qFormat/>
    <w:uiPriority w:val="0"/>
    <w:rPr>
      <w:color w:val="000000"/>
      <w:sz w:val="18"/>
    </w:rPr>
  </w:style>
  <w:style w:type="character" w:customStyle="1" w:styleId="236">
    <w:name w:val="Char Char4"/>
    <w:qFormat/>
    <w:uiPriority w:val="0"/>
    <w:rPr>
      <w:rFonts w:eastAsia="宋体"/>
      <w:b/>
      <w:kern w:val="2"/>
      <w:sz w:val="21"/>
      <w:lang w:val="en-US" w:eastAsia="zh-CN"/>
    </w:rPr>
  </w:style>
  <w:style w:type="character" w:customStyle="1" w:styleId="237">
    <w:name w:val="未命名11"/>
    <w:qFormat/>
    <w:uiPriority w:val="0"/>
    <w:rPr>
      <w:color w:val="77FFFF"/>
      <w:sz w:val="24"/>
    </w:rPr>
  </w:style>
  <w:style w:type="character" w:customStyle="1" w:styleId="238">
    <w:name w:val="标题 3 字符"/>
    <w:link w:val="5"/>
    <w:qFormat/>
    <w:uiPriority w:val="0"/>
    <w:rPr>
      <w:rFonts w:eastAsia="宋体"/>
      <w:b/>
      <w:kern w:val="2"/>
      <w:sz w:val="32"/>
      <w:lang w:val="en-US" w:eastAsia="zh-CN"/>
    </w:rPr>
  </w:style>
  <w:style w:type="character" w:customStyle="1" w:styleId="239">
    <w:name w:val="Char Char11"/>
    <w:qFormat/>
    <w:uiPriority w:val="0"/>
    <w:rPr>
      <w:rFonts w:ascii="宋体"/>
      <w:kern w:val="2"/>
      <w:sz w:val="28"/>
    </w:rPr>
  </w:style>
  <w:style w:type="character" w:customStyle="1" w:styleId="240">
    <w:name w:val="Char Char3"/>
    <w:qFormat/>
    <w:uiPriority w:val="0"/>
    <w:rPr>
      <w:rFonts w:eastAsia="宋体"/>
      <w:kern w:val="2"/>
      <w:sz w:val="18"/>
      <w:lang w:val="en-US" w:eastAsia="zh-CN"/>
    </w:rPr>
  </w:style>
  <w:style w:type="paragraph" w:customStyle="1" w:styleId="241">
    <w:name w:val="正文_1"/>
    <w:qFormat/>
    <w:uiPriority w:val="0"/>
    <w:pPr>
      <w:widowControl w:val="0"/>
      <w:jc w:val="both"/>
    </w:pPr>
    <w:rPr>
      <w:rFonts w:ascii="Calibri" w:hAnsi="Calibri" w:eastAsia="宋体" w:cs="Times New Roman"/>
      <w:kern w:val="2"/>
      <w:sz w:val="21"/>
      <w:szCs w:val="22"/>
      <w:lang w:val="en-US" w:eastAsia="zh-CN" w:bidi="ar-SA"/>
    </w:rPr>
  </w:style>
  <w:style w:type="paragraph" w:styleId="242">
    <w:name w:val="List Paragraph"/>
    <w:basedOn w:val="1"/>
    <w:qFormat/>
    <w:uiPriority w:val="34"/>
    <w:pPr>
      <w:ind w:firstLine="420" w:firstLineChars="200"/>
    </w:pPr>
  </w:style>
  <w:style w:type="paragraph" w:customStyle="1" w:styleId="243">
    <w:name w:val="修订1"/>
    <w:hidden/>
    <w:semiHidden/>
    <w:qFormat/>
    <w:uiPriority w:val="99"/>
    <w:rPr>
      <w:rFonts w:ascii="Times New Roman" w:hAnsi="Times New Roman" w:eastAsia="宋体" w:cs="Times New Roman"/>
      <w:kern w:val="2"/>
      <w:sz w:val="28"/>
      <w:lang w:val="en-US" w:eastAsia="zh-CN" w:bidi="ar-SA"/>
    </w:rPr>
  </w:style>
  <w:style w:type="paragraph" w:customStyle="1" w:styleId="244">
    <w:name w:val="修订2"/>
    <w:hidden/>
    <w:semiHidden/>
    <w:qFormat/>
    <w:uiPriority w:val="99"/>
    <w:rPr>
      <w:rFonts w:ascii="Times New Roman" w:hAnsi="Times New Roman" w:eastAsia="宋体" w:cs="Times New Roman"/>
      <w:kern w:val="2"/>
      <w:sz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header" Target="header6.xml"/><Relationship Id="rId17" Type="http://schemas.openxmlformats.org/officeDocument/2006/relationships/header" Target="header5.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Manager>罗成</Manager>
  <Company>重庆市政府采购中心</Company>
  <Pages>56</Pages>
  <Words>4635</Words>
  <Characters>26423</Characters>
  <Lines>220</Lines>
  <Paragraphs>61</Paragraphs>
  <TotalTime>5</TotalTime>
  <ScaleCrop>false</ScaleCrop>
  <LinksUpToDate>false</LinksUpToDate>
  <CharactersWithSpaces>30997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2023-09-11T08:47:00Z</dcterms:created>
  <dc:creator>罗成</dc:creator>
  <cp:lastModifiedBy>橙汁儿</cp:lastModifiedBy>
  <cp:lastPrinted>2020-11-09T09:41:00Z</cp:lastPrinted>
  <dcterms:modified xsi:type="dcterms:W3CDTF">2023-09-12T08:53:19Z</dcterms:modified>
  <dc:title>竞争性谈判文件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8A851234E2854761AE1B26B3FB2A0803_13</vt:lpwstr>
  </property>
</Properties>
</file>