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8"/>
                    <a:srcRect/>
                    <a:stretch>
                      <a:fillRect/>
                    </a:stretch>
                  </pic:blipFill>
                  <pic:spPr>
                    <a:xfrm>
                      <a:off x="0" y="0"/>
                      <a:ext cx="2352675" cy="755650"/>
                    </a:xfrm>
                    <a:prstGeom prst="rect">
                      <a:avLst/>
                    </a:prstGeom>
                    <a:noFill/>
                    <a:ln w="9525" cmpd="sng">
                      <a:noFill/>
                      <a:miter lim="800000"/>
                      <a:headEnd/>
                      <a:tailEnd/>
                    </a:ln>
                  </pic:spPr>
                </pic:pic>
              </a:graphicData>
            </a:graphic>
          </wp:anchor>
        </w:drawing>
      </w:r>
    </w:p>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p>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p>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p>
    <w:p>
      <w:pPr>
        <w:spacing w:line="760" w:lineRule="exact"/>
        <w:jc w:val="center"/>
        <w:rPr>
          <w:rFonts w:ascii="方正小标宋简体" w:eastAsia="方正小标宋简体"/>
          <w:color w:val="000000" w:themeColor="text1"/>
          <w:sz w:val="72"/>
          <w:szCs w:val="72"/>
          <w:highlight w:val="none"/>
          <w14:textFill>
            <w14:solidFill>
              <w14:schemeClr w14:val="tx1"/>
            </w14:solidFill>
          </w14:textFill>
        </w:rPr>
      </w:pPr>
      <w:r>
        <w:rPr>
          <w:rFonts w:hint="eastAsia" w:ascii="方正小标宋简体" w:eastAsia="方正小标宋简体"/>
          <w:color w:val="000000" w:themeColor="text1"/>
          <w:sz w:val="72"/>
          <w:szCs w:val="72"/>
          <w:highlight w:val="none"/>
          <w14:textFill>
            <w14:solidFill>
              <w14:schemeClr w14:val="tx1"/>
            </w14:solidFill>
          </w14:textFill>
        </w:rPr>
        <w:t>重庆医科大学</w:t>
      </w:r>
    </w:p>
    <w:p>
      <w:pPr>
        <w:spacing w:line="760" w:lineRule="exact"/>
        <w:jc w:val="center"/>
        <w:rPr>
          <w:rFonts w:ascii="方正小标宋简体" w:eastAsia="方正小标宋简体"/>
          <w:color w:val="000000" w:themeColor="text1"/>
          <w:sz w:val="72"/>
          <w:szCs w:val="72"/>
          <w:highlight w:val="none"/>
          <w14:textFill>
            <w14:solidFill>
              <w14:schemeClr w14:val="tx1"/>
            </w14:solidFill>
          </w14:textFill>
        </w:rPr>
      </w:pPr>
    </w:p>
    <w:p>
      <w:pPr>
        <w:spacing w:line="760" w:lineRule="exact"/>
        <w:jc w:val="center"/>
        <w:outlineLvl w:val="0"/>
        <w:rPr>
          <w:rFonts w:ascii="方正小标宋简体" w:eastAsia="方正小标宋简体"/>
          <w:color w:val="000000" w:themeColor="text1"/>
          <w:sz w:val="72"/>
          <w:szCs w:val="72"/>
          <w:highlight w:val="none"/>
          <w14:textFill>
            <w14:solidFill>
              <w14:schemeClr w14:val="tx1"/>
            </w14:solidFill>
          </w14:textFill>
        </w:rPr>
      </w:pPr>
      <w:r>
        <w:rPr>
          <w:rFonts w:hint="eastAsia" w:ascii="方正小标宋简体" w:eastAsia="方正小标宋简体"/>
          <w:color w:val="000000" w:themeColor="text1"/>
          <w:sz w:val="72"/>
          <w:szCs w:val="72"/>
          <w:highlight w:val="none"/>
          <w14:textFill>
            <w14:solidFill>
              <w14:schemeClr w14:val="tx1"/>
            </w14:solidFill>
          </w14:textFill>
        </w:rPr>
        <w:t>竞争</w:t>
      </w:r>
      <w:bookmarkStart w:id="100" w:name="_GoBack"/>
      <w:bookmarkEnd w:id="100"/>
      <w:r>
        <w:rPr>
          <w:rFonts w:hint="eastAsia" w:ascii="方正小标宋简体" w:eastAsia="方正小标宋简体"/>
          <w:color w:val="000000" w:themeColor="text1"/>
          <w:sz w:val="72"/>
          <w:szCs w:val="72"/>
          <w:highlight w:val="none"/>
          <w14:textFill>
            <w14:solidFill>
              <w14:schemeClr w14:val="tx1"/>
            </w14:solidFill>
          </w14:textFill>
        </w:rPr>
        <w:t>性谈判文件</w:t>
      </w:r>
    </w:p>
    <w:p>
      <w:pPr>
        <w:spacing w:line="760" w:lineRule="exact"/>
        <w:rPr>
          <w:rFonts w:ascii="方正仿宋_GBK" w:hAnsi="仿宋" w:eastAsia="方正仿宋_GBK"/>
          <w:color w:val="000000" w:themeColor="text1"/>
          <w:spacing w:val="80"/>
          <w:sz w:val="44"/>
          <w:szCs w:val="44"/>
          <w:highlight w:val="none"/>
          <w14:textFill>
            <w14:solidFill>
              <w14:schemeClr w14:val="tx1"/>
            </w14:solidFill>
          </w14:textFill>
        </w:rPr>
      </w:pPr>
    </w:p>
    <w:p>
      <w:pPr>
        <w:spacing w:line="760" w:lineRule="exact"/>
        <w:jc w:val="center"/>
        <w:rPr>
          <w:rFonts w:ascii="方正仿宋_GBK" w:eastAsia="方正仿宋_GBK"/>
          <w:color w:val="000000" w:themeColor="text1"/>
          <w:spacing w:val="80"/>
          <w:sz w:val="44"/>
          <w:szCs w:val="44"/>
          <w:highlight w:val="none"/>
          <w14:textFill>
            <w14:solidFill>
              <w14:schemeClr w14:val="tx1"/>
            </w14:solidFill>
          </w14:textFill>
        </w:rPr>
      </w:pPr>
    </w:p>
    <w:p>
      <w:pPr>
        <w:spacing w:line="760" w:lineRule="exact"/>
        <w:jc w:val="left"/>
        <w:rPr>
          <w:rFonts w:hint="eastAsia" w:ascii="方正仿宋_GBK" w:eastAsia="方正仿宋_GBK"/>
          <w:color w:val="000000" w:themeColor="text1"/>
          <w:sz w:val="44"/>
          <w:szCs w:val="44"/>
          <w:highlight w:val="none"/>
          <w14:textFill>
            <w14:solidFill>
              <w14:schemeClr w14:val="tx1"/>
            </w14:solidFill>
          </w14:textFill>
        </w:rPr>
      </w:pPr>
      <w:r>
        <w:rPr>
          <w:rFonts w:hint="eastAsia" w:ascii="方正仿宋_GBK" w:eastAsia="方正仿宋_GBK"/>
          <w:color w:val="000000" w:themeColor="text1"/>
          <w:sz w:val="44"/>
          <w:szCs w:val="44"/>
          <w:highlight w:val="none"/>
          <w14:textFill>
            <w14:solidFill>
              <w14:schemeClr w14:val="tx1"/>
            </w14:solidFill>
          </w14:textFill>
        </w:rPr>
        <w:t>采购计划编号：</w:t>
      </w:r>
      <w:r>
        <w:rPr>
          <w:rFonts w:hint="eastAsia" w:ascii="方正仿宋_GBK" w:eastAsia="方正仿宋_GBK"/>
          <w:color w:val="000000" w:themeColor="text1"/>
          <w:sz w:val="44"/>
          <w:szCs w:val="44"/>
          <w:highlight w:val="none"/>
          <w14:textFill>
            <w14:solidFill>
              <w14:schemeClr w14:val="tx1"/>
            </w14:solidFill>
          </w14:textFill>
        </w:rPr>
        <w:t>JC202306130019</w:t>
      </w:r>
    </w:p>
    <w:p>
      <w:pPr>
        <w:spacing w:line="760" w:lineRule="exact"/>
        <w:jc w:val="center"/>
        <w:rPr>
          <w:rFonts w:ascii="宋体" w:hAnsi="宋体"/>
          <w:color w:val="000000" w:themeColor="text1"/>
          <w:sz w:val="36"/>
          <w:szCs w:val="36"/>
          <w:highlight w:val="none"/>
          <w14:textFill>
            <w14:solidFill>
              <w14:schemeClr w14:val="tx1"/>
            </w14:solidFill>
          </w14:textFill>
        </w:rPr>
      </w:pPr>
      <w:r>
        <w:rPr>
          <w:rFonts w:hint="eastAsia" w:ascii="方正仿宋_GBK" w:eastAsia="方正仿宋_GBK"/>
          <w:color w:val="000000" w:themeColor="text1"/>
          <w:sz w:val="44"/>
          <w:szCs w:val="44"/>
          <w:highlight w:val="none"/>
          <w14:textFill>
            <w14:solidFill>
              <w14:schemeClr w14:val="tx1"/>
            </w14:solidFill>
          </w14:textFill>
        </w:rPr>
        <w:t>采购项目名称：</w:t>
      </w:r>
      <w:r>
        <w:rPr>
          <w:rFonts w:hint="eastAsia" w:ascii="方正仿宋_GBK" w:eastAsia="方正仿宋_GBK"/>
          <w:color w:val="000000" w:themeColor="text1"/>
          <w:sz w:val="44"/>
          <w:szCs w:val="44"/>
          <w:highlight w:val="none"/>
          <w:lang w:eastAsia="zh-CN"/>
          <w14:textFill>
            <w14:solidFill>
              <w14:schemeClr w14:val="tx1"/>
            </w14:solidFill>
          </w14:textFill>
        </w:rPr>
        <w:t>重庆医科大学基础医学院通风柜及配套设备采购</w:t>
      </w:r>
    </w:p>
    <w:p>
      <w:pPr>
        <w:spacing w:line="760" w:lineRule="exact"/>
        <w:jc w:val="center"/>
        <w:rPr>
          <w:rFonts w:ascii="宋体" w:hAnsi="宋体"/>
          <w:color w:val="000000" w:themeColor="text1"/>
          <w:sz w:val="36"/>
          <w:szCs w:val="36"/>
          <w:highlight w:val="none"/>
          <w14:textFill>
            <w14:solidFill>
              <w14:schemeClr w14:val="tx1"/>
            </w14:solidFill>
          </w14:textFill>
        </w:rPr>
      </w:pPr>
    </w:p>
    <w:p>
      <w:pPr>
        <w:spacing w:line="760" w:lineRule="exact"/>
        <w:jc w:val="center"/>
        <w:rPr>
          <w:rFonts w:hint="eastAsia" w:ascii="宋体" w:hAnsi="宋体"/>
          <w:color w:val="000000" w:themeColor="text1"/>
          <w:sz w:val="36"/>
          <w:szCs w:val="36"/>
          <w:highlight w:val="none"/>
          <w14:textFill>
            <w14:solidFill>
              <w14:schemeClr w14:val="tx1"/>
            </w14:solidFill>
          </w14:textFill>
        </w:rPr>
      </w:pPr>
    </w:p>
    <w:p>
      <w:pPr>
        <w:spacing w:line="760" w:lineRule="exact"/>
        <w:jc w:val="center"/>
        <w:rPr>
          <w:rFonts w:hint="eastAsia" w:ascii="宋体" w:hAnsi="宋体"/>
          <w:color w:val="000000" w:themeColor="text1"/>
          <w:sz w:val="36"/>
          <w:szCs w:val="36"/>
          <w:highlight w:val="none"/>
          <w14:textFill>
            <w14:solidFill>
              <w14:schemeClr w14:val="tx1"/>
            </w14:solidFill>
          </w14:textFill>
        </w:rPr>
      </w:pPr>
    </w:p>
    <w:p>
      <w:pPr>
        <w:spacing w:line="760" w:lineRule="exact"/>
        <w:jc w:val="center"/>
        <w:rPr>
          <w:rFonts w:asci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采购人：重庆医科大学</w:t>
      </w:r>
    </w:p>
    <w:p>
      <w:pPr>
        <w:spacing w:line="760" w:lineRule="exact"/>
        <w:jc w:val="center"/>
        <w:rPr>
          <w:rFonts w:ascii="宋体"/>
          <w:color w:val="000000" w:themeColor="text1"/>
          <w:sz w:val="36"/>
          <w:szCs w:val="36"/>
          <w:highlight w:val="none"/>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0"/>
          <w:cols w:space="720" w:num="1"/>
          <w:titlePg/>
          <w:docGrid w:linePitch="380" w:charSpace="-5735"/>
        </w:sectPr>
      </w:pPr>
      <w:r>
        <w:rPr>
          <w:rFonts w:hint="eastAsia" w:ascii="宋体" w:hAnsi="宋体"/>
          <w:color w:val="000000" w:themeColor="text1"/>
          <w:sz w:val="36"/>
          <w:szCs w:val="36"/>
          <w:highlight w:val="none"/>
          <w14:textFill>
            <w14:solidFill>
              <w14:schemeClr w14:val="tx1"/>
            </w14:solidFill>
          </w14:textFill>
        </w:rPr>
        <w:t>二〇二三年</w:t>
      </w:r>
      <w:r>
        <w:rPr>
          <w:rFonts w:hint="eastAsia" w:ascii="宋体" w:hAnsi="宋体"/>
          <w:color w:val="000000" w:themeColor="text1"/>
          <w:sz w:val="36"/>
          <w:szCs w:val="36"/>
          <w:highlight w:val="none"/>
          <w:lang w:val="en-US" w:eastAsia="zh-CN"/>
          <w14:textFill>
            <w14:solidFill>
              <w14:schemeClr w14:val="tx1"/>
            </w14:solidFill>
          </w14:textFill>
        </w:rPr>
        <w:t>七</w:t>
      </w:r>
      <w:r>
        <w:rPr>
          <w:rFonts w:hint="eastAsia" w:ascii="宋体" w:hAnsi="宋体"/>
          <w:color w:val="000000" w:themeColor="text1"/>
          <w:sz w:val="36"/>
          <w:szCs w:val="36"/>
          <w:highlight w:val="none"/>
          <w14:textFill>
            <w14:solidFill>
              <w14:schemeClr w14:val="tx1"/>
            </w14:solidFill>
          </w14:textFill>
        </w:rPr>
        <w:t>月</w:t>
      </w:r>
    </w:p>
    <w:p>
      <w:pPr>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目录</w:t>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TOC \o "1-3" \h \z </w:instrText>
      </w:r>
      <w:r>
        <w:rPr>
          <w:rFonts w:ascii="方正仿宋_GBK" w:eastAsia="方正仿宋_GBK"/>
          <w:color w:val="000000" w:themeColor="text1"/>
          <w:szCs w:val="28"/>
          <w:highlight w:val="none"/>
          <w14:textFill>
            <w14:solidFill>
              <w14:schemeClr w14:val="tx1"/>
            </w14:solidFill>
          </w14:textFill>
        </w:rPr>
        <w:fldChar w:fldCharType="separate"/>
      </w: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_Toc15978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第一篇</w:t>
      </w:r>
      <w:r>
        <w:rPr>
          <w:rFonts w:hint="eastAsia" w:ascii="黑体" w:hAnsi="黑体"/>
          <w:color w:val="000000" w:themeColor="text1"/>
          <w:szCs w:val="44"/>
          <w:highlight w:val="none"/>
          <w:lang w:val="en-US" w:eastAsia="zh-CN"/>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竞争性谈判邀请书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_Toc15978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_Toc3968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一、竞争性谈判内容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_Toc3968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_Toc10703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二、资金来源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_Toc10703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_Toc13913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三、谈判资格</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_Toc13913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_Toc12745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四、谈判有关说明</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_Toc12745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_Toc511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五、保证金</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_Toc511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- 5 -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_Toc6330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bCs/>
          <w:color w:val="000000" w:themeColor="text1"/>
          <w:szCs w:val="28"/>
          <w:highlight w:val="none"/>
          <w14:textFill>
            <w14:solidFill>
              <w14:schemeClr w14:val="tx1"/>
            </w14:solidFill>
          </w14:textFill>
        </w:rPr>
        <w:t>六、采购项目需落实的政府采购政策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_Toc6330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_Toc4518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bCs/>
          <w:color w:val="000000" w:themeColor="text1"/>
          <w:szCs w:val="28"/>
          <w:highlight w:val="none"/>
          <w14:textFill>
            <w14:solidFill>
              <w14:schemeClr w14:val="tx1"/>
            </w14:solidFill>
          </w14:textFill>
        </w:rPr>
        <w:t>七、其它有关规定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_Toc4518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- 7 -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_Toc13814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bCs/>
          <w:color w:val="000000" w:themeColor="text1"/>
          <w:szCs w:val="28"/>
          <w:highlight w:val="none"/>
          <w14:textFill>
            <w14:solidFill>
              <w14:schemeClr w14:val="tx1"/>
            </w14:solidFill>
          </w14:textFill>
        </w:rPr>
        <w:t>八、联系方式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_Toc13814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- 8 -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_Toc2173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第二篇</w:t>
      </w:r>
      <w:r>
        <w:rPr>
          <w:rFonts w:hint="eastAsia" w:ascii="黑体" w:hAnsi="黑体"/>
          <w:color w:val="000000" w:themeColor="text1"/>
          <w:szCs w:val="44"/>
          <w:highlight w:val="none"/>
          <w:lang w:val="en-US" w:eastAsia="zh-CN"/>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供应商须知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_Toc2173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_Toc19574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一、谈判费用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_Toc19574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_Toc8206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二、竞争性谈判文件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_Toc8206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_Toc4141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三、谈判要求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_Toc4141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_Toc25295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四、谈判程序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_Toc25295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_Toc5847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五、评审依据</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_Toc5847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_Toc30756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六、成交原则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_Toc30756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_Toc6273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七、成交通知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_Toc6273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_Toc30032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八、关于质疑和投诉</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_Toc30032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_Toc17694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九、签订合同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_Toc17694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- 21 -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_Toc821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第三篇</w:t>
      </w:r>
      <w:r>
        <w:rPr>
          <w:rFonts w:hint="eastAsia" w:ascii="黑体" w:hAnsi="黑体"/>
          <w:color w:val="000000" w:themeColor="text1"/>
          <w:szCs w:val="44"/>
          <w:highlight w:val="none"/>
          <w:lang w:val="en-US" w:eastAsia="zh-CN"/>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谈判项目技术需求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_Toc821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_Toc24539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default" w:ascii="方正仿宋_GBK" w:eastAsia="方正仿宋_GBK"/>
          <w:color w:val="000000" w:themeColor="text1"/>
          <w:szCs w:val="28"/>
          <w:highlight w:val="none"/>
          <w14:textFill>
            <w14:solidFill>
              <w14:schemeClr w14:val="tx1"/>
            </w14:solidFill>
          </w14:textFill>
        </w:rPr>
        <w:t xml:space="preserve">一、 </w:t>
      </w:r>
      <w:r>
        <w:rPr>
          <w:rFonts w:hint="eastAsia" w:ascii="方正仿宋_GBK" w:eastAsia="方正仿宋_GBK"/>
          <w:color w:val="000000" w:themeColor="text1"/>
          <w:szCs w:val="28"/>
          <w:highlight w:val="none"/>
          <w14:textFill>
            <w14:solidFill>
              <w14:schemeClr w14:val="tx1"/>
            </w14:solidFill>
          </w14:textFill>
        </w:rPr>
        <w:t>项目一览表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_Toc24539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_Toc26324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二、技术规格及质量要求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_Toc26324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_Toc5660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第四篇</w:t>
      </w:r>
      <w:r>
        <w:rPr>
          <w:rFonts w:hint="eastAsia" w:ascii="黑体" w:hAnsi="黑体"/>
          <w:color w:val="000000" w:themeColor="text1"/>
          <w:szCs w:val="44"/>
          <w:highlight w:val="none"/>
          <w:lang w:val="en-US" w:eastAsia="zh-CN"/>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谈判项目服务需求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_Toc5660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- 25 -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_Toc10972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hAnsi="宋体" w:eastAsia="方正仿宋_GBK"/>
          <w:color w:val="000000" w:themeColor="text1"/>
          <w:szCs w:val="28"/>
          <w:highlight w:val="none"/>
          <w14:textFill>
            <w14:solidFill>
              <w14:schemeClr w14:val="tx1"/>
            </w14:solidFill>
          </w14:textFill>
        </w:rPr>
        <w:t>一、交货时间、地点及验收方式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_Toc10972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- 25 -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_Toc30528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二、质量保证及售后服务</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_Toc30528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_Toc23261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三、报价要求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_Toc23261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- 27 -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_Toc23451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五、知识产权</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_Toc23451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- 27 -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_Toc1233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六、培训</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_Toc1233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- 28 -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_Toc15442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七、其他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_Toc15442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- 28 -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_Toc7186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第五篇</w:t>
      </w:r>
      <w:r>
        <w:rPr>
          <w:rFonts w:hint="eastAsia" w:ascii="黑体" w:hAnsi="黑体"/>
          <w:color w:val="000000" w:themeColor="text1"/>
          <w:szCs w:val="44"/>
          <w:highlight w:val="none"/>
          <w:lang w:val="en-US" w:eastAsia="zh-CN"/>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合同草案条款</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_Toc7186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_Toc19193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第六篇响应文件格式要求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_Toc19193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- 40 -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_Toc28930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一、经济部分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_Toc28930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_Toc20250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二、技术部分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_Toc20250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- 45 -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_Toc19180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三、服务部分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_Toc19180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_Toc16662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四、资格条件及其他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_Toc16662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- 47 -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_Toc24037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五、其他应提供的资料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_Toc24037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- 52 -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02"/>
        </w:tabs>
        <w:spacing w:line="360" w:lineRule="exact"/>
        <w:ind w:left="0" w:leftChars="0"/>
        <w:rPr>
          <w:rFonts w:ascii="方正仿宋_GBK" w:hAnsi="Calibri" w:eastAsia="方正仿宋_GBK"/>
          <w:color w:val="000000" w:themeColor="text1"/>
          <w:szCs w:val="28"/>
          <w:highlight w:val="none"/>
          <w14:textFill>
            <w14:solidFill>
              <w14:schemeClr w14:val="tx1"/>
            </w14:solidFill>
          </w14:textFill>
        </w:rPr>
        <w:sectPr>
          <w:headerReference r:id="rId10" w:type="first"/>
          <w:footerReference r:id="rId13" w:type="first"/>
          <w:headerReference r:id="rId9" w:type="default"/>
          <w:footerReference r:id="rId11" w:type="default"/>
          <w:footerReference r:id="rId12" w:type="even"/>
          <w:pgSz w:w="11907" w:h="16840"/>
          <w:pgMar w:top="1134" w:right="1191" w:bottom="1134" w:left="1304" w:header="851" w:footer="992" w:gutter="0"/>
          <w:pgNumType w:fmt="numberInDash" w:start="1"/>
          <w:cols w:space="720" w:num="1"/>
          <w:docGrid w:linePitch="380" w:charSpace="-5735"/>
        </w:sectPr>
      </w:pPr>
      <w:r>
        <w:rPr>
          <w:rFonts w:ascii="方正仿宋_GBK" w:eastAsia="方正仿宋_GBK"/>
          <w:color w:val="000000" w:themeColor="text1"/>
          <w:szCs w:val="28"/>
          <w:highlight w:val="none"/>
          <w14:textFill>
            <w14:solidFill>
              <w14:schemeClr w14:val="tx1"/>
            </w14:solidFill>
          </w14:textFill>
        </w:rPr>
        <w:fldChar w:fldCharType="end"/>
      </w: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bookmarkStart w:id="0" w:name="_Toc11641050"/>
      <w:bookmarkStart w:id="1" w:name="_Toc12789052"/>
      <w:bookmarkStart w:id="2" w:name="_Toc15978"/>
      <w:r>
        <w:rPr>
          <w:rFonts w:hint="eastAsia" w:ascii="黑体" w:hAnsi="黑体"/>
          <w:b w:val="0"/>
          <w:color w:val="000000" w:themeColor="text1"/>
          <w:sz w:val="44"/>
          <w:szCs w:val="44"/>
          <w:highlight w:val="none"/>
          <w14:textFill>
            <w14:solidFill>
              <w14:schemeClr w14:val="tx1"/>
            </w14:solidFill>
          </w14:textFill>
        </w:rPr>
        <w:t>第一篇</w:t>
      </w:r>
      <w:r>
        <w:rPr>
          <w:rFonts w:hint="eastAsia" w:ascii="黑体" w:hAnsi="黑体"/>
          <w:b w:val="0"/>
          <w:color w:val="000000" w:themeColor="text1"/>
          <w:sz w:val="44"/>
          <w:szCs w:val="44"/>
          <w:highlight w:val="none"/>
          <w:lang w:val="en-US" w:eastAsia="zh-CN"/>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竞争性谈判邀请书</w:t>
      </w:r>
      <w:bookmarkEnd w:id="0"/>
      <w:bookmarkEnd w:id="1"/>
      <w:bookmarkEnd w:id="2"/>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bookmarkStart w:id="3" w:name="_Toc373860293"/>
      <w:bookmarkStart w:id="4" w:name="_Toc317775178"/>
      <w:r>
        <w:rPr>
          <w:rFonts w:hint="eastAsia" w:ascii="方正仿宋_GBK" w:hAnsi="宋体" w:eastAsia="方正仿宋_GBK"/>
          <w:color w:val="000000" w:themeColor="text1"/>
          <w:szCs w:val="28"/>
          <w:highlight w:val="none"/>
          <w14:textFill>
            <w14:solidFill>
              <w14:schemeClr w14:val="tx1"/>
            </w14:solidFill>
          </w14:textFill>
        </w:rPr>
        <w:t>重庆医科大学对“</w:t>
      </w:r>
      <w: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t>重庆医科大学基础医学院通风柜及配套设备采购</w:t>
      </w:r>
      <w:r>
        <w:rPr>
          <w:rFonts w:hint="eastAsia" w:ascii="方正仿宋_GBK" w:hAnsi="宋体" w:eastAsia="方正仿宋_GBK"/>
          <w:color w:val="000000" w:themeColor="text1"/>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项目进行竞争性谈判采购。欢迎有资格的供应商前来参加谈判。</w:t>
      </w:r>
    </w:p>
    <w:p>
      <w:pPr>
        <w:pStyle w:val="4"/>
        <w:spacing w:before="0" w:after="0" w:line="560" w:lineRule="exact"/>
        <w:ind w:firstLine="420" w:firstLineChars="150"/>
        <w:rPr>
          <w:rFonts w:ascii="方正仿宋_GBK" w:eastAsia="方正仿宋_GBK"/>
          <w:b w:val="0"/>
          <w:color w:val="000000" w:themeColor="text1"/>
          <w:sz w:val="28"/>
          <w:szCs w:val="28"/>
          <w:highlight w:val="none"/>
          <w14:textFill>
            <w14:solidFill>
              <w14:schemeClr w14:val="tx1"/>
            </w14:solidFill>
          </w14:textFill>
        </w:rPr>
      </w:pPr>
      <w:bookmarkStart w:id="5" w:name="_Toc535312130"/>
      <w:bookmarkStart w:id="6" w:name="_Toc317775175"/>
      <w:bookmarkStart w:id="7" w:name="_Toc3968"/>
      <w:bookmarkStart w:id="8" w:name="_Toc313893526"/>
      <w:r>
        <w:rPr>
          <w:rFonts w:hint="eastAsia" w:ascii="方正仿宋_GBK" w:eastAsia="方正仿宋_GBK"/>
          <w:b w:val="0"/>
          <w:color w:val="000000" w:themeColor="text1"/>
          <w:sz w:val="28"/>
          <w:szCs w:val="28"/>
          <w:highlight w:val="none"/>
          <w14:textFill>
            <w14:solidFill>
              <w14:schemeClr w14:val="tx1"/>
            </w14:solidFill>
          </w14:textFill>
        </w:rPr>
        <w:t>一、竞争性谈判内容</w:t>
      </w:r>
      <w:bookmarkEnd w:id="5"/>
      <w:bookmarkEnd w:id="6"/>
      <w:bookmarkEnd w:id="7"/>
      <w:bookmarkEnd w:id="8"/>
    </w:p>
    <w:tbl>
      <w:tblPr>
        <w:tblStyle w:val="57"/>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1584"/>
        <w:gridCol w:w="1949"/>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项目名称</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最高限价（万元）</w:t>
            </w:r>
          </w:p>
        </w:tc>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保证金</w:t>
            </w:r>
          </w:p>
          <w:p>
            <w:pPr>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（万元）</w:t>
            </w:r>
          </w:p>
        </w:tc>
        <w:tc>
          <w:tcPr>
            <w:tcW w:w="29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pPr>
            <w:bookmarkStart w:id="9" w:name="_Hlk344477914"/>
            <w: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t>重庆医科大学基础医学院通风柜及配套设备采购</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方正仿宋_GBK" w:hAnsi="宋体" w:eastAsia="方正仿宋_GBK"/>
                <w:color w:val="000000" w:themeColor="text1"/>
                <w:szCs w:val="28"/>
                <w:highlight w:val="none"/>
                <w:lang w:val="en-US" w:eastAsia="zh-CN"/>
                <w14:textFill>
                  <w14:solidFill>
                    <w14:schemeClr w14:val="tx1"/>
                  </w14:solidFill>
                </w14:textFill>
              </w:rPr>
            </w:pPr>
            <w:r>
              <w:rPr>
                <w:rFonts w:hint="eastAsia" w:ascii="方正仿宋_GBK" w:hAnsi="宋体" w:eastAsia="方正仿宋_GBK"/>
                <w:color w:val="000000" w:themeColor="text1"/>
                <w:szCs w:val="28"/>
                <w:highlight w:val="none"/>
                <w:lang w:val="en-US" w:eastAsia="zh-CN"/>
                <w14:textFill>
                  <w14:solidFill>
                    <w14:schemeClr w14:val="tx1"/>
                  </w14:solidFill>
                </w14:textFill>
              </w:rPr>
              <w:t>29.95</w:t>
            </w:r>
          </w:p>
        </w:tc>
        <w:tc>
          <w:tcPr>
            <w:tcW w:w="194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方正仿宋_GBK" w:hAnsi="宋体" w:eastAsia="方正仿宋_GBK"/>
                <w:color w:val="000000" w:themeColor="text1"/>
                <w:szCs w:val="28"/>
                <w:highlight w:val="none"/>
                <w:lang w:val="en-US" w:eastAsia="zh-CN"/>
                <w14:textFill>
                  <w14:solidFill>
                    <w14:schemeClr w14:val="tx1"/>
                  </w14:solidFill>
                </w14:textFill>
              </w:rPr>
            </w:pPr>
            <w:r>
              <w:rPr>
                <w:rFonts w:hint="eastAsia" w:ascii="方正仿宋_GBK" w:hAnsi="宋体" w:eastAsia="方正仿宋_GBK"/>
                <w:color w:val="000000" w:themeColor="text1"/>
                <w:szCs w:val="28"/>
                <w:highlight w:val="none"/>
                <w:lang w:val="en-US" w:eastAsia="zh-CN"/>
                <w14:textFill>
                  <w14:solidFill>
                    <w14:schemeClr w14:val="tx1"/>
                  </w14:solidFill>
                </w14:textFill>
              </w:rPr>
              <w:t>0.6</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color w:val="000000" w:themeColor="text1"/>
                <w:kern w:val="0"/>
                <w:szCs w:val="28"/>
                <w:highlight w:val="none"/>
                <w14:textFill>
                  <w14:solidFill>
                    <w14:schemeClr w14:val="tx1"/>
                  </w14:solidFill>
                </w14:textFill>
              </w:rPr>
            </w:pPr>
          </w:p>
        </w:tc>
      </w:tr>
      <w:bookmarkEnd w:id="9"/>
    </w:tbl>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10" w:name="_Toc10703"/>
      <w:r>
        <w:rPr>
          <w:rFonts w:hint="eastAsia" w:ascii="方正仿宋_GBK" w:eastAsia="方正仿宋_GBK"/>
          <w:b w:val="0"/>
          <w:color w:val="000000" w:themeColor="text1"/>
          <w:sz w:val="28"/>
          <w:szCs w:val="28"/>
          <w:highlight w:val="none"/>
          <w14:textFill>
            <w14:solidFill>
              <w14:schemeClr w14:val="tx1"/>
            </w14:solidFill>
          </w14:textFill>
        </w:rPr>
        <w:t>二、资金来源</w:t>
      </w:r>
      <w:bookmarkEnd w:id="10"/>
    </w:p>
    <w:p>
      <w:pPr>
        <w:spacing w:line="560" w:lineRule="exact"/>
        <w:ind w:firstLine="560" w:firstLineChars="200"/>
        <w:rPr>
          <w:rFonts w:ascii="方正仿宋_GBK" w:hAnsi="仿宋" w:eastAsia="方正仿宋_GBK"/>
          <w:bCs/>
          <w:color w:val="000000" w:themeColor="text1"/>
          <w:szCs w:val="28"/>
          <w:highlight w:val="none"/>
          <w14:textFill>
            <w14:solidFill>
              <w14:schemeClr w14:val="tx1"/>
            </w14:solidFill>
          </w14:textFill>
        </w:rPr>
      </w:pPr>
      <w:r>
        <w:rPr>
          <w:rFonts w:hint="eastAsia" w:ascii="方正仿宋_GBK" w:hAnsi="仿宋" w:eastAsia="方正仿宋_GBK"/>
          <w:bCs/>
          <w:color w:val="000000" w:themeColor="text1"/>
          <w:szCs w:val="28"/>
          <w:highlight w:val="none"/>
          <w14:textFill>
            <w14:solidFill>
              <w14:schemeClr w14:val="tx1"/>
            </w14:solidFill>
          </w14:textFill>
        </w:rPr>
        <w:t>学校自筹，资金已到位。</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11" w:name="_Toc13913"/>
      <w:r>
        <w:rPr>
          <w:rFonts w:hint="eastAsia" w:ascii="方正仿宋_GBK" w:eastAsia="方正仿宋_GBK"/>
          <w:b w:val="0"/>
          <w:color w:val="000000" w:themeColor="text1"/>
          <w:sz w:val="28"/>
          <w:szCs w:val="28"/>
          <w:highlight w:val="none"/>
          <w14:textFill>
            <w14:solidFill>
              <w14:schemeClr w14:val="tx1"/>
            </w14:solidFill>
          </w14:textFill>
        </w:rPr>
        <w:t>三、谈判资格</w:t>
      </w:r>
      <w:bookmarkEnd w:id="11"/>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（一）一般资格条件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具有独立承担民事责任的能力；</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具有良好的商业信誉和健全的财务会计制度；</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具有履行合同所必需的设备和专业技术能力；</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有依法缴纳税收和社会保障资金的良好记录；</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参加政府采购活动前三年内，在经营活动中没有重大违法记录；</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法律、行政法规规定的其他条件。</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12" w:name="_Toc12745"/>
      <w:r>
        <w:rPr>
          <w:rFonts w:hint="eastAsia" w:ascii="方正仿宋_GBK" w:eastAsia="方正仿宋_GBK"/>
          <w:b w:val="0"/>
          <w:color w:val="000000" w:themeColor="text1"/>
          <w:sz w:val="28"/>
          <w:szCs w:val="28"/>
          <w:highlight w:val="none"/>
          <w14:textFill>
            <w14:solidFill>
              <w14:schemeClr w14:val="tx1"/>
            </w14:solidFill>
          </w14:textFill>
        </w:rPr>
        <w:t>四、谈判有关说明</w:t>
      </w:r>
      <w:bookmarkEnd w:id="3"/>
      <w:bookmarkEnd w:id="12"/>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（一）根据《重庆市财政局关于印发〈重庆市政府采购供应商注册及诚信管理暂行办法〉的通知》（渝财采购〔</w:t>
      </w:r>
      <w:r>
        <w:rPr>
          <w:rFonts w:ascii="方正仿宋_GBK" w:eastAsia="方正仿宋_GBK"/>
          <w:color w:val="000000" w:themeColor="text1"/>
          <w:szCs w:val="28"/>
          <w:highlight w:val="none"/>
          <w14:textFill>
            <w14:solidFill>
              <w14:schemeClr w14:val="tx1"/>
            </w14:solidFill>
          </w14:textFill>
        </w:rPr>
        <w:t>2015</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45</w:t>
      </w:r>
      <w:r>
        <w:rPr>
          <w:rFonts w:hint="eastAsia" w:ascii="方正仿宋_GBK" w:eastAsia="方正仿宋_GBK"/>
          <w:color w:val="000000" w:themeColor="text1"/>
          <w:szCs w:val="28"/>
          <w:highlight w:val="none"/>
          <w14:textFill>
            <w14:solidFill>
              <w14:schemeClr w14:val="tx1"/>
            </w14:solidFill>
          </w14:textFill>
        </w:rPr>
        <w:t>号）规定，供应商应按要求进行注册，“行采家”平台（</w:t>
      </w:r>
      <w:r>
        <w:rPr>
          <w:rFonts w:ascii="方正仿宋_GBK" w:eastAsia="方正仿宋_GBK"/>
          <w:color w:val="000000" w:themeColor="text1"/>
          <w:szCs w:val="28"/>
          <w:highlight w:val="none"/>
          <w14:textFill>
            <w14:solidFill>
              <w14:schemeClr w14:val="tx1"/>
            </w14:solidFill>
          </w14:textFill>
        </w:rPr>
        <w:t>www.gec123.com</w:t>
      </w:r>
      <w:r>
        <w:rPr>
          <w:rFonts w:hint="eastAsia" w:ascii="方正仿宋_GBK" w:eastAsia="方正仿宋_GBK"/>
          <w:color w:val="000000" w:themeColor="text1"/>
          <w:szCs w:val="28"/>
          <w:highlight w:val="none"/>
          <w14:textFill>
            <w14:solidFill>
              <w14:schemeClr w14:val="tx1"/>
            </w14:solidFill>
          </w14:textFill>
        </w:rPr>
        <w:t>），登记加入“行采家供应商库”。</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（二）凡有意参加谈判的供应商，请于公告发布之日</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10</w:t>
      </w:r>
      <w:r>
        <w:rPr>
          <w:rFonts w:hint="eastAsia" w:ascii="方正仿宋_GBK" w:eastAsia="方正仿宋_GBK"/>
          <w:color w:val="000000" w:themeColor="text1"/>
          <w:szCs w:val="28"/>
          <w:highlight w:val="none"/>
          <w14:textFill>
            <w14:solidFill>
              <w14:schemeClr w14:val="tx1"/>
            </w14:solidFill>
          </w14:textFill>
        </w:rPr>
        <w:t>日）</w:t>
      </w:r>
      <w:r>
        <w:rPr>
          <w:rFonts w:hint="eastAsia" w:ascii="方正仿宋_GBK" w:eastAsia="方正仿宋_GBK"/>
          <w:color w:val="000000" w:themeColor="text1"/>
          <w:szCs w:val="28"/>
          <w:highlight w:val="none"/>
          <w14:textFill>
            <w14:solidFill>
              <w14:schemeClr w14:val="tx1"/>
            </w14:solidFill>
          </w14:textFill>
        </w:rPr>
        <w:t>起至提交首次响应文件截止时间之前，在重庆医科大学校园网上（主页</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服务大厅</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招投标信息）下载本项目竞争性谈判文件以及图纸、补遗等谈判前公布的所有项目资料，无论供应商下载与否，均视为已知晓所有谈判实质性要求内容。</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（三）报名方式</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报名期限：</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10</w:t>
      </w:r>
      <w:r>
        <w:rPr>
          <w:rFonts w:hint="eastAsia" w:ascii="方正仿宋_GBK" w:eastAsia="方正仿宋_GBK"/>
          <w:color w:val="000000" w:themeColor="text1"/>
          <w:szCs w:val="28"/>
          <w:highlight w:val="none"/>
          <w14:textFill>
            <w14:solidFill>
              <w14:schemeClr w14:val="tx1"/>
            </w14:solidFill>
          </w14:textFill>
        </w:rPr>
        <w:t>日9：00至</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13</w:t>
      </w:r>
      <w:r>
        <w:rPr>
          <w:rFonts w:hint="eastAsia" w:ascii="方正仿宋_GBK" w:eastAsia="方正仿宋_GBK"/>
          <w:color w:val="000000" w:themeColor="text1"/>
          <w:szCs w:val="28"/>
          <w:highlight w:val="none"/>
          <w14:textFill>
            <w14:solidFill>
              <w14:schemeClr w14:val="tx1"/>
            </w14:solidFill>
          </w14:textFill>
        </w:rPr>
        <w:t>日17:00</w:t>
      </w:r>
      <w:r>
        <w:rPr>
          <w:rFonts w:hint="eastAsia" w:ascii="方正仿宋_GBK" w:eastAsia="方正仿宋_GBK"/>
          <w:color w:val="000000" w:themeColor="text1"/>
          <w:szCs w:val="28"/>
          <w:highlight w:val="none"/>
          <w14:textFill>
            <w14:solidFill>
              <w14:schemeClr w14:val="tx1"/>
            </w14:solidFill>
          </w14:textFill>
        </w:rPr>
        <w:t>（法定公休日、法定节假日除外）</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在报名期限内，投标人将保证金汇款凭证（注明采购计划编号、采购项目名称）、供应商名称及地址、联系人姓名及联系方式、电子邮箱地址等相关信息，</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"mailto:在报名截止时间前发送至359781294@qq.com" </w:instrText>
      </w:r>
      <w:r>
        <w:rPr>
          <w:color w:val="000000" w:themeColor="text1"/>
          <w:highlight w:val="none"/>
          <w14:textFill>
            <w14:solidFill>
              <w14:schemeClr w14:val="tx1"/>
            </w14:solidFill>
          </w14:textFill>
        </w:rPr>
        <w:fldChar w:fldCharType="separate"/>
      </w:r>
      <w:r>
        <w:rPr>
          <w:rStyle w:val="63"/>
          <w:rFonts w:hint="eastAsia" w:ascii="方正仿宋_GBK" w:eastAsia="方正仿宋_GBK"/>
          <w:color w:val="000000" w:themeColor="text1"/>
          <w:szCs w:val="28"/>
          <w:highlight w:val="none"/>
          <w14:textFill>
            <w14:solidFill>
              <w14:schemeClr w14:val="tx1"/>
            </w14:solidFill>
          </w14:textFill>
        </w:rPr>
        <w:t>在报名截止时间前发送至</w:t>
      </w:r>
      <w:r>
        <w:rPr>
          <w:rStyle w:val="63"/>
          <w:rFonts w:ascii="方正仿宋_GBK" w:eastAsia="方正仿宋_GBK"/>
          <w:color w:val="000000" w:themeColor="text1"/>
          <w:szCs w:val="28"/>
          <w:highlight w:val="none"/>
          <w14:textFill>
            <w14:solidFill>
              <w14:schemeClr w14:val="tx1"/>
            </w14:solidFill>
          </w14:textFill>
        </w:rPr>
        <w:t>359781294@qq.com</w:t>
      </w:r>
      <w:r>
        <w:rPr>
          <w:rStyle w:val="63"/>
          <w:rFonts w:ascii="方正仿宋_GBK" w:eastAsia="方正仿宋_GBK"/>
          <w:color w:val="000000" w:themeColor="text1"/>
          <w:szCs w:val="28"/>
          <w:highlight w:val="none"/>
          <w14:textFill>
            <w14:solidFill>
              <w14:schemeClr w14:val="tx1"/>
            </w14:solidFill>
          </w14:textFill>
        </w:rPr>
        <w:fldChar w:fldCharType="end"/>
      </w:r>
      <w:r>
        <w:rPr>
          <w:rFonts w:hint="eastAsia" w:ascii="方正仿宋_GBK" w:eastAsia="方正仿宋_GBK"/>
          <w:color w:val="000000" w:themeColor="text1"/>
          <w:szCs w:val="28"/>
          <w:highlight w:val="none"/>
          <w14:textFill>
            <w14:solidFill>
              <w14:schemeClr w14:val="tx1"/>
            </w14:solidFill>
          </w14:textFill>
        </w:rPr>
        <w:t>邮箱。只有在规定时间内发送了报名信息的供应商的响应文件才被接收。</w:t>
      </w:r>
    </w:p>
    <w:p>
      <w:pPr>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收到报名信息后，我校将为其办理进校备案，只有办理了备案的人员才能进入学校。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（四）供应商须满足以下三种要件，其响应文件才被接受：</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、按时递交了响应文件；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、按时报名签到；</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、缴纳了</w:t>
      </w:r>
      <w:r>
        <w:rPr>
          <w:rFonts w:hint="eastAsia" w:ascii="方正仿宋_GBK" w:hAnsi="宋体" w:eastAsia="方正仿宋_GBK" w:cs="宋体"/>
          <w:color w:val="000000" w:themeColor="text1"/>
          <w:kern w:val="0"/>
          <w:szCs w:val="28"/>
          <w:highlight w:val="none"/>
          <w14:textFill>
            <w14:solidFill>
              <w14:schemeClr w14:val="tx1"/>
            </w14:solidFill>
          </w14:textFill>
        </w:rPr>
        <w:t>“</w:t>
      </w:r>
      <w: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t>重庆医科大学基础医学院通风柜及配套设备采购</w:t>
      </w:r>
      <w:r>
        <w:rPr>
          <w:rFonts w:hint="eastAsia" w:ascii="方正仿宋_GBK" w:hAnsi="宋体" w:eastAsia="方正仿宋_GBK" w:cs="宋体"/>
          <w:color w:val="000000" w:themeColor="text1"/>
          <w:kern w:val="0"/>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项目</w:t>
      </w:r>
      <w:r>
        <w:rPr>
          <w:rFonts w:hint="eastAsia" w:ascii="方正仿宋_GBK" w:eastAsia="方正仿宋_GBK"/>
          <w:color w:val="000000" w:themeColor="text1"/>
          <w:szCs w:val="28"/>
          <w:highlight w:val="none"/>
          <w14:textFill>
            <w14:solidFill>
              <w14:schemeClr w14:val="tx1"/>
            </w14:solidFill>
          </w14:textFill>
        </w:rPr>
        <w:t>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（五）谈判地点：重庆医科大学袁家岗校区基础医学院北楼</w:t>
      </w:r>
      <w:r>
        <w:rPr>
          <w:rFonts w:ascii="方正仿宋_GBK" w:eastAsia="方正仿宋_GBK"/>
          <w:color w:val="000000" w:themeColor="text1"/>
          <w:szCs w:val="28"/>
          <w:highlight w:val="none"/>
          <w14:textFill>
            <w14:solidFill>
              <w14:schemeClr w14:val="tx1"/>
            </w14:solidFill>
          </w14:textFill>
        </w:rPr>
        <w:t>136</w:t>
      </w:r>
      <w:r>
        <w:rPr>
          <w:rFonts w:hint="eastAsia" w:ascii="方正仿宋_GBK" w:eastAsia="方正仿宋_GBK"/>
          <w:color w:val="000000" w:themeColor="text1"/>
          <w:szCs w:val="28"/>
          <w:highlight w:val="none"/>
          <w14:textFill>
            <w14:solidFill>
              <w14:schemeClr w14:val="tx1"/>
            </w14:solidFill>
          </w14:textFill>
        </w:rPr>
        <w:t>室</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（六）提交响应文件开始时间：</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14</w:t>
      </w:r>
      <w:r>
        <w:rPr>
          <w:rFonts w:hint="eastAsia" w:ascii="方正仿宋_GBK" w:eastAsia="方正仿宋_GBK"/>
          <w:color w:val="000000" w:themeColor="text1"/>
          <w:szCs w:val="28"/>
          <w:highlight w:val="none"/>
          <w14:textFill>
            <w14:solidFill>
              <w14:schemeClr w14:val="tx1"/>
            </w14:solidFill>
          </w14:textFill>
        </w:rPr>
        <w:t>日北京时间</w:t>
      </w:r>
      <w:r>
        <w:rPr>
          <w:rFonts w:hint="eastAsia" w:ascii="方正仿宋_GBK" w:eastAsia="方正仿宋_GBK"/>
          <w:color w:val="000000" w:themeColor="text1"/>
          <w:szCs w:val="28"/>
          <w:highlight w:val="none"/>
          <w:lang w:val="en-US" w:eastAsia="zh-CN"/>
          <w14:textFill>
            <w14:solidFill>
              <w14:schemeClr w14:val="tx1"/>
            </w14:solidFill>
          </w14:textFill>
        </w:rPr>
        <w:t>上午10</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0</w:t>
      </w:r>
      <w:r>
        <w:rPr>
          <w:rFonts w:ascii="方正仿宋_GBK" w:eastAsia="方正仿宋_GBK"/>
          <w:color w:val="000000" w:themeColor="text1"/>
          <w:szCs w:val="28"/>
          <w:highlight w:val="none"/>
          <w14:textFill>
            <w14:solidFill>
              <w14:schemeClr w14:val="tx1"/>
            </w14:solidFill>
          </w14:textFill>
        </w:rPr>
        <w:t>0</w:t>
      </w:r>
    </w:p>
    <w:p>
      <w:pPr>
        <w:spacing w:line="560" w:lineRule="exact"/>
        <w:ind w:left="560" w:left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（七）提交响应文件截止时间：</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14</w:t>
      </w:r>
      <w:r>
        <w:rPr>
          <w:rFonts w:hint="eastAsia" w:ascii="方正仿宋_GBK" w:eastAsia="方正仿宋_GBK"/>
          <w:color w:val="000000" w:themeColor="text1"/>
          <w:szCs w:val="28"/>
          <w:highlight w:val="none"/>
          <w14:textFill>
            <w14:solidFill>
              <w14:schemeClr w14:val="tx1"/>
            </w14:solidFill>
          </w14:textFill>
        </w:rPr>
        <w:t>日北京时间</w:t>
      </w:r>
      <w:r>
        <w:rPr>
          <w:rFonts w:hint="eastAsia" w:ascii="方正仿宋_GBK" w:eastAsia="方正仿宋_GBK"/>
          <w:color w:val="000000" w:themeColor="text1"/>
          <w:szCs w:val="28"/>
          <w:highlight w:val="none"/>
          <w:lang w:val="en-US" w:eastAsia="zh-CN"/>
          <w14:textFill>
            <w14:solidFill>
              <w14:schemeClr w14:val="tx1"/>
            </w14:solidFill>
          </w14:textFill>
        </w:rPr>
        <w:t>上午10</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3</w:t>
      </w:r>
      <w:r>
        <w:rPr>
          <w:rFonts w:ascii="方正仿宋_GBK" w:eastAsia="方正仿宋_GBK"/>
          <w:color w:val="000000" w:themeColor="text1"/>
          <w:szCs w:val="28"/>
          <w:highlight w:val="none"/>
          <w14:textFill>
            <w14:solidFill>
              <w14:schemeClr w14:val="tx1"/>
            </w14:solidFill>
          </w14:textFill>
        </w:rPr>
        <w:t>0</w:t>
      </w:r>
    </w:p>
    <w:p>
      <w:pPr>
        <w:spacing w:line="560" w:lineRule="exact"/>
        <w:ind w:left="560" w:left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（八）谈判开始时间：</w:t>
      </w:r>
      <w:bookmarkEnd w:id="4"/>
      <w:bookmarkStart w:id="13" w:name="_Toc373860294"/>
      <w:bookmarkStart w:id="14" w:name="_Toc525047161"/>
      <w:bookmarkStart w:id="15" w:name="_Toc521053053"/>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14</w:t>
      </w:r>
      <w:r>
        <w:rPr>
          <w:rFonts w:hint="eastAsia" w:ascii="方正仿宋_GBK" w:eastAsia="方正仿宋_GBK"/>
          <w:color w:val="000000" w:themeColor="text1"/>
          <w:szCs w:val="28"/>
          <w:highlight w:val="none"/>
          <w14:textFill>
            <w14:solidFill>
              <w14:schemeClr w14:val="tx1"/>
            </w14:solidFill>
          </w14:textFill>
        </w:rPr>
        <w:t>日北京时间</w:t>
      </w:r>
      <w:r>
        <w:rPr>
          <w:rFonts w:hint="eastAsia" w:ascii="方正仿宋_GBK" w:eastAsia="方正仿宋_GBK"/>
          <w:color w:val="000000" w:themeColor="text1"/>
          <w:szCs w:val="28"/>
          <w:highlight w:val="none"/>
          <w:lang w:val="en-US" w:eastAsia="zh-CN"/>
          <w14:textFill>
            <w14:solidFill>
              <w14:schemeClr w14:val="tx1"/>
            </w14:solidFill>
          </w14:textFill>
        </w:rPr>
        <w:t>上午10</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3</w:t>
      </w:r>
      <w:r>
        <w:rPr>
          <w:rFonts w:ascii="方正仿宋_GBK" w:eastAsia="方正仿宋_GBK"/>
          <w:color w:val="000000" w:themeColor="text1"/>
          <w:szCs w:val="28"/>
          <w:highlight w:val="none"/>
          <w14:textFill>
            <w14:solidFill>
              <w14:schemeClr w14:val="tx1"/>
            </w14:solidFill>
          </w14:textFill>
        </w:rPr>
        <w:t>0</w:t>
      </w:r>
    </w:p>
    <w:p>
      <w:pPr>
        <w:pStyle w:val="4"/>
        <w:spacing w:before="0" w:after="0" w:line="560" w:lineRule="exact"/>
        <w:ind w:firstLine="560" w:firstLineChars="200"/>
        <w:rPr>
          <w:rFonts w:hint="eastAsia" w:ascii="方正仿宋_GBK" w:eastAsia="方正仿宋_GBK"/>
          <w:b w:val="0"/>
          <w:color w:val="000000" w:themeColor="text1"/>
          <w:sz w:val="28"/>
          <w:szCs w:val="28"/>
          <w:highlight w:val="none"/>
          <w14:textFill>
            <w14:solidFill>
              <w14:schemeClr w14:val="tx1"/>
            </w14:solidFill>
          </w14:textFill>
        </w:rPr>
      </w:pPr>
      <w:bookmarkStart w:id="16" w:name="_Toc511"/>
      <w:r>
        <w:rPr>
          <w:rFonts w:hint="eastAsia" w:ascii="方正仿宋_GBK" w:eastAsia="方正仿宋_GBK"/>
          <w:b w:val="0"/>
          <w:color w:val="000000" w:themeColor="text1"/>
          <w:sz w:val="28"/>
          <w:szCs w:val="28"/>
          <w:highlight w:val="none"/>
          <w14:textFill>
            <w14:solidFill>
              <w14:schemeClr w14:val="tx1"/>
            </w14:solidFill>
          </w14:textFill>
        </w:rPr>
        <w:t>五、保证金</w:t>
      </w:r>
      <w:bookmarkEnd w:id="13"/>
      <w:bookmarkEnd w:id="14"/>
      <w:bookmarkEnd w:id="15"/>
      <w:bookmarkEnd w:id="16"/>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（一）缴纳保证金方式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、按《重庆市财政局关于进一步规范投标报名及保证金缴纳的通知》的规定，具体缴纳方式如下：</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）分项目单次递交的供应商，须按本项目规定的保证金数额进行缴纳，由供应商从其基本账户将保证金汇至重庆医科大学的账号上，同时在进账凭证上明确“</w:t>
      </w:r>
      <w: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t>重庆医科大学基础医学院通风柜及配套设备采购</w:t>
      </w:r>
      <w:r>
        <w:rPr>
          <w:rFonts w:hint="eastAsia" w:ascii="方正仿宋_GBK" w:eastAsia="方正仿宋_GBK"/>
          <w:color w:val="000000" w:themeColor="text1"/>
          <w:szCs w:val="28"/>
          <w:highlight w:val="none"/>
          <w14:textFill>
            <w14:solidFill>
              <w14:schemeClr w14:val="tx1"/>
            </w14:solidFill>
          </w14:textFill>
        </w:rPr>
        <w:t>”的采购计划编号，保证金的到账截止时间为谈判当天上午</w:t>
      </w:r>
      <w:r>
        <w:rPr>
          <w:rFonts w:ascii="方正仿宋_GBK" w:eastAsia="方正仿宋_GBK"/>
          <w:color w:val="000000" w:themeColor="text1"/>
          <w:szCs w:val="28"/>
          <w:highlight w:val="none"/>
          <w14:textFill>
            <w14:solidFill>
              <w14:schemeClr w14:val="tx1"/>
            </w14:solidFill>
          </w14:textFill>
        </w:rPr>
        <w:t>8:30</w:t>
      </w:r>
      <w:r>
        <w:rPr>
          <w:rFonts w:hint="eastAsia" w:ascii="方正仿宋_GBK"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供应商须在投标前到学校财务处（第二教学楼</w:t>
      </w:r>
      <w:r>
        <w:rPr>
          <w:rFonts w:ascii="方正仿宋_GBK" w:eastAsia="方正仿宋_GBK"/>
          <w:color w:val="000000" w:themeColor="text1"/>
          <w:szCs w:val="28"/>
          <w:highlight w:val="none"/>
          <w14:textFill>
            <w14:solidFill>
              <w14:schemeClr w14:val="tx1"/>
            </w14:solidFill>
          </w14:textFill>
        </w:rPr>
        <w:t>110</w:t>
      </w:r>
      <w:r>
        <w:rPr>
          <w:rFonts w:hint="eastAsia" w:ascii="方正仿宋_GBK" w:eastAsia="方正仿宋_GBK"/>
          <w:color w:val="000000" w:themeColor="text1"/>
          <w:szCs w:val="28"/>
          <w:highlight w:val="none"/>
          <w14:textFill>
            <w14:solidFill>
              <w14:schemeClr w14:val="tx1"/>
            </w14:solidFill>
          </w14:textFill>
        </w:rPr>
        <w:t>室）凭汇款凭证（原件或复印件）领取投标保证金的单据，以备投标时查验。投标人须充分考虑银行工作的时间差风险。</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递交保证金账号信息如下：</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户</w:t>
      </w:r>
      <w:r>
        <w:rPr>
          <w:rFonts w:ascii="方正仿宋_GBK" w:hAnsi="宋体" w:eastAsia="方正仿宋_GBK"/>
          <w:color w:val="000000" w:themeColor="text1"/>
          <w:szCs w:val="28"/>
          <w:highlight w:val="none"/>
          <w14:textFill>
            <w14:solidFill>
              <w14:schemeClr w14:val="tx1"/>
            </w14:solidFill>
          </w14:textFill>
        </w:rPr>
        <w:t xml:space="preserve">  </w:t>
      </w:r>
      <w:r>
        <w:rPr>
          <w:rFonts w:hint="eastAsia" w:ascii="方正仿宋_GBK" w:hAnsi="宋体" w:eastAsia="方正仿宋_GBK"/>
          <w:color w:val="000000" w:themeColor="text1"/>
          <w:szCs w:val="28"/>
          <w:highlight w:val="none"/>
          <w14:textFill>
            <w14:solidFill>
              <w14:schemeClr w14:val="tx1"/>
            </w14:solidFill>
          </w14:textFill>
        </w:rPr>
        <w:t>名：重庆医科大学</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账</w:t>
      </w:r>
      <w:r>
        <w:rPr>
          <w:rFonts w:ascii="方正仿宋_GBK" w:hAnsi="宋体" w:eastAsia="方正仿宋_GBK"/>
          <w:color w:val="000000" w:themeColor="text1"/>
          <w:szCs w:val="28"/>
          <w:highlight w:val="none"/>
          <w14:textFill>
            <w14:solidFill>
              <w14:schemeClr w14:val="tx1"/>
            </w14:solidFill>
          </w14:textFill>
        </w:rPr>
        <w:t xml:space="preserve">  </w:t>
      </w:r>
      <w:r>
        <w:rPr>
          <w:rFonts w:hint="eastAsia" w:ascii="方正仿宋_GBK" w:hAnsi="宋体" w:eastAsia="方正仿宋_GBK"/>
          <w:color w:val="000000" w:themeColor="text1"/>
          <w:szCs w:val="28"/>
          <w:highlight w:val="none"/>
          <w14:textFill>
            <w14:solidFill>
              <w14:schemeClr w14:val="tx1"/>
            </w14:solidFill>
          </w14:textFill>
        </w:rPr>
        <w:t>号：</w:t>
      </w:r>
      <w:r>
        <w:rPr>
          <w:rFonts w:ascii="方正仿宋_GBK" w:hAnsi="宋体" w:eastAsia="方正仿宋_GBK"/>
          <w:color w:val="000000" w:themeColor="text1"/>
          <w:szCs w:val="28"/>
          <w:highlight w:val="none"/>
          <w14:textFill>
            <w14:solidFill>
              <w14:schemeClr w14:val="tx1"/>
            </w14:solidFill>
          </w14:textFill>
        </w:rPr>
        <w:t>5000 1033 6000 5000 8726</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开户行：中国建设银行股份有限公司重庆高新区分行</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w:t>
      </w: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）供应商也可以通过微信公众号缴纳投标保证金，并在备注栏中注明拟投标的采购计划编号及项目名称。微信公众号缴纳步骤如下：关注“重庆医科大学财务处”公众号</w:t>
      </w:r>
      <w:r>
        <w:rPr>
          <w:rFonts w:ascii="方正仿宋_GBK" w:hAnsi="宋体" w:eastAsia="方正仿宋_GBK"/>
          <w:color w:val="000000" w:themeColor="text1"/>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服务大厅</w:t>
      </w:r>
      <w:r>
        <w:rPr>
          <w:rFonts w:ascii="方正仿宋_GBK" w:hAnsi="宋体" w:eastAsia="方正仿宋_GBK"/>
          <w:color w:val="000000" w:themeColor="text1"/>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校外服务平台</w:t>
      </w:r>
      <w:r>
        <w:rPr>
          <w:rFonts w:ascii="方正仿宋_GBK" w:hAnsi="宋体" w:eastAsia="方正仿宋_GBK"/>
          <w:color w:val="000000" w:themeColor="text1"/>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缴投标保证金。通过微信公众号缴纳保证金的供应商，需自行打印由学校财务处开具的投标保证金电子票据，以备投标时查验。保证金的到账截止时间为谈判当天上午</w:t>
      </w:r>
      <w:r>
        <w:rPr>
          <w:rFonts w:ascii="方正仿宋_GBK" w:hAnsi="宋体" w:eastAsia="方正仿宋_GBK"/>
          <w:color w:val="000000" w:themeColor="text1"/>
          <w:szCs w:val="28"/>
          <w:highlight w:val="none"/>
          <w14:textFill>
            <w14:solidFill>
              <w14:schemeClr w14:val="tx1"/>
            </w14:solidFill>
          </w14:textFill>
        </w:rPr>
        <w:t>8:30</w:t>
      </w:r>
      <w:r>
        <w:rPr>
          <w:rFonts w:hint="eastAsia" w:ascii="方正仿宋_GBK" w:hAnsi="宋体"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财务处联系电话：</w:t>
      </w:r>
      <w:r>
        <w:rPr>
          <w:rFonts w:ascii="方正仿宋_GBK" w:hAnsi="宋体" w:eastAsia="方正仿宋_GBK"/>
          <w:color w:val="000000" w:themeColor="text1"/>
          <w:szCs w:val="28"/>
          <w:highlight w:val="none"/>
          <w14:textFill>
            <w14:solidFill>
              <w14:schemeClr w14:val="tx1"/>
            </w14:solidFill>
          </w14:textFill>
        </w:rPr>
        <w:t>023-68486151  </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、缴纳保证金需注意事项：</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）供应商必须在付款凭证备注栏中注明“</w:t>
      </w:r>
      <w: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t>重庆医科大学基础医学院通风柜及配套设备采购</w:t>
      </w:r>
      <w:r>
        <w:rPr>
          <w:rFonts w:hint="eastAsia" w:ascii="方正仿宋_GBK" w:eastAsia="方正仿宋_GBK"/>
          <w:color w:val="000000" w:themeColor="text1"/>
          <w:szCs w:val="28"/>
          <w:highlight w:val="none"/>
          <w14:textFill>
            <w14:solidFill>
              <w14:schemeClr w14:val="tx1"/>
            </w14:solidFill>
          </w14:textFill>
        </w:rPr>
        <w:t>”的采购计划编号；</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）各供应商在银行转账（电汇）时，须充分考虑银行转账（电汇）的时间差风险，如同城转账、异地转账或汇款、跨行转账或电汇的时间要求。</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）各供应商在递交保证金时，到款账户为上述指定的保证金专用账户。来款账户必须为本公司基本账户，否则，投标无效。</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）投标查验时，请出具由学校财务处开具的投标保证金电子票据。</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、保证金数额不超过采购预算的</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（二）保证金退还方式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、分项目单次递交的保证金</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1.1</w:t>
      </w:r>
      <w:r>
        <w:rPr>
          <w:rFonts w:hint="eastAsia" w:ascii="方正仿宋_GBK" w:eastAsia="方正仿宋_GBK"/>
          <w:color w:val="000000" w:themeColor="text1"/>
          <w:szCs w:val="28"/>
          <w:highlight w:val="none"/>
          <w14:textFill>
            <w14:solidFill>
              <w14:schemeClr w14:val="tx1"/>
            </w14:solidFill>
          </w14:textFill>
        </w:rPr>
        <w:t>分项目单次递交的未成交供应商的保证金，在成交通知书发放后，由投标公司持投标保证金收据到重庆医科大学基础医学院办理退款手续。</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成交供应商的保证金，在成交供应商与采购人签订合同后，持投标保证金收据到重庆医科大学基础医学院办理退款手续。</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1.3</w:t>
      </w:r>
      <w:r>
        <w:rPr>
          <w:rFonts w:hint="eastAsia" w:ascii="方正仿宋_GBK" w:eastAsia="方正仿宋_GBK"/>
          <w:color w:val="000000" w:themeColor="text1"/>
          <w:szCs w:val="28"/>
          <w:highlight w:val="none"/>
          <w14:textFill>
            <w14:solidFill>
              <w14:schemeClr w14:val="tx1"/>
            </w14:solidFill>
          </w14:textFill>
        </w:rPr>
        <w:t>保证金退还办理时间为每周四下午</w:t>
      </w:r>
      <w:r>
        <w:rPr>
          <w:rFonts w:ascii="方正仿宋_GBK" w:eastAsia="方正仿宋_GBK"/>
          <w:color w:val="000000" w:themeColor="text1"/>
          <w:szCs w:val="28"/>
          <w:highlight w:val="none"/>
          <w14:textFill>
            <w14:solidFill>
              <w14:schemeClr w14:val="tx1"/>
            </w14:solidFill>
          </w14:textFill>
        </w:rPr>
        <w:t>2:30</w:t>
      </w:r>
      <w:r>
        <w:rPr>
          <w:rFonts w:hint="eastAsia" w:ascii="方正仿宋_GBK" w:eastAsia="方正仿宋_GBK"/>
          <w:color w:val="000000" w:themeColor="text1"/>
          <w:szCs w:val="28"/>
          <w:highlight w:val="none"/>
          <w14:textFill>
            <w14:solidFill>
              <w14:schemeClr w14:val="tx1"/>
            </w14:solidFill>
          </w14:textFill>
        </w:rPr>
        <w:t>时到</w:t>
      </w:r>
      <w:r>
        <w:rPr>
          <w:rFonts w:ascii="方正仿宋_GBK" w:eastAsia="方正仿宋_GBK"/>
          <w:color w:val="000000" w:themeColor="text1"/>
          <w:szCs w:val="28"/>
          <w:highlight w:val="none"/>
          <w14:textFill>
            <w14:solidFill>
              <w14:schemeClr w14:val="tx1"/>
            </w14:solidFill>
          </w14:textFill>
        </w:rPr>
        <w:t>5:00</w:t>
      </w:r>
      <w:r>
        <w:rPr>
          <w:rFonts w:hint="eastAsia" w:ascii="方正仿宋_GBK" w:eastAsia="方正仿宋_GBK"/>
          <w:color w:val="000000" w:themeColor="text1"/>
          <w:szCs w:val="28"/>
          <w:highlight w:val="none"/>
          <w14:textFill>
            <w14:solidFill>
              <w14:schemeClr w14:val="tx1"/>
            </w14:solidFill>
          </w14:textFill>
        </w:rPr>
        <w:t>时。</w:t>
      </w:r>
    </w:p>
    <w:p>
      <w:pPr>
        <w:pStyle w:val="4"/>
        <w:spacing w:before="0" w:after="0" w:line="560" w:lineRule="exact"/>
        <w:ind w:firstLine="560" w:firstLineChars="200"/>
        <w:rPr>
          <w:rFonts w:ascii="方正仿宋_GBK" w:eastAsia="方正仿宋_GBK"/>
          <w:b w:val="0"/>
          <w:bCs/>
          <w:color w:val="000000" w:themeColor="text1"/>
          <w:sz w:val="28"/>
          <w:szCs w:val="28"/>
          <w:highlight w:val="none"/>
          <w14:textFill>
            <w14:solidFill>
              <w14:schemeClr w14:val="tx1"/>
            </w14:solidFill>
          </w14:textFill>
        </w:rPr>
      </w:pPr>
      <w:bookmarkStart w:id="17" w:name="_Toc6330"/>
      <w:r>
        <w:rPr>
          <w:rFonts w:hint="eastAsia" w:ascii="方正仿宋_GBK" w:eastAsia="方正仿宋_GBK"/>
          <w:b w:val="0"/>
          <w:bCs/>
          <w:color w:val="000000" w:themeColor="text1"/>
          <w:sz w:val="28"/>
          <w:szCs w:val="28"/>
          <w:highlight w:val="none"/>
          <w14:textFill>
            <w14:solidFill>
              <w14:schemeClr w14:val="tx1"/>
            </w14:solidFill>
          </w14:textFill>
        </w:rPr>
        <w:t>六、采购项目需落实的政府采购政策</w:t>
      </w:r>
      <w:bookmarkEnd w:id="17"/>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（一）按照《财政部生态环境部关于印发环境标志产品政府采购品目清单的通知》（财库〔</w:t>
      </w:r>
      <w:r>
        <w:rPr>
          <w:rFonts w:ascii="方正仿宋_GBK" w:eastAsia="方正仿宋_GBK"/>
          <w:color w:val="000000" w:themeColor="text1"/>
          <w:szCs w:val="28"/>
          <w:highlight w:val="none"/>
          <w14:textFill>
            <w14:solidFill>
              <w14:schemeClr w14:val="tx1"/>
            </w14:solidFill>
          </w14:textFill>
        </w:rPr>
        <w:t>2019</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18</w:t>
      </w:r>
      <w:r>
        <w:rPr>
          <w:rFonts w:hint="eastAsia" w:ascii="方正仿宋_GBK" w:eastAsia="方正仿宋_GBK"/>
          <w:color w:val="000000" w:themeColor="text1"/>
          <w:szCs w:val="28"/>
          <w:highlight w:val="none"/>
          <w14:textFill>
            <w14:solidFill>
              <w14:schemeClr w14:val="tx1"/>
            </w14:solidFill>
          </w14:textFill>
        </w:rPr>
        <w:t>号）和《财政部发展改革委关于印发节能产品政府采购品目清单的通知》（财库〔</w:t>
      </w:r>
      <w:r>
        <w:rPr>
          <w:rFonts w:ascii="方正仿宋_GBK" w:eastAsia="方正仿宋_GBK"/>
          <w:color w:val="000000" w:themeColor="text1"/>
          <w:szCs w:val="28"/>
          <w:highlight w:val="none"/>
          <w14:textFill>
            <w14:solidFill>
              <w14:schemeClr w14:val="tx1"/>
            </w14:solidFill>
          </w14:textFill>
        </w:rPr>
        <w:t>2019</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19</w:t>
      </w:r>
      <w:r>
        <w:rPr>
          <w:rFonts w:hint="eastAsia" w:ascii="方正仿宋_GBK" w:eastAsia="方正仿宋_GBK"/>
          <w:color w:val="000000" w:themeColor="text1"/>
          <w:szCs w:val="28"/>
          <w:highlight w:val="none"/>
          <w14:textFill>
            <w14:solidFill>
              <w14:schemeClr w14:val="tx1"/>
            </w14:solidFill>
          </w14:textFill>
        </w:rPr>
        <w:t>号）的规定，落实国家节能环保政策。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（二）按照《财政部工业和信息化部关于印发</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政府采购促进中小企业发展暂行办法</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的通知》（财库〔</w:t>
      </w:r>
      <w:r>
        <w:rPr>
          <w:rFonts w:ascii="方正仿宋_GBK" w:eastAsia="方正仿宋_GBK"/>
          <w:color w:val="000000" w:themeColor="text1"/>
          <w:szCs w:val="28"/>
          <w:highlight w:val="none"/>
          <w14:textFill>
            <w14:solidFill>
              <w14:schemeClr w14:val="tx1"/>
            </w14:solidFill>
          </w14:textFill>
        </w:rPr>
        <w:t>2011</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181</w:t>
      </w:r>
      <w:r>
        <w:rPr>
          <w:rFonts w:hint="eastAsia" w:ascii="方正仿宋_GBK" w:eastAsia="方正仿宋_GBK"/>
          <w:color w:val="000000" w:themeColor="text1"/>
          <w:szCs w:val="28"/>
          <w:highlight w:val="none"/>
          <w14:textFill>
            <w14:solidFill>
              <w14:schemeClr w14:val="tx1"/>
            </w14:solidFill>
          </w14:textFill>
        </w:rPr>
        <w:t>号）的规定，落实促进中小企业发展政策。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（三）按照《财政部、司法部关于政府采购支持监狱企业发展有关问题的通知》（财库〔</w:t>
      </w:r>
      <w:r>
        <w:rPr>
          <w:rFonts w:ascii="方正仿宋_GBK" w:eastAsia="方正仿宋_GBK"/>
          <w:color w:val="000000" w:themeColor="text1"/>
          <w:szCs w:val="28"/>
          <w:highlight w:val="none"/>
          <w14:textFill>
            <w14:solidFill>
              <w14:schemeClr w14:val="tx1"/>
            </w14:solidFill>
          </w14:textFill>
        </w:rPr>
        <w:t>2014</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68</w:t>
      </w:r>
      <w:r>
        <w:rPr>
          <w:rFonts w:hint="eastAsia" w:ascii="方正仿宋_GBK" w:eastAsia="方正仿宋_GBK"/>
          <w:color w:val="000000" w:themeColor="text1"/>
          <w:szCs w:val="28"/>
          <w:highlight w:val="none"/>
          <w14:textFill>
            <w14:solidFill>
              <w14:schemeClr w14:val="tx1"/>
            </w14:solidFill>
          </w14:textFill>
        </w:rPr>
        <w:t>号）的规定，落实支持监狱企业发展政策。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（四）按照《三部门联合发布关于促进残疾人就业政府采购政策的通知》（财库〔</w:t>
      </w:r>
      <w:r>
        <w:rPr>
          <w:rFonts w:ascii="方正仿宋_GBK" w:eastAsia="方正仿宋_GBK"/>
          <w:color w:val="000000" w:themeColor="text1"/>
          <w:szCs w:val="28"/>
          <w:highlight w:val="none"/>
          <w14:textFill>
            <w14:solidFill>
              <w14:schemeClr w14:val="tx1"/>
            </w14:solidFill>
          </w14:textFill>
        </w:rPr>
        <w:t>2017</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141</w:t>
      </w:r>
      <w:r>
        <w:rPr>
          <w:rFonts w:hint="eastAsia" w:ascii="方正仿宋_GBK" w:eastAsia="方正仿宋_GBK"/>
          <w:color w:val="000000" w:themeColor="text1"/>
          <w:szCs w:val="28"/>
          <w:highlight w:val="none"/>
          <w14:textFill>
            <w14:solidFill>
              <w14:schemeClr w14:val="tx1"/>
            </w14:solidFill>
          </w14:textFill>
        </w:rPr>
        <w:t>号）的规定，落实支持残疾人福利性单位发展政策。</w:t>
      </w:r>
    </w:p>
    <w:p>
      <w:pPr>
        <w:pStyle w:val="4"/>
        <w:spacing w:before="0" w:after="0" w:line="560" w:lineRule="exact"/>
        <w:ind w:firstLine="560" w:firstLineChars="200"/>
        <w:rPr>
          <w:rFonts w:ascii="方正仿宋_GBK" w:eastAsia="方正仿宋_GBK"/>
          <w:b w:val="0"/>
          <w:bCs/>
          <w:color w:val="000000" w:themeColor="text1"/>
          <w:sz w:val="28"/>
          <w:szCs w:val="28"/>
          <w:highlight w:val="none"/>
          <w14:textFill>
            <w14:solidFill>
              <w14:schemeClr w14:val="tx1"/>
            </w14:solidFill>
          </w14:textFill>
        </w:rPr>
      </w:pPr>
      <w:bookmarkStart w:id="18" w:name="_Toc4518"/>
      <w:r>
        <w:rPr>
          <w:rFonts w:hint="eastAsia" w:ascii="方正仿宋_GBK" w:eastAsia="方正仿宋_GBK"/>
          <w:b w:val="0"/>
          <w:bCs/>
          <w:color w:val="000000" w:themeColor="text1"/>
          <w:sz w:val="28"/>
          <w:szCs w:val="28"/>
          <w:highlight w:val="none"/>
          <w14:textFill>
            <w14:solidFill>
              <w14:schemeClr w14:val="tx1"/>
            </w14:solidFill>
          </w14:textFill>
        </w:rPr>
        <w:t>七、其它有关规定</w:t>
      </w:r>
      <w:bookmarkEnd w:id="18"/>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、法定代表人为同一个人的两个及两个以上法人，母公司、全资子公司及其控股公司，都不得在同一分包的货物采购中同时参与谈判，否则均为无效谈判。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、单个分包为单一货物的，一个制造商对同一品牌同一规格型号的货物，仅能委托一个代理商参加该分包的谈判，否则为无效谈判。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、同一分包的货物，制造商参与谈判的，不得再委托代理商参与谈判，否则为无效谈判。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、为采购项目提供整体设计、规范编制或者项目管理、监理、检测等服务的供应商，不得再参加该采购项目的其他采购活动。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、本项目在响应文件提交截止时间前发布的竞争性谈判文件及补遗文件在重庆医科大学校园网上（主页</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服务大厅</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招投标信息）上发布，请各供应商注意下载；无论供应商下载与否，均视同供应商已知晓本项目竞争性谈判文件、补遗文件（如果有）的内容。</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、超过响应文件截止时间递交的响应文件，恕不接收。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、谈判费用：无论谈判结果如何，供应商参与本项目谈判的所有费用均应由供应商自行承担。</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、列入失信被执行人、重大税收违法案件当事人名单、政府采购严重违法失信行为记录名单等及其他不符合《中华人民共和国政府采购法》第二十二条规定条件的供应商，将拒绝其参与政府采购活动。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8.1 </w:t>
      </w:r>
      <w:r>
        <w:rPr>
          <w:rFonts w:hint="eastAsia" w:ascii="方正仿宋_GBK" w:eastAsia="方正仿宋_GBK"/>
          <w:color w:val="000000" w:themeColor="text1"/>
          <w:szCs w:val="28"/>
          <w:highlight w:val="none"/>
          <w14:textFill>
            <w14:solidFill>
              <w14:schemeClr w14:val="tx1"/>
            </w14:solidFill>
          </w14:textFill>
        </w:rPr>
        <w:t>供应商可通过信用中国网站（</w:t>
      </w:r>
      <w:r>
        <w:rPr>
          <w:rFonts w:ascii="方正仿宋_GBK" w:eastAsia="方正仿宋_GBK"/>
          <w:color w:val="000000" w:themeColor="text1"/>
          <w:szCs w:val="28"/>
          <w:highlight w:val="none"/>
          <w14:textFill>
            <w14:solidFill>
              <w14:schemeClr w14:val="tx1"/>
            </w14:solidFill>
          </w14:textFill>
        </w:rPr>
        <w:t>www.creditchina.gov.cn</w:t>
      </w:r>
      <w:r>
        <w:rPr>
          <w:rFonts w:hint="eastAsia" w:ascii="方正仿宋_GBK" w:eastAsia="方正仿宋_GBK"/>
          <w:color w:val="000000" w:themeColor="text1"/>
          <w:szCs w:val="28"/>
          <w:highlight w:val="none"/>
          <w14:textFill>
            <w14:solidFill>
              <w14:schemeClr w14:val="tx1"/>
            </w14:solidFill>
          </w14:textFill>
        </w:rPr>
        <w:t>）查询以下内容</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8.1.1</w:t>
      </w:r>
      <w:r>
        <w:rPr>
          <w:rFonts w:hint="eastAsia" w:ascii="方正仿宋_GBK" w:eastAsia="方正仿宋_GBK"/>
          <w:color w:val="000000" w:themeColor="text1"/>
          <w:szCs w:val="28"/>
          <w:highlight w:val="none"/>
          <w14:textFill>
            <w14:solidFill>
              <w14:schemeClr w14:val="tx1"/>
            </w14:solidFill>
          </w14:textFill>
        </w:rPr>
        <w:t>“失信被执行人”；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8.1.2</w:t>
      </w:r>
      <w:r>
        <w:rPr>
          <w:rFonts w:hint="eastAsia" w:ascii="方正仿宋_GBK" w:eastAsia="方正仿宋_GBK"/>
          <w:color w:val="000000" w:themeColor="text1"/>
          <w:szCs w:val="28"/>
          <w:highlight w:val="none"/>
          <w14:textFill>
            <w14:solidFill>
              <w14:schemeClr w14:val="tx1"/>
            </w14:solidFill>
          </w14:textFill>
        </w:rPr>
        <w:t>“重大税收违法案件当事人名单”；</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8.1.3</w:t>
      </w:r>
      <w:r>
        <w:rPr>
          <w:rFonts w:hint="eastAsia" w:ascii="方正仿宋_GBK" w:eastAsia="方正仿宋_GBK"/>
          <w:color w:val="000000" w:themeColor="text1"/>
          <w:szCs w:val="28"/>
          <w:highlight w:val="none"/>
          <w14:textFill>
            <w14:solidFill>
              <w14:schemeClr w14:val="tx1"/>
            </w14:solidFill>
          </w14:textFill>
        </w:rPr>
        <w:t>“政府采购严重违法失信行为记录名单”</w:t>
      </w:r>
    </w:p>
    <w:p>
      <w:pPr>
        <w:pStyle w:val="4"/>
        <w:spacing w:before="0" w:after="0" w:line="560" w:lineRule="exact"/>
        <w:ind w:firstLine="560" w:firstLineChars="200"/>
        <w:rPr>
          <w:rFonts w:ascii="方正仿宋_GBK" w:eastAsia="方正仿宋_GBK"/>
          <w:b w:val="0"/>
          <w:bCs/>
          <w:color w:val="000000" w:themeColor="text1"/>
          <w:sz w:val="28"/>
          <w:szCs w:val="28"/>
          <w:highlight w:val="none"/>
          <w14:textFill>
            <w14:solidFill>
              <w14:schemeClr w14:val="tx1"/>
            </w14:solidFill>
          </w14:textFill>
        </w:rPr>
      </w:pPr>
      <w:bookmarkStart w:id="19" w:name="_Toc13814"/>
      <w:r>
        <w:rPr>
          <w:rFonts w:hint="eastAsia" w:ascii="方正仿宋_GBK" w:eastAsia="方正仿宋_GBK"/>
          <w:b w:val="0"/>
          <w:bCs/>
          <w:color w:val="000000" w:themeColor="text1"/>
          <w:sz w:val="28"/>
          <w:szCs w:val="28"/>
          <w:highlight w:val="none"/>
          <w14:textFill>
            <w14:solidFill>
              <w14:schemeClr w14:val="tx1"/>
            </w14:solidFill>
          </w14:textFill>
        </w:rPr>
        <w:t>八、联系方式</w:t>
      </w:r>
      <w:bookmarkEnd w:id="19"/>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采购人：重庆医科大学基础医学院</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联系人：彭老师</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电话：（</w:t>
      </w:r>
      <w:r>
        <w:rPr>
          <w:rFonts w:ascii="方正仿宋_GBK" w:eastAsia="方正仿宋_GBK"/>
          <w:color w:val="000000" w:themeColor="text1"/>
          <w:szCs w:val="28"/>
          <w:highlight w:val="none"/>
          <w14:textFill>
            <w14:solidFill>
              <w14:schemeClr w14:val="tx1"/>
            </w14:solidFill>
          </w14:textFill>
        </w:rPr>
        <w:t>023</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68486679</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sectPr>
          <w:pgSz w:w="11907" w:h="16840"/>
          <w:pgMar w:top="1418" w:right="1304" w:bottom="1134" w:left="1304" w:header="964" w:footer="992" w:gutter="0"/>
          <w:pgNumType w:fmt="numberInDash"/>
          <w:cols w:space="720" w:num="1"/>
          <w:docGrid w:linePitch="312" w:charSpace="0"/>
        </w:sectPr>
      </w:pPr>
      <w:r>
        <w:rPr>
          <w:rFonts w:hint="eastAsia" w:ascii="方正仿宋_GBK" w:eastAsia="方正仿宋_GBK"/>
          <w:color w:val="000000" w:themeColor="text1"/>
          <w:szCs w:val="28"/>
          <w:highlight w:val="none"/>
          <w14:textFill>
            <w14:solidFill>
              <w14:schemeClr w14:val="tx1"/>
            </w14:solidFill>
          </w14:textFill>
        </w:rPr>
        <w:t>地址：重庆市渝中区医学院路</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号基础医学院北楼</w:t>
      </w:r>
      <w:r>
        <w:rPr>
          <w:rFonts w:ascii="方正仿宋_GBK" w:eastAsia="方正仿宋_GBK"/>
          <w:color w:val="000000" w:themeColor="text1"/>
          <w:szCs w:val="28"/>
          <w:highlight w:val="none"/>
          <w14:textFill>
            <w14:solidFill>
              <w14:schemeClr w14:val="tx1"/>
            </w14:solidFill>
          </w14:textFill>
        </w:rPr>
        <w:t>348</w:t>
      </w:r>
      <w:r>
        <w:rPr>
          <w:rFonts w:hint="eastAsia" w:ascii="方正仿宋_GBK" w:eastAsia="方正仿宋_GBK"/>
          <w:color w:val="000000" w:themeColor="text1"/>
          <w:szCs w:val="28"/>
          <w:highlight w:val="none"/>
          <w14:textFill>
            <w14:solidFill>
              <w14:schemeClr w14:val="tx1"/>
            </w14:solidFill>
          </w14:textFill>
        </w:rPr>
        <w:t>室</w:t>
      </w: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bookmarkStart w:id="20" w:name="_Toc102227313"/>
      <w:bookmarkStart w:id="21" w:name="_Toc2173"/>
      <w:r>
        <w:rPr>
          <w:rFonts w:hint="eastAsia" w:ascii="黑体" w:hAnsi="黑体"/>
          <w:b w:val="0"/>
          <w:color w:val="000000" w:themeColor="text1"/>
          <w:sz w:val="44"/>
          <w:szCs w:val="44"/>
          <w:highlight w:val="none"/>
          <w14:textFill>
            <w14:solidFill>
              <w14:schemeClr w14:val="tx1"/>
            </w14:solidFill>
          </w14:textFill>
        </w:rPr>
        <w:t>第二篇</w:t>
      </w:r>
      <w:r>
        <w:rPr>
          <w:rFonts w:hint="eastAsia" w:ascii="黑体" w:hAnsi="黑体"/>
          <w:b w:val="0"/>
          <w:color w:val="000000" w:themeColor="text1"/>
          <w:sz w:val="44"/>
          <w:szCs w:val="44"/>
          <w:highlight w:val="none"/>
          <w:lang w:val="en-US" w:eastAsia="zh-CN"/>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供应商须知</w:t>
      </w:r>
      <w:bookmarkEnd w:id="20"/>
      <w:bookmarkEnd w:id="21"/>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22" w:name="_Toc19574"/>
      <w:bookmarkStart w:id="23" w:name="_Toc342913389"/>
      <w:r>
        <w:rPr>
          <w:rFonts w:hint="eastAsia" w:ascii="方正仿宋_GBK" w:eastAsia="方正仿宋_GBK"/>
          <w:b w:val="0"/>
          <w:color w:val="000000" w:themeColor="text1"/>
          <w:sz w:val="28"/>
          <w:szCs w:val="28"/>
          <w:highlight w:val="none"/>
          <w14:textFill>
            <w14:solidFill>
              <w14:schemeClr w14:val="tx1"/>
            </w14:solidFill>
          </w14:textFill>
        </w:rPr>
        <w:t>一、谈判费用</w:t>
      </w:r>
      <w:bookmarkEnd w:id="22"/>
      <w:bookmarkEnd w:id="23"/>
    </w:p>
    <w:p>
      <w:pPr>
        <w:pStyle w:val="172"/>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参与谈判的供应商应承担其编制响应文件与递交响应文件所涉及的一切费用，不论谈判结果如何，采购人和采购代理机构在任何情况下无义务也无责任承担这些费用。</w:t>
      </w:r>
    </w:p>
    <w:p>
      <w:pPr>
        <w:pStyle w:val="4"/>
        <w:tabs>
          <w:tab w:val="left" w:pos="2640"/>
        </w:tabs>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24" w:name="_Toc342913391"/>
      <w:bookmarkStart w:id="25" w:name="_Toc8206"/>
      <w:r>
        <w:rPr>
          <w:rFonts w:hint="eastAsia" w:ascii="方正仿宋_GBK" w:eastAsia="方正仿宋_GBK"/>
          <w:b w:val="0"/>
          <w:color w:val="000000" w:themeColor="text1"/>
          <w:sz w:val="28"/>
          <w:szCs w:val="28"/>
          <w:highlight w:val="none"/>
          <w14:textFill>
            <w14:solidFill>
              <w14:schemeClr w14:val="tx1"/>
            </w14:solidFill>
          </w14:textFill>
        </w:rPr>
        <w:t>二、竞争性谈判文件</w:t>
      </w:r>
      <w:bookmarkEnd w:id="24"/>
      <w:bookmarkEnd w:id="25"/>
      <w:r>
        <w:rPr>
          <w:rFonts w:ascii="方正仿宋_GBK" w:eastAsia="方正仿宋_GBK"/>
          <w:b w:val="0"/>
          <w:color w:val="000000" w:themeColor="text1"/>
          <w:sz w:val="28"/>
          <w:szCs w:val="28"/>
          <w:highlight w:val="none"/>
          <w14:textFill>
            <w14:solidFill>
              <w14:schemeClr w14:val="tx1"/>
            </w14:solidFill>
          </w14:textFill>
        </w:rPr>
        <w:tab/>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（一）竞争性谈判文件由竞争性谈判邀请书、供应商须知、谈判项目技术需求、谈判项目服务需求、合同草案条款、响应文件格式要求六部分组成。</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（二）采购人（或采购代理机构）所作的一切有效的书面通知、修改及补充，都是竞争性谈判文件不可分割的部分。</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w:t>
      </w:r>
      <w:bookmarkStart w:id="26" w:name="_Toc318159349"/>
      <w:bookmarkStart w:id="27" w:name="_Toc318166429"/>
      <w:bookmarkStart w:id="28" w:name="_Toc318159160"/>
      <w:bookmarkStart w:id="29" w:name="_Toc318159780"/>
      <w:r>
        <w:rPr>
          <w:rFonts w:hint="eastAsia" w:ascii="方正仿宋_GBK" w:eastAsia="方正仿宋_GBK"/>
          <w:color w:val="000000" w:themeColor="text1"/>
          <w:szCs w:val="28"/>
          <w:highlight w:val="none"/>
          <w14:textFill>
            <w14:solidFill>
              <w14:schemeClr w14:val="tx1"/>
            </w14:solidFill>
          </w14:textFill>
        </w:rPr>
        <w:t>本竞争性谈判文件中，谈判小组根据与供应商谈判情况可能实质性变动的内容为竞争性谈判文件第三、四、五篇全部内容。</w:t>
      </w:r>
    </w:p>
    <w:bookmarkEnd w:id="26"/>
    <w:bookmarkEnd w:id="27"/>
    <w:bookmarkEnd w:id="28"/>
    <w:bookmarkEnd w:id="29"/>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30" w:name="_Toc179714297"/>
      <w:bookmarkStart w:id="31" w:name="_Toc102227318"/>
      <w:bookmarkStart w:id="32" w:name="_Toc342913392"/>
      <w:bookmarkStart w:id="33" w:name="_Toc4141"/>
      <w:r>
        <w:rPr>
          <w:rFonts w:hint="eastAsia" w:ascii="方正仿宋_GBK" w:eastAsia="方正仿宋_GBK"/>
          <w:b w:val="0"/>
          <w:color w:val="000000" w:themeColor="text1"/>
          <w:sz w:val="28"/>
          <w:szCs w:val="28"/>
          <w:highlight w:val="none"/>
          <w14:textFill>
            <w14:solidFill>
              <w14:schemeClr w14:val="tx1"/>
            </w14:solidFill>
          </w14:textFill>
        </w:rPr>
        <w:t>三、谈判要求</w:t>
      </w:r>
      <w:bookmarkEnd w:id="30"/>
      <w:bookmarkEnd w:id="31"/>
      <w:bookmarkEnd w:id="32"/>
      <w:bookmarkEnd w:id="33"/>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（一）响应文件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供应商应当按照竞争性谈判文件的要求编制响应文件，并对竞争性谈判文件提出的要求和条件作出实质性响应，响应文件原则上采用软面订本。</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响应文件组成</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谈判有效期：响应文件及有关承诺文件有效期为谈判开始时间起</w:t>
      </w:r>
      <w:r>
        <w:rPr>
          <w:rFonts w:ascii="方正仿宋_GBK" w:eastAsia="方正仿宋_GBK"/>
          <w:color w:val="000000" w:themeColor="text1"/>
          <w:szCs w:val="28"/>
          <w:highlight w:val="none"/>
          <w14:textFill>
            <w14:solidFill>
              <w14:schemeClr w14:val="tx1"/>
            </w14:solidFill>
          </w14:textFill>
        </w:rPr>
        <w:t>90</w:t>
      </w:r>
      <w:r>
        <w:rPr>
          <w:rFonts w:hint="eastAsia" w:ascii="方正仿宋_GBK" w:eastAsia="方正仿宋_GBK"/>
          <w:color w:val="000000" w:themeColor="text1"/>
          <w:szCs w:val="28"/>
          <w:highlight w:val="none"/>
          <w14:textFill>
            <w14:solidFill>
              <w14:schemeClr w14:val="tx1"/>
            </w14:solidFill>
          </w14:textFill>
        </w:rPr>
        <w:t>天。</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供应商提交保证金金额和方式详见“</w:t>
      </w:r>
      <w:r>
        <w:rPr>
          <w:rFonts w:hint="eastAsia" w:ascii="方正仿宋_GBK" w:eastAsia="方正仿宋_GBK"/>
          <w:color w:val="000000" w:themeColor="text1"/>
          <w:szCs w:val="28"/>
          <w:highlight w:val="none"/>
          <w:u w:val="single"/>
          <w14:textFill>
            <w14:solidFill>
              <w14:schemeClr w14:val="tx1"/>
            </w14:solidFill>
          </w14:textFill>
        </w:rPr>
        <w:t>第一篇五、保证金”</w:t>
      </w:r>
      <w:r>
        <w:rPr>
          <w:rFonts w:hint="eastAsia" w:ascii="方正仿宋_GBK" w:eastAsia="方正仿宋_GBK"/>
          <w:color w:val="000000" w:themeColor="text1"/>
          <w:szCs w:val="28"/>
          <w:highlight w:val="none"/>
          <w14:textFill>
            <w14:solidFill>
              <w14:schemeClr w14:val="tx1"/>
            </w14:solidFill>
          </w14:textFill>
        </w:rPr>
        <w:t>；</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发生以下情况之一者，保证金不予退还：</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2.1</w:t>
      </w:r>
      <w:r>
        <w:rPr>
          <w:rFonts w:hint="eastAsia" w:ascii="方正仿宋_GBK" w:eastAsia="方正仿宋_GBK"/>
          <w:color w:val="000000" w:themeColor="text1"/>
          <w:szCs w:val="28"/>
          <w:highlight w:val="none"/>
          <w14:textFill>
            <w14:solidFill>
              <w14:schemeClr w14:val="tx1"/>
            </w14:solidFill>
          </w14:textFill>
        </w:rPr>
        <w:t>供应商在提交响应文件截止时间后撤回响应文件的；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2.2</w:t>
      </w:r>
      <w:r>
        <w:rPr>
          <w:rFonts w:hint="eastAsia" w:ascii="方正仿宋_GBK" w:eastAsia="方正仿宋_GBK"/>
          <w:color w:val="000000" w:themeColor="text1"/>
          <w:szCs w:val="28"/>
          <w:highlight w:val="none"/>
          <w14:textFill>
            <w14:solidFill>
              <w14:schemeClr w14:val="tx1"/>
            </w14:solidFill>
          </w14:textFill>
        </w:rPr>
        <w:t>供应商在响应文件中提供虚假材料的；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2.3</w:t>
      </w:r>
      <w:r>
        <w:rPr>
          <w:rFonts w:hint="eastAsia" w:ascii="方正仿宋_GBK" w:eastAsia="方正仿宋_GBK"/>
          <w:color w:val="000000" w:themeColor="text1"/>
          <w:szCs w:val="28"/>
          <w:highlight w:val="none"/>
          <w14:textFill>
            <w14:solidFill>
              <w14:schemeClr w14:val="tx1"/>
            </w14:solidFill>
          </w14:textFill>
        </w:rPr>
        <w:t>除因不可抗力或竞争性谈判文件认可的情形以外，成交供应商不与采购人签订合同的；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2.4</w:t>
      </w:r>
      <w:r>
        <w:rPr>
          <w:rFonts w:hint="eastAsia" w:ascii="方正仿宋_GBK" w:eastAsia="方正仿宋_GBK"/>
          <w:color w:val="000000" w:themeColor="text1"/>
          <w:szCs w:val="28"/>
          <w:highlight w:val="none"/>
          <w14:textFill>
            <w14:solidFill>
              <w14:schemeClr w14:val="tx1"/>
            </w14:solidFill>
          </w14:textFill>
        </w:rPr>
        <w:t>供应商与采购人、其他供应商或者采购代理机构恶意串通的；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2.5</w:t>
      </w:r>
      <w:r>
        <w:rPr>
          <w:rFonts w:hint="eastAsia" w:ascii="方正仿宋_GBK" w:eastAsia="方正仿宋_GBK"/>
          <w:color w:val="000000" w:themeColor="text1"/>
          <w:szCs w:val="28"/>
          <w:highlight w:val="none"/>
          <w14:textFill>
            <w14:solidFill>
              <w14:schemeClr w14:val="tx1"/>
            </w14:solidFill>
          </w14:textFill>
        </w:rPr>
        <w:t>成交供应商不按规定的时间或拒绝按成交状态签订合同（即不按照采购文件确定的合同文本以及采购标的、规格型号、采购金额、采购数量、技术和服务要求等事项签订政府采购合同的）。</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（三）修正错误</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若供应商所递交的响应文件或最后报价中的价格出现大写金额和小写金额不一致的错误，以大写金额修正为准。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（四）报价要求</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1. </w:t>
      </w:r>
      <w:r>
        <w:rPr>
          <w:rFonts w:hint="eastAsia" w:ascii="方正仿宋_GBK" w:eastAsia="方正仿宋_GBK"/>
          <w:color w:val="000000" w:themeColor="text1"/>
          <w:szCs w:val="28"/>
          <w:highlight w:val="none"/>
          <w14:textFill>
            <w14:solidFill>
              <w14:schemeClr w14:val="tx1"/>
            </w14:solidFill>
          </w14:textFill>
        </w:rPr>
        <w:t>本次报价须为人民币报价。若为进口设备，其投标报价为免税价（免关税及增值税）</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包含（但不限于）：产品价、运输费（含装卸费）、</w:t>
      </w:r>
      <w:r>
        <w:rPr>
          <w:rFonts w:ascii="方正仿宋_GBK" w:eastAsia="方正仿宋_GBK"/>
          <w:color w:val="000000" w:themeColor="text1"/>
          <w:szCs w:val="28"/>
          <w:highlight w:val="none"/>
          <w14:textFill>
            <w14:solidFill>
              <w14:schemeClr w14:val="tx1"/>
            </w14:solidFill>
          </w14:textFill>
        </w:rPr>
        <w:t>0.6%</w:t>
      </w:r>
      <w:r>
        <w:rPr>
          <w:rFonts w:hint="eastAsia" w:ascii="方正仿宋_GBK" w:eastAsia="方正仿宋_GBK"/>
          <w:color w:val="000000" w:themeColor="text1"/>
          <w:szCs w:val="28"/>
          <w:highlight w:val="none"/>
          <w14:textFill>
            <w14:solidFill>
              <w14:schemeClr w14:val="tx1"/>
            </w14:solidFill>
          </w14:textFill>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2. </w:t>
      </w:r>
      <w:r>
        <w:rPr>
          <w:rFonts w:hint="eastAsia" w:ascii="方正仿宋_GBK" w:eastAsia="方正仿宋_GBK"/>
          <w:color w:val="000000" w:themeColor="text1"/>
          <w:szCs w:val="28"/>
          <w:highlight w:val="none"/>
          <w14:textFill>
            <w14:solidFill>
              <w14:schemeClr w14:val="tx1"/>
            </w14:solidFill>
          </w14:textFill>
        </w:rPr>
        <w:t>本次报价须为人民币报价。若为国产设备</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报价包含：产品价、运输费（含装卸费）、保险费、安装调试费、税费、培训费等货到重庆医科大学采购人指定地点的所有费用。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3. </w:t>
      </w:r>
      <w:r>
        <w:rPr>
          <w:rFonts w:hint="eastAsia" w:ascii="方正仿宋_GBK" w:eastAsia="方正仿宋_GBK"/>
          <w:color w:val="000000" w:themeColor="text1"/>
          <w:szCs w:val="28"/>
          <w:highlight w:val="none"/>
          <w14:textFill>
            <w14:solidFill>
              <w14:schemeClr w14:val="tx1"/>
            </w14:solidFill>
          </w14:textFill>
        </w:rPr>
        <w:t>因成交供应商自身原因造成漏报、少报皆由其自行承担责任，采购人不再补偿。（采购文件服务需求有报价要求的以服务需求的为准）。</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（五）提交响应文件的份数和签署</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响应文件一式四份，其中正本一份，副本二份，电子文档一份（电子文档内容应与纸质文件正本一致，如不一致以纸质文件正本为准。推荐采用光盘或</w:t>
      </w:r>
      <w:r>
        <w:rPr>
          <w:rFonts w:ascii="方正仿宋_GBK" w:eastAsia="方正仿宋_GBK"/>
          <w:color w:val="000000" w:themeColor="text1"/>
          <w:szCs w:val="28"/>
          <w:highlight w:val="none"/>
          <w14:textFill>
            <w14:solidFill>
              <w14:schemeClr w14:val="tx1"/>
            </w14:solidFill>
          </w14:textFill>
        </w:rPr>
        <w:t>U</w:t>
      </w:r>
      <w:r>
        <w:rPr>
          <w:rFonts w:hint="eastAsia" w:ascii="方正仿宋_GBK" w:eastAsia="方正仿宋_GBK"/>
          <w:color w:val="000000" w:themeColor="text1"/>
          <w:szCs w:val="28"/>
          <w:highlight w:val="none"/>
          <w14:textFill>
            <w14:solidFill>
              <w14:schemeClr w14:val="tx1"/>
            </w14:solidFill>
          </w14:textFill>
        </w:rPr>
        <w:t>盘为电子文档载体）；副本可为正本的复印件，应与正本一致，如出现不一致情况以正本为准。</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在响应文件正本中，竞争性谈判文件第六篇响应文件格式中规定签字、盖章的地方必须按其规定签字、盖章。</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若供应商对响应文件的错处作必要修改，则应在修改处加盖供应商公章或由法定代表人或法定代表人授权代表签字确认。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电报、电话、传真形式的响应文件概不接受。</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（六）响应文件的递交</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1.</w:t>
      </w:r>
      <w:r>
        <w:rPr>
          <w:rFonts w:hint="eastAsia" w:ascii="方正仿宋_GBK" w:hAnsi="宋体" w:eastAsia="方正仿宋_GBK"/>
          <w:color w:val="000000" w:themeColor="text1"/>
          <w:sz w:val="28"/>
          <w:szCs w:val="28"/>
          <w:highlight w:val="none"/>
          <w14:textFill>
            <w14:solidFill>
              <w14:schemeClr w14:val="tx1"/>
            </w14:solidFill>
          </w14:textFill>
        </w:rPr>
        <w:t>响应文件的密封与标记</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1.1</w:t>
      </w:r>
      <w:r>
        <w:rPr>
          <w:rFonts w:hint="eastAsia" w:ascii="方正仿宋_GBK" w:hAnsi="宋体" w:eastAsia="方正仿宋_GBK"/>
          <w:color w:val="000000" w:themeColor="text1"/>
          <w:sz w:val="28"/>
          <w:szCs w:val="28"/>
          <w:highlight w:val="none"/>
          <w14:textFill>
            <w14:solidFill>
              <w14:schemeClr w14:val="tx1"/>
            </w14:solidFill>
          </w14:textFill>
        </w:rPr>
        <w:t>响应文件的正本、副本以及电子文档均应密封送达谈判地点，应在封套上注明项目名称、供应商名称。若正本、副本以及电子文档分别进行密封的，还应在封套上注明“正本”、“副本”、“电子文档”字样。</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1.2</w:t>
      </w:r>
      <w:r>
        <w:rPr>
          <w:rFonts w:hint="eastAsia" w:ascii="方正仿宋_GBK" w:hAnsi="宋体" w:eastAsia="方正仿宋_GBK"/>
          <w:color w:val="000000" w:themeColor="text1"/>
          <w:sz w:val="28"/>
          <w:szCs w:val="28"/>
          <w:highlight w:val="none"/>
          <w14:textFill>
            <w14:solidFill>
              <w14:schemeClr w14:val="tx1"/>
            </w14:solidFill>
          </w14:textFill>
        </w:rPr>
        <w:t>封套的封口处应加盖供应商公章或由法定代表人授权代表签字。</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2.</w:t>
      </w:r>
      <w:r>
        <w:rPr>
          <w:rFonts w:hint="eastAsia" w:ascii="方正仿宋_GBK" w:hAnsi="宋体" w:eastAsia="方正仿宋_GBK"/>
          <w:color w:val="000000" w:themeColor="text1"/>
          <w:sz w:val="28"/>
          <w:szCs w:val="28"/>
          <w:highlight w:val="none"/>
          <w14:textFill>
            <w14:solidFill>
              <w14:schemeClr w14:val="tx1"/>
            </w14:solidFill>
          </w14:textFill>
        </w:rPr>
        <w:t>如果响应文件通过邮寄递交，供应商应将响应文件用内、外两层封套密封。</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2.1</w:t>
      </w:r>
      <w:r>
        <w:rPr>
          <w:rFonts w:hint="eastAsia" w:ascii="方正仿宋_GBK" w:hAnsi="宋体" w:eastAsia="方正仿宋_GBK"/>
          <w:color w:val="000000" w:themeColor="text1"/>
          <w:sz w:val="28"/>
          <w:szCs w:val="28"/>
          <w:highlight w:val="none"/>
          <w14:textFill>
            <w14:solidFill>
              <w14:schemeClr w14:val="tx1"/>
            </w14:solidFill>
          </w14:textFill>
        </w:rPr>
        <w:t>内层封套的封装与标记同“</w:t>
      </w:r>
      <w:r>
        <w:rPr>
          <w:rFonts w:ascii="方正仿宋_GBK" w:hAnsi="宋体" w:eastAsia="方正仿宋_GBK"/>
          <w:color w:val="000000" w:themeColor="text1"/>
          <w:sz w:val="28"/>
          <w:szCs w:val="28"/>
          <w:highlight w:val="none"/>
          <w14:textFill>
            <w14:solidFill>
              <w14:schemeClr w14:val="tx1"/>
            </w14:solidFill>
          </w14:textFill>
        </w:rPr>
        <w:t>1.</w:t>
      </w:r>
      <w:r>
        <w:rPr>
          <w:rFonts w:hint="eastAsia" w:ascii="方正仿宋_GBK" w:hAnsi="宋体" w:eastAsia="方正仿宋_GBK"/>
          <w:color w:val="000000" w:themeColor="text1"/>
          <w:sz w:val="28"/>
          <w:szCs w:val="28"/>
          <w:highlight w:val="none"/>
          <w14:textFill>
            <w14:solidFill>
              <w14:schemeClr w14:val="tx1"/>
            </w14:solidFill>
          </w14:textFill>
        </w:rPr>
        <w:t>”款规定。</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2.2</w:t>
      </w:r>
      <w:r>
        <w:rPr>
          <w:rFonts w:hint="eastAsia" w:ascii="方正仿宋_GBK" w:hAnsi="宋体" w:eastAsia="方正仿宋_GBK"/>
          <w:color w:val="000000" w:themeColor="text1"/>
          <w:sz w:val="28"/>
          <w:szCs w:val="28"/>
          <w:highlight w:val="none"/>
          <w14:textFill>
            <w14:solidFill>
              <w14:schemeClr w14:val="tx1"/>
            </w14:solidFill>
          </w14:textFill>
        </w:rPr>
        <w:t>外层封套装入“</w:t>
      </w:r>
      <w:r>
        <w:rPr>
          <w:rFonts w:ascii="方正仿宋_GBK" w:hAnsi="宋体" w:eastAsia="方正仿宋_GBK"/>
          <w:color w:val="000000" w:themeColor="text1"/>
          <w:sz w:val="28"/>
          <w:szCs w:val="28"/>
          <w:highlight w:val="none"/>
          <w14:textFill>
            <w14:solidFill>
              <w14:schemeClr w14:val="tx1"/>
            </w14:solidFill>
          </w14:textFill>
        </w:rPr>
        <w:t>1.</w:t>
      </w:r>
      <w:r>
        <w:rPr>
          <w:rFonts w:hint="eastAsia" w:ascii="方正仿宋_GBK" w:hAnsi="宋体" w:eastAsia="方正仿宋_GBK"/>
          <w:color w:val="000000" w:themeColor="text1"/>
          <w:sz w:val="28"/>
          <w:szCs w:val="28"/>
          <w:highlight w:val="none"/>
          <w14:textFill>
            <w14:solidFill>
              <w14:schemeClr w14:val="tx1"/>
            </w14:solidFill>
          </w14:textFill>
        </w:rPr>
        <w:t>”款所述全部内封资料，并注明谈判项目编号、项目名称、采购代理机构名称及地址。同时应写明供应商的名称、地址，以便将迟交的响应文件原封退还。</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如果未按上述规定进行密封和标记，采购代理机构对响应文件误投、丢失或提前拆封不负责任。</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（七）响应文件语言：简体中文</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（八）供应商参与人员</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各供应商应当派</w:t>
      </w: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名代表参与谈判，至少</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人应为法定代表人或具有法定代表人授权委托书的授权代表。</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（九）无效谈判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供应商发生以下条款情况之一者，视为无效谈判，其响应文件将被拒绝：</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供应商不符合规定的基本资格条件或特定资格条件的；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供应商未按谈判文件规定购买谈判文件的；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供应商的法定代表人或其授权代表未参加谈判；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供应商未在保证金到账截止时间前提交足额保证金的；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供应商所提交的响应文件不按规定签字、盖章的；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供应商的最后报价超过采购预算或最高限价的；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供应商响应文件内容有与国家现行法律法规相违背的内容，或附有采购人无法接受条件的。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单位负责人为同一人或者存在直接控股、管理关系的不同供应商，参加同一合同项（分包）下政府采购活动的；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9.</w:t>
      </w:r>
      <w:r>
        <w:rPr>
          <w:rFonts w:hint="eastAsia" w:ascii="方正仿宋_GBK" w:eastAsia="方正仿宋_GBK"/>
          <w:color w:val="000000" w:themeColor="text1"/>
          <w:szCs w:val="28"/>
          <w:highlight w:val="none"/>
          <w14:textFill>
            <w14:solidFill>
              <w14:schemeClr w14:val="tx1"/>
            </w14:solidFill>
          </w14:textFill>
        </w:rPr>
        <w:t>为采购项目提供整体设计、规范编制或者项目管理、监理、检测等服务的供应商再参加该采购项目的其他采购活动的；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10.</w:t>
      </w:r>
      <w:r>
        <w:rPr>
          <w:rFonts w:hint="eastAsia" w:ascii="方正仿宋_GBK" w:eastAsia="方正仿宋_GBK"/>
          <w:color w:val="000000" w:themeColor="text1"/>
          <w:szCs w:val="28"/>
          <w:highlight w:val="none"/>
          <w14:textFill>
            <w14:solidFill>
              <w14:schemeClr w14:val="tx1"/>
            </w14:solidFill>
          </w14:textFill>
        </w:rPr>
        <w:t>同一合同项（分包）下的货物，制造商参与谈判的，再委托代理商参与谈判的</w:t>
      </w:r>
      <w:r>
        <w:rPr>
          <w:rFonts w:ascii="方正仿宋_GBK"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11.</w:t>
      </w:r>
      <w:r>
        <w:rPr>
          <w:rFonts w:hint="eastAsia" w:ascii="方正仿宋_GBK" w:eastAsia="方正仿宋_GBK"/>
          <w:color w:val="000000" w:themeColor="text1"/>
          <w:szCs w:val="28"/>
          <w:highlight w:val="none"/>
          <w14:textFill>
            <w14:solidFill>
              <w14:schemeClr w14:val="tx1"/>
            </w14:solidFill>
          </w14:textFill>
        </w:rPr>
        <w:t>供应商以联合体形式参与谈判的。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供应商如会上不能解答谈判文件的技术问题，视为无效谈判。</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34" w:name="_Toc342913393"/>
      <w:bookmarkStart w:id="35" w:name="_Toc179714298"/>
      <w:bookmarkStart w:id="36" w:name="_Toc102227319"/>
      <w:bookmarkStart w:id="37" w:name="_Toc25295"/>
      <w:r>
        <w:rPr>
          <w:rFonts w:hint="eastAsia" w:ascii="方正仿宋_GBK" w:eastAsia="方正仿宋_GBK"/>
          <w:b w:val="0"/>
          <w:color w:val="000000" w:themeColor="text1"/>
          <w:sz w:val="28"/>
          <w:szCs w:val="28"/>
          <w:highlight w:val="none"/>
          <w14:textFill>
            <w14:solidFill>
              <w14:schemeClr w14:val="tx1"/>
            </w14:solidFill>
          </w14:textFill>
        </w:rPr>
        <w:t>四、谈判程序</w:t>
      </w:r>
      <w:bookmarkEnd w:id="34"/>
      <w:bookmarkEnd w:id="35"/>
      <w:bookmarkEnd w:id="36"/>
      <w:bookmarkEnd w:id="37"/>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（一）谈判按竞争性谈判文件规定的时间和地点进行。供应商须有法定代表人或其授权代表参加并签到。</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p>
    <w:p>
      <w:pPr>
        <w:snapToGrid w:val="0"/>
        <w:spacing w:line="560" w:lineRule="exact"/>
        <w:ind w:firstLine="560" w:firstLineChars="200"/>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1.</w:t>
      </w:r>
      <w:r>
        <w:rPr>
          <w:rFonts w:hint="eastAsia" w:ascii="方正仿宋_GBK" w:eastAsia="方正仿宋_GBK" w:cs="宋体"/>
          <w:color w:val="000000" w:themeColor="text1"/>
          <w:kern w:val="0"/>
          <w:szCs w:val="28"/>
          <w:highlight w:val="none"/>
          <w14:textFill>
            <w14:solidFill>
              <w14:schemeClr w14:val="tx1"/>
            </w14:solidFill>
          </w14:textFill>
        </w:rPr>
        <w:t>资格性检查。依据法律法规和竞争性谈判文件的规定，对响应文件中的资格证明、保证金等进行审查，以确定供应商是否具备谈判资格。资格性检查资料表如下：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268"/>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000000" w:themeColor="text1"/>
                <w:kern w:val="0"/>
                <w:szCs w:val="28"/>
                <w:highlight w:val="none"/>
                <w14:textFill>
                  <w14:solidFill>
                    <w14:schemeClr w14:val="tx1"/>
                  </w14:solidFill>
                </w14:textFill>
              </w:rPr>
            </w:pPr>
            <w:r>
              <w:rPr>
                <w:rFonts w:hint="eastAsia" w:ascii="方正仿宋_GBK" w:hAnsi="仿宋" w:eastAsia="方正仿宋_GBK" w:cs="宋体"/>
                <w:color w:val="000000" w:themeColor="text1"/>
                <w:kern w:val="0"/>
                <w:szCs w:val="28"/>
                <w:highlight w:val="none"/>
                <w14:textFill>
                  <w14:solidFill>
                    <w14:schemeClr w14:val="tx1"/>
                  </w14:solidFill>
                </w14:textFill>
              </w:rPr>
              <w:t>序号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000000" w:themeColor="text1"/>
                <w:kern w:val="0"/>
                <w:szCs w:val="28"/>
                <w:highlight w:val="none"/>
                <w14:textFill>
                  <w14:solidFill>
                    <w14:schemeClr w14:val="tx1"/>
                  </w14:solidFill>
                </w14:textFill>
              </w:rPr>
            </w:pPr>
            <w:r>
              <w:rPr>
                <w:rFonts w:hint="eastAsia" w:ascii="方正仿宋_GBK" w:hAnsi="仿宋" w:eastAsia="方正仿宋_GBK" w:cs="宋体"/>
                <w:color w:val="000000" w:themeColor="text1"/>
                <w:kern w:val="0"/>
                <w:szCs w:val="28"/>
                <w:highlight w:val="none"/>
                <w14:textFill>
                  <w14:solidFill>
                    <w14:schemeClr w14:val="tx1"/>
                  </w14:solidFill>
                </w14:textFill>
              </w:rPr>
              <w:t>检查因素</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000000" w:themeColor="text1"/>
                <w:kern w:val="0"/>
                <w:szCs w:val="28"/>
                <w:highlight w:val="none"/>
                <w14:textFill>
                  <w14:solidFill>
                    <w14:schemeClr w14:val="tx1"/>
                  </w14:solidFill>
                </w14:textFill>
              </w:rPr>
            </w:pPr>
            <w:r>
              <w:rPr>
                <w:rFonts w:hint="eastAsia" w:ascii="方正仿宋_GBK" w:hAnsi="仿宋" w:eastAsia="方正仿宋_GBK" w:cs="宋体"/>
                <w:color w:val="000000" w:themeColor="text1"/>
                <w:kern w:val="0"/>
                <w:szCs w:val="28"/>
                <w:highlight w:val="none"/>
                <w14:textFill>
                  <w14:solidFill>
                    <w14:schemeClr w14:val="tx1"/>
                  </w14:solidFill>
                </w14:textFill>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1</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供</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应</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商</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基</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本</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资</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格</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条</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件</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1</w:t>
            </w:r>
            <w:r>
              <w:rPr>
                <w:rFonts w:hint="eastAsia" w:ascii="方正仿宋_GBK" w:hAnsi="仿宋" w:eastAsia="方正仿宋_GBK"/>
                <w:color w:val="000000" w:themeColor="text1"/>
                <w:szCs w:val="28"/>
                <w:highlight w:val="none"/>
                <w14:textFill>
                  <w14:solidFill>
                    <w14:schemeClr w14:val="tx1"/>
                  </w14:solidFill>
                </w14:textFill>
              </w:rPr>
              <w:t>）具有独立承担民事责任的能力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①供应商法人营业执照（副本）或事业单位法人证书（副本）或个体工商户营业执照或有效的自然人身份证明、组织机构代码证复印件（注</w:t>
            </w:r>
            <w:r>
              <w:rPr>
                <w:rFonts w:ascii="方正仿宋_GBK" w:eastAsia="方正仿宋_GBK" w:cs="宋体"/>
                <w:color w:val="000000" w:themeColor="text1"/>
                <w:kern w:val="0"/>
                <w:szCs w:val="28"/>
                <w:highlight w:val="none"/>
                <w14:textFill>
                  <w14:solidFill>
                    <w14:schemeClr w14:val="tx1"/>
                  </w14:solidFill>
                </w14:textFill>
              </w:rPr>
              <w:t>1</w:t>
            </w:r>
            <w:r>
              <w:rPr>
                <w:rFonts w:hint="eastAsia" w:ascii="方正仿宋_GBK" w:hAnsi="仿宋" w:eastAsia="方正仿宋_GBK"/>
                <w:color w:val="000000" w:themeColor="text1"/>
                <w:szCs w:val="28"/>
                <w:highlight w:val="none"/>
                <w14:textFill>
                  <w14:solidFill>
                    <w14:schemeClr w14:val="tx1"/>
                  </w14:solidFill>
                </w14:textFill>
              </w:rPr>
              <w:t>）；</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②供应商法定代表人身份证明和法定代表人授权代表委托书。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ascii="方正仿宋_GBK" w:hAnsi="仿宋" w:eastAsia="方正仿宋_GBK" w:cs="仿宋_GB2312"/>
                <w:color w:val="000000" w:themeColor="text1"/>
                <w:szCs w:val="28"/>
                <w:highlight w:val="none"/>
                <w:lang w:val="zh-CN"/>
                <w14:textFill>
                  <w14:solidFill>
                    <w14:schemeClr w14:val="tx1"/>
                  </w14:solidFill>
                </w14:textFill>
              </w:rPr>
              <w:t>2</w:t>
            </w: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hint="eastAsia" w:ascii="方正仿宋_GBK" w:hAnsi="仿宋" w:eastAsia="方正仿宋_GBK"/>
                <w:color w:val="000000" w:themeColor="text1"/>
                <w:szCs w:val="28"/>
                <w:highlight w:val="none"/>
                <w14:textFill>
                  <w14:solidFill>
                    <w14:schemeClr w14:val="tx1"/>
                  </w14:solidFill>
                </w14:textFill>
              </w:rPr>
              <w:t>具有良好的商业信誉和健全的财务会计制度</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①提供</w:t>
            </w:r>
            <w:r>
              <w:rPr>
                <w:rFonts w:ascii="方正仿宋_GBK" w:hAnsi="仿宋" w:eastAsia="方正仿宋_GBK"/>
                <w:color w:val="000000" w:themeColor="text1"/>
                <w:szCs w:val="28"/>
                <w:highlight w:val="none"/>
                <w14:textFill>
                  <w14:solidFill>
                    <w14:schemeClr w14:val="tx1"/>
                  </w14:solidFill>
                </w14:textFill>
              </w:rPr>
              <w:t>20</w:t>
            </w:r>
            <w:r>
              <w:rPr>
                <w:rFonts w:hint="eastAsia" w:ascii="方正仿宋_GBK" w:hAnsi="仿宋" w:eastAsia="方正仿宋_GBK"/>
                <w:color w:val="000000" w:themeColor="text1"/>
                <w:szCs w:val="28"/>
                <w:highlight w:val="none"/>
                <w14:textFill>
                  <w14:solidFill>
                    <w14:schemeClr w14:val="tx1"/>
                  </w14:solidFill>
                </w14:textFill>
              </w:rPr>
              <w:t>21或</w:t>
            </w:r>
            <w:r>
              <w:rPr>
                <w:rFonts w:ascii="方正仿宋_GBK" w:hAnsi="仿宋" w:eastAsia="方正仿宋_GBK"/>
                <w:color w:val="000000" w:themeColor="text1"/>
                <w:szCs w:val="28"/>
                <w:highlight w:val="none"/>
                <w14:textFill>
                  <w14:solidFill>
                    <w14:schemeClr w14:val="tx1"/>
                  </w14:solidFill>
                </w14:textFill>
              </w:rPr>
              <w:t>202</w:t>
            </w:r>
            <w:r>
              <w:rPr>
                <w:rFonts w:hint="eastAsia" w:ascii="方正仿宋_GBK" w:hAnsi="仿宋" w:eastAsia="方正仿宋_GBK"/>
                <w:color w:val="000000" w:themeColor="text1"/>
                <w:szCs w:val="28"/>
                <w:highlight w:val="none"/>
                <w14:textFill>
                  <w14:solidFill>
                    <w14:schemeClr w14:val="tx1"/>
                  </w14:solidFill>
                </w14:textFill>
              </w:rPr>
              <w:t>2年度财务状况报告（表）或其基本开户银行出具的资信证明复印件，本年度新成立或成立不满一年的组织和自然人无法提供财务状况报告（表）的，可提供银行出具的资信证明复印件。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ascii="方正仿宋_GBK" w:hAnsi="仿宋" w:eastAsia="方正仿宋_GBK" w:cs="仿宋_GB2312"/>
                <w:color w:val="000000" w:themeColor="text1"/>
                <w:szCs w:val="28"/>
                <w:highlight w:val="none"/>
                <w:lang w:val="zh-CN"/>
                <w14:textFill>
                  <w14:solidFill>
                    <w14:schemeClr w14:val="tx1"/>
                  </w14:solidFill>
                </w14:textFill>
              </w:rPr>
              <w:t>3</w:t>
            </w:r>
            <w:r>
              <w:rPr>
                <w:rFonts w:hint="eastAsia" w:ascii="方正仿宋_GBK" w:hAnsi="仿宋" w:eastAsia="方正仿宋_GBK" w:cs="仿宋_GB2312"/>
                <w:color w:val="000000" w:themeColor="text1"/>
                <w:szCs w:val="28"/>
                <w:highlight w:val="none"/>
                <w:lang w:val="zh-CN"/>
                <w14:textFill>
                  <w14:solidFill>
                    <w14:schemeClr w14:val="tx1"/>
                  </w14:solidFill>
                </w14:textFill>
              </w:rPr>
              <w:t>）具有履行合同所必需的设备和专业技术能力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ascii="方正仿宋_GBK" w:hAnsi="仿宋" w:eastAsia="方正仿宋_GBK" w:cs="仿宋_GB2312"/>
                <w:color w:val="000000" w:themeColor="text1"/>
                <w:szCs w:val="28"/>
                <w:highlight w:val="none"/>
                <w:lang w:val="zh-CN"/>
                <w14:textFill>
                  <w14:solidFill>
                    <w14:schemeClr w14:val="tx1"/>
                  </w14:solidFill>
                </w14:textFill>
              </w:rPr>
              <w:t>4</w:t>
            </w:r>
            <w:r>
              <w:rPr>
                <w:rFonts w:hint="eastAsia" w:ascii="方正仿宋_GBK" w:hAnsi="仿宋" w:eastAsia="方正仿宋_GBK" w:cs="仿宋_GB2312"/>
                <w:color w:val="000000" w:themeColor="text1"/>
                <w:szCs w:val="28"/>
                <w:highlight w:val="none"/>
                <w:lang w:val="zh-CN"/>
                <w14:textFill>
                  <w14:solidFill>
                    <w14:schemeClr w14:val="tx1"/>
                  </w14:solidFill>
                </w14:textFill>
              </w:rPr>
              <w:t>）有依法缴纳税收和社会保障金的良好记录</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①税务登记证（副本）复印件（注</w:t>
            </w: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②缴纳社会保障金的证明材料复印件（缴纳社会保障金的证明材料指：社会保险登记证（注</w:t>
            </w:r>
            <w:r>
              <w:rPr>
                <w:rFonts w:ascii="方正仿宋_GBK" w:hAnsi="仿宋" w:eastAsia="方正仿宋_GBK"/>
                <w:color w:val="000000" w:themeColor="text1"/>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）或缴纳社会保险的凭据（专用收据或社会保险缴纳清单）。</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5</w:t>
            </w:r>
            <w:r>
              <w:rPr>
                <w:rFonts w:hint="eastAsia" w:ascii="方正仿宋_GBK" w:hAnsi="仿宋" w:eastAsia="方正仿宋_GBK"/>
                <w:color w:val="000000" w:themeColor="text1"/>
                <w:szCs w:val="28"/>
                <w:highlight w:val="none"/>
                <w14:textFill>
                  <w14:solidFill>
                    <w14:schemeClr w14:val="tx1"/>
                  </w14:solidFill>
                </w14:textFill>
              </w:rPr>
              <w:t>）参加政府采购活动前三年内，在经营活动中没有重大违法记录（注</w:t>
            </w: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①供应商提供书面声明（见格式文件）；</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②采购人或采购代理机构将通过“信用中国”网站</w:t>
            </w:r>
            <w:r>
              <w:rPr>
                <w:rFonts w:ascii="方正仿宋_GBK" w:hAnsi="仿宋" w:eastAsia="方正仿宋_GBK"/>
                <w:color w:val="000000" w:themeColor="text1"/>
                <w:szCs w:val="28"/>
                <w:highlight w:val="none"/>
                <w14:textFill>
                  <w14:solidFill>
                    <w14:schemeClr w14:val="tx1"/>
                  </w14:solidFill>
                </w14:textFill>
              </w:rPr>
              <w:t>(www.creditchina.gov.cn)</w:t>
            </w: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w:t>
            </w:r>
            <w:r>
              <w:rPr>
                <w:rFonts w:hint="eastAsia" w:ascii="方正仿宋_GBK" w:hAnsi="仿宋" w:eastAsia="方正仿宋_GBK"/>
                <w:color w:val="000000" w:themeColor="text1"/>
                <w:szCs w:val="28"/>
                <w:highlight w:val="none"/>
                <w14:textFill>
                  <w14:solidFill>
                    <w14:schemeClr w14:val="tx1"/>
                  </w14:solidFill>
                </w14:textFill>
              </w:rPr>
              <w:t>中国政府采购网</w:t>
            </w:r>
            <w:r>
              <w:rPr>
                <w:rFonts w:ascii="方正仿宋_GBK" w:hAnsi="仿宋" w:eastAsia="方正仿宋_GBK"/>
                <w:color w:val="000000" w:themeColor="text1"/>
                <w:szCs w:val="28"/>
                <w:highlight w:val="none"/>
                <w14:textFill>
                  <w14:solidFill>
                    <w14:schemeClr w14:val="tx1"/>
                  </w14:solidFill>
                </w14:textFill>
              </w:rPr>
              <w:t>"(www.ccgp.gov.cn)</w:t>
            </w:r>
            <w:r>
              <w:rPr>
                <w:rFonts w:hint="eastAsia" w:ascii="方正仿宋_GBK" w:hAnsi="仿宋" w:eastAsia="方正仿宋_GBK"/>
                <w:color w:val="000000" w:themeColor="text1"/>
                <w:szCs w:val="28"/>
                <w:highlight w:val="none"/>
                <w14:textFill>
                  <w14:solidFill>
                    <w14:schemeClr w14:val="tx1"/>
                  </w14:solidFill>
                </w14:textFill>
              </w:rPr>
              <w:t>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6</w:t>
            </w:r>
            <w:r>
              <w:rPr>
                <w:rFonts w:hint="eastAsia" w:ascii="方正仿宋_GBK" w:hAnsi="仿宋" w:eastAsia="方正仿宋_GBK"/>
                <w:color w:val="000000" w:themeColor="text1"/>
                <w:szCs w:val="28"/>
                <w:highlight w:val="none"/>
                <w14:textFill>
                  <w14:solidFill>
                    <w14:schemeClr w14:val="tx1"/>
                  </w14:solidFill>
                </w14:textFill>
              </w:rPr>
              <w:t>）法律、行政法规规定的其他条件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2</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特定资格条件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3</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保证金</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按照竞争性谈判文件要求足额缴纳保证金</w:t>
            </w:r>
          </w:p>
        </w:tc>
      </w:tr>
    </w:tbl>
    <w:p>
      <w:pPr>
        <w:snapToGrid w:val="0"/>
        <w:spacing w:line="560" w:lineRule="exact"/>
        <w:ind w:firstLine="560" w:firstLineChars="200"/>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注</w:t>
      </w:r>
      <w:r>
        <w:rPr>
          <w:rFonts w:ascii="方正仿宋_GBK" w:eastAsia="方正仿宋_GBK" w:cs="宋体"/>
          <w:color w:val="000000" w:themeColor="text1"/>
          <w:kern w:val="0"/>
          <w:szCs w:val="28"/>
          <w:highlight w:val="none"/>
          <w14:textFill>
            <w14:solidFill>
              <w14:schemeClr w14:val="tx1"/>
            </w14:solidFill>
          </w14:textFill>
        </w:rPr>
        <w:t>1</w:t>
      </w:r>
      <w:r>
        <w:rPr>
          <w:rFonts w:hint="eastAsia" w:ascii="方正仿宋_GBK" w:eastAsia="方正仿宋_GBK" w:cs="宋体"/>
          <w:color w:val="000000" w:themeColor="text1"/>
          <w:kern w:val="0"/>
          <w:szCs w:val="28"/>
          <w:highlight w:val="none"/>
          <w14:textFill>
            <w14:solidFill>
              <w14:schemeClr w14:val="tx1"/>
            </w14:solidFill>
          </w14:textFill>
        </w:rPr>
        <w:t>：</w:t>
      </w:r>
      <w:r>
        <w:rPr>
          <w:rFonts w:hint="eastAsia" w:ascii="方正仿宋_GBK" w:hAnsi="仿宋" w:eastAsia="方正仿宋_GBK" w:cs="宋体"/>
          <w:color w:val="000000" w:themeColor="text1"/>
          <w:kern w:val="0"/>
          <w:szCs w:val="28"/>
          <w:highlight w:val="none"/>
          <w14:textFill>
            <w14:solidFill>
              <w14:schemeClr w14:val="tx1"/>
            </w14:solidFill>
          </w14:textFill>
        </w:rPr>
        <w:t>供应商按“多证合一”登记制度办理营业执照的，组织机构代码证、税务登记证（副本）和社会保险登记证以供应商所提供的营业执照（副本）复印件为准。</w:t>
      </w:r>
    </w:p>
    <w:p>
      <w:pPr>
        <w:snapToGrid w:val="0"/>
        <w:spacing w:line="560" w:lineRule="exact"/>
        <w:ind w:firstLine="560" w:firstLineChars="200"/>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注</w:t>
      </w: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eastAsia="方正仿宋_GBK" w:cs="宋体"/>
          <w:color w:val="000000" w:themeColor="text1"/>
          <w:kern w:val="0"/>
          <w:szCs w:val="28"/>
          <w:highlight w:val="none"/>
          <w14:textFill>
            <w14:solidFill>
              <w14:schemeClr w14:val="tx1"/>
            </w14:solidFill>
          </w14:textFill>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ascii="方正仿宋_GBK" w:eastAsia="方正仿宋_GBK"/>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eastAsia="方正仿宋_GBK" w:cs="宋体"/>
          <w:color w:val="000000" w:themeColor="text1"/>
          <w:kern w:val="0"/>
          <w:szCs w:val="28"/>
          <w:highlight w:val="none"/>
          <w14:textFill>
            <w14:solidFill>
              <w14:schemeClr w14:val="tx1"/>
            </w14:solidFill>
          </w14:textFill>
        </w:rPr>
        <w:t>符合性检查。依据竞争性谈判文件的规定，谈判小组从响应文件的有效性、完整性和对竞争性谈判文件的响应程度进行审查，以确定是否对竞争性谈判文件的实质性要求作出响应。</w:t>
      </w:r>
      <w:r>
        <w:rPr>
          <w:rFonts w:hint="eastAsia" w:ascii="方正仿宋_GBK" w:eastAsia="方正仿宋_GBK"/>
          <w:color w:val="000000" w:themeColor="text1"/>
          <w:kern w:val="0"/>
          <w:szCs w:val="28"/>
          <w:highlight w:val="none"/>
          <w14:textFill>
            <w14:solidFill>
              <w14:schemeClr w14:val="tx1"/>
            </w14:solidFill>
          </w14:textFill>
        </w:rPr>
        <w:t>符合性检查资料表如下：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序号</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评审因素</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有效性审查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响应文件签署</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法定代表人身份证明及授权委托书</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方案</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仿宋_GB2312"/>
                <w:color w:val="000000" w:themeColor="text1"/>
                <w:szCs w:val="28"/>
                <w:highlight w:val="none"/>
                <w:lang w:val="zh-CN"/>
                <w14:textFill>
                  <w14:solidFill>
                    <w14:schemeClr w14:val="tx1"/>
                  </w14:solidFill>
                </w14:textFill>
              </w:rPr>
              <w:t>只能有一个</w:t>
            </w: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报价唯一</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完整性审查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文件份数</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文件正、副本数量（含电子文档）符合</w:t>
            </w:r>
            <w:r>
              <w:rPr>
                <w:rFonts w:hint="eastAsia" w:ascii="方正仿宋_GBK" w:eastAsia="方正仿宋_GBK" w:cs="仿宋_GB2312"/>
                <w:color w:val="000000" w:themeColor="text1"/>
                <w:szCs w:val="28"/>
                <w:highlight w:val="none"/>
                <w14:textFill>
                  <w14:solidFill>
                    <w14:schemeClr w14:val="tx1"/>
                  </w14:solidFill>
                </w14:textFill>
              </w:rPr>
              <w:t>竞争性谈判</w:t>
            </w:r>
            <w:r>
              <w:rPr>
                <w:rFonts w:hint="eastAsia" w:ascii="方正仿宋_GBK" w:eastAsia="方正仿宋_GBK" w:cs="仿宋_GB2312"/>
                <w:color w:val="000000" w:themeColor="text1"/>
                <w:szCs w:val="28"/>
                <w:highlight w:val="none"/>
                <w:lang w:val="zh-CN"/>
                <w14:textFill>
                  <w14:solidFill>
                    <w14:schemeClr w14:val="tx1"/>
                  </w14:solidFill>
                </w14:textFill>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3</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竞争性谈判文件的响应程度审查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响应文件内容</w:t>
            </w:r>
          </w:p>
        </w:tc>
        <w:tc>
          <w:tcPr>
            <w:tcW w:w="5409"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谈判有效期</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满足谈判文件</w:t>
            </w:r>
            <w:r>
              <w:rPr>
                <w:rFonts w:hint="eastAsia" w:ascii="方正仿宋_GBK" w:eastAsia="方正仿宋_GBK" w:cs="仿宋_GB2312"/>
                <w:color w:val="000000" w:themeColor="text1"/>
                <w:szCs w:val="28"/>
                <w:highlight w:val="none"/>
                <w:lang w:val="zh-CN"/>
                <w14:textFill>
                  <w14:solidFill>
                    <w14:schemeClr w14:val="tx1"/>
                  </w14:solidFill>
                </w14:textFill>
              </w:rPr>
              <w:t>规定。</w:t>
            </w:r>
          </w:p>
        </w:tc>
      </w:tr>
    </w:tbl>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（五）在谈判过程中谈判的任何一方不得向他人透露与谈判有关的技术资料、价格或其他信息。</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（七）供应商在谈判时作出的所有书面承诺须由法定代表人或其授权代表签字。</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38" w:name="_Toc5847"/>
      <w:bookmarkStart w:id="39" w:name="_Toc102227320"/>
      <w:bookmarkStart w:id="40" w:name="_Toc342913394"/>
      <w:r>
        <w:rPr>
          <w:rFonts w:hint="eastAsia" w:ascii="方正仿宋_GBK" w:eastAsia="方正仿宋_GBK"/>
          <w:b w:val="0"/>
          <w:color w:val="000000" w:themeColor="text1"/>
          <w:sz w:val="28"/>
          <w:szCs w:val="28"/>
          <w:highlight w:val="none"/>
          <w14:textFill>
            <w14:solidFill>
              <w14:schemeClr w14:val="tx1"/>
            </w14:solidFill>
          </w14:textFill>
        </w:rPr>
        <w:t>五、评审依据</w:t>
      </w:r>
      <w:bookmarkEnd w:id="38"/>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评审的依据为竞争性谈判文件和响应文件（含有效的补充文件）。谈判小组判断响应文件对竞争性谈判文件的响应，仅基于响应文件本身而不靠外部证据。</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1" w:name="_Toc30756"/>
      <w:r>
        <w:rPr>
          <w:rFonts w:hint="eastAsia" w:ascii="方正仿宋_GBK" w:eastAsia="方正仿宋_GBK"/>
          <w:b w:val="0"/>
          <w:color w:val="000000" w:themeColor="text1"/>
          <w:sz w:val="28"/>
          <w:szCs w:val="28"/>
          <w:highlight w:val="none"/>
          <w14:textFill>
            <w14:solidFill>
              <w14:schemeClr w14:val="tx1"/>
            </w14:solidFill>
          </w14:textFill>
        </w:rPr>
        <w:t>六、成交</w:t>
      </w:r>
      <w:bookmarkEnd w:id="39"/>
      <w:r>
        <w:rPr>
          <w:rFonts w:hint="eastAsia" w:ascii="方正仿宋_GBK" w:eastAsia="方正仿宋_GBK"/>
          <w:b w:val="0"/>
          <w:color w:val="000000" w:themeColor="text1"/>
          <w:sz w:val="28"/>
          <w:szCs w:val="28"/>
          <w:highlight w:val="none"/>
          <w14:textFill>
            <w14:solidFill>
              <w14:schemeClr w14:val="tx1"/>
            </w14:solidFill>
          </w14:textFill>
        </w:rPr>
        <w:t>原则</w:t>
      </w:r>
      <w:bookmarkEnd w:id="40"/>
      <w:bookmarkEnd w:id="41"/>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（一）评审办法</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谈判小组将依照本竞争性谈判文件相关规定对质量和服务均能满足竞争性谈判实质性响应要求的供应商所提交的最后报价进行政策性扣减，并依据扣减后的价格按照由低到高的顺序提出</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名以上成交候选人，并编写评审报告。</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若供应商的最后报价经扣减后价格相同，按技术参数（条款）的优劣顺序排列；以上都相同的，按服务条款的优劣顺序排列。</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成交价格</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成交供应商的最后报价</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（二）评审细则</w:t>
      </w:r>
    </w:p>
    <w:p>
      <w:pPr>
        <w:tabs>
          <w:tab w:val="left" w:pos="36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资格符合性检查</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依据法律法规和竞争性谈判文件的规定，对供应商的资格证明、保证金等进行审查，以确定供应商是否具备谈判资格。</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对响应文件的有效性、完整性和响应程度检查</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关于政策性扣减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3.1</w:t>
      </w:r>
      <w:r>
        <w:rPr>
          <w:rFonts w:hint="eastAsia" w:ascii="方正仿宋_GBK" w:eastAsia="方正仿宋_GBK"/>
          <w:color w:val="000000" w:themeColor="text1"/>
          <w:szCs w:val="28"/>
          <w:highlight w:val="none"/>
          <w14:textFill>
            <w14:solidFill>
              <w14:schemeClr w14:val="tx1"/>
            </w14:solidFill>
          </w14:textFill>
        </w:rPr>
        <w:t>政策性扣减范围</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供应商符合小型、微型企业或监狱企业条件、残疾人福利性单位的，其最后报价将按相应比例进行扣减。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3.2  </w:t>
      </w:r>
      <w:r>
        <w:rPr>
          <w:rFonts w:hint="eastAsia" w:ascii="方正仿宋_GBK" w:eastAsia="方正仿宋_GBK"/>
          <w:color w:val="000000" w:themeColor="text1"/>
          <w:szCs w:val="28"/>
          <w:highlight w:val="none"/>
          <w14:textFill>
            <w14:solidFill>
              <w14:schemeClr w14:val="tx1"/>
            </w14:solidFill>
          </w14:textFill>
        </w:rPr>
        <w:t>政策性扣减方式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3.2.1</w:t>
      </w:r>
      <w:r>
        <w:rPr>
          <w:rFonts w:hint="eastAsia" w:ascii="方正仿宋_GBK" w:eastAsia="方正仿宋_GBK"/>
          <w:color w:val="000000" w:themeColor="text1"/>
          <w:szCs w:val="28"/>
          <w:highlight w:val="none"/>
          <w14:textFill>
            <w14:solidFill>
              <w14:schemeClr w14:val="tx1"/>
            </w14:solidFill>
          </w14:textFill>
        </w:rPr>
        <w:t>供应商为非联合体参与谈判的，对小型企业给予</w:t>
      </w: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的扣除，微型企业给予</w:t>
      </w: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的扣除（注册资金十五万及以下的微型企业给予</w:t>
      </w:r>
      <w:r>
        <w:rPr>
          <w:rFonts w:ascii="方正仿宋_GBK" w:eastAsia="方正仿宋_GBK"/>
          <w:color w:val="000000" w:themeColor="text1"/>
          <w:szCs w:val="28"/>
          <w:highlight w:val="none"/>
          <w14:textFill>
            <w14:solidFill>
              <w14:schemeClr w14:val="tx1"/>
            </w14:solidFill>
          </w14:textFill>
        </w:rPr>
        <w:t>10%</w:t>
      </w:r>
      <w:r>
        <w:rPr>
          <w:rFonts w:hint="eastAsia" w:ascii="方正仿宋_GBK" w:eastAsia="方正仿宋_GBK"/>
          <w:color w:val="000000" w:themeColor="text1"/>
          <w:szCs w:val="28"/>
          <w:highlight w:val="none"/>
          <w14:textFill>
            <w14:solidFill>
              <w14:schemeClr w14:val="tx1"/>
            </w14:solidFill>
          </w14:textFill>
        </w:rPr>
        <w:t>的扣除），以扣除后的报价参与评审。</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3.2.2</w:t>
      </w:r>
      <w:r>
        <w:rPr>
          <w:rFonts w:hint="eastAsia" w:ascii="方正仿宋_GBK" w:eastAsia="方正仿宋_GBK"/>
          <w:color w:val="000000" w:themeColor="text1"/>
          <w:szCs w:val="28"/>
          <w:highlight w:val="none"/>
          <w14:textFill>
            <w14:solidFill>
              <w14:schemeClr w14:val="tx1"/>
            </w14:solidFill>
          </w14:textFill>
        </w:rPr>
        <w:t>供应商为联合体参与谈判的，在联合协议中小型企业、微型企业的协议合同金额占到联合体协议合同总金额</w:t>
      </w:r>
      <w:r>
        <w:rPr>
          <w:rFonts w:ascii="方正仿宋_GBK" w:eastAsia="方正仿宋_GBK"/>
          <w:color w:val="000000" w:themeColor="text1"/>
          <w:szCs w:val="28"/>
          <w:highlight w:val="none"/>
          <w14:textFill>
            <w14:solidFill>
              <w14:schemeClr w14:val="tx1"/>
            </w14:solidFill>
          </w14:textFill>
        </w:rPr>
        <w:t>30</w:t>
      </w:r>
      <w:r>
        <w:rPr>
          <w:rFonts w:hint="eastAsia" w:ascii="方正仿宋_GBK" w:eastAsia="方正仿宋_GBK"/>
          <w:color w:val="000000" w:themeColor="text1"/>
          <w:szCs w:val="28"/>
          <w:highlight w:val="none"/>
          <w14:textFill>
            <w14:solidFill>
              <w14:schemeClr w14:val="tx1"/>
            </w14:solidFill>
          </w14:textFill>
        </w:rPr>
        <w:t>％以上的，与小型企业联合的可给予联合体</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的报价扣除，与微型企业联合的可给予联合体</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的报价扣除。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3.2.3</w:t>
      </w:r>
      <w:r>
        <w:rPr>
          <w:rFonts w:hint="eastAsia" w:ascii="方正仿宋_GBK" w:eastAsia="方正仿宋_GBK"/>
          <w:color w:val="000000" w:themeColor="text1"/>
          <w:szCs w:val="28"/>
          <w:highlight w:val="none"/>
          <w14:textFill>
            <w14:solidFill>
              <w14:schemeClr w14:val="tx1"/>
            </w14:solidFill>
          </w14:textFill>
        </w:rPr>
        <w:t>监狱企业、残疾人福利性单位属于微型企业的，应提供企业所在地的县级以上中小企业主管部门本年度出具的证明文件复印件和微型企业承诺书（详见第六篇五、其他“微型企业承诺书”）。未提供以上资料的监狱企业、残疾人福利性单位视同小型企业。</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成交供应商的确定：</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4.1</w:t>
      </w:r>
      <w:r>
        <w:rPr>
          <w:rFonts w:hint="eastAsia" w:ascii="方正仿宋_GBK" w:eastAsia="方正仿宋_GBK"/>
          <w:color w:val="000000" w:themeColor="text1"/>
          <w:szCs w:val="28"/>
          <w:highlight w:val="none"/>
          <w14:textFill>
            <w14:solidFill>
              <w14:schemeClr w14:val="tx1"/>
            </w14:solidFill>
          </w14:textFill>
        </w:rPr>
        <w:t>“第三篇谈判项目技术需求”有一条及以上不能满足竞争性谈判文件要求的供应商将失去成为成交供应商的资格。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4.2</w:t>
      </w:r>
      <w:r>
        <w:rPr>
          <w:rFonts w:hint="eastAsia" w:ascii="方正仿宋_GBK" w:eastAsia="方正仿宋_GBK"/>
          <w:color w:val="000000" w:themeColor="text1"/>
          <w:szCs w:val="28"/>
          <w:highlight w:val="none"/>
          <w14:textFill>
            <w14:solidFill>
              <w14:schemeClr w14:val="tx1"/>
            </w14:solidFill>
          </w14:textFill>
        </w:rPr>
        <w:t>“第四篇谈判项目服务需求”有一条及以上不能满足竞争性谈判文件要求的供应商将失去成为成交供应商的资格。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4.3</w:t>
      </w:r>
      <w:r>
        <w:rPr>
          <w:rFonts w:hint="eastAsia" w:ascii="方正仿宋_GBK" w:eastAsia="方正仿宋_GBK"/>
          <w:color w:val="000000" w:themeColor="text1"/>
          <w:szCs w:val="28"/>
          <w:highlight w:val="none"/>
          <w14:textFill>
            <w14:solidFill>
              <w14:schemeClr w14:val="tx1"/>
            </w14:solidFill>
          </w14:textFill>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4.4</w:t>
      </w:r>
      <w:r>
        <w:rPr>
          <w:rFonts w:hint="eastAsia" w:ascii="方正仿宋_GBK" w:eastAsia="方正仿宋_GBK"/>
          <w:color w:val="000000" w:themeColor="text1"/>
          <w:szCs w:val="28"/>
          <w:highlight w:val="none"/>
          <w14:textFill>
            <w14:solidFill>
              <w14:schemeClr w14:val="tx1"/>
            </w14:solidFill>
          </w14:textFill>
        </w:rPr>
        <w:t>谈判小组将依照评审办法提出成交候选人。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4.5</w:t>
      </w:r>
      <w:r>
        <w:rPr>
          <w:rFonts w:hint="eastAsia" w:ascii="方正仿宋_GBK" w:eastAsia="方正仿宋_GBK"/>
          <w:color w:val="000000" w:themeColor="text1"/>
          <w:szCs w:val="28"/>
          <w:highlight w:val="none"/>
          <w14:textFill>
            <w14:solidFill>
              <w14:schemeClr w14:val="tx1"/>
            </w14:solidFill>
          </w14:textFill>
        </w:rPr>
        <w:t>采购代理机构应当在评审结束后</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个工作日内将评审报告送采购人确认。采购人应当在收到评审报告后</w:t>
      </w: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4.6</w:t>
      </w:r>
      <w:r>
        <w:rPr>
          <w:rFonts w:hint="eastAsia" w:ascii="方正仿宋_GBK" w:eastAsia="方正仿宋_GBK"/>
          <w:color w:val="000000" w:themeColor="text1"/>
          <w:szCs w:val="28"/>
          <w:highlight w:val="none"/>
          <w14:textFill>
            <w14:solidFill>
              <w14:schemeClr w14:val="tx1"/>
            </w14:solidFill>
          </w14:textFill>
        </w:rPr>
        <w:t>成交供应商的变更</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4.6.1</w:t>
      </w:r>
      <w:r>
        <w:rPr>
          <w:rFonts w:hint="eastAsia" w:ascii="方正仿宋_GBK" w:eastAsia="方正仿宋_GBK"/>
          <w:color w:val="000000" w:themeColor="text1"/>
          <w:szCs w:val="28"/>
          <w:highlight w:val="none"/>
          <w14:textFill>
            <w14:solidFill>
              <w14:schemeClr w14:val="tx1"/>
            </w14:solidFill>
          </w14:textFill>
        </w:rPr>
        <w:t>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4.6.2</w:t>
      </w:r>
      <w:r>
        <w:rPr>
          <w:rFonts w:hint="eastAsia" w:ascii="方正仿宋_GBK" w:eastAsia="方正仿宋_GBK"/>
          <w:color w:val="000000" w:themeColor="text1"/>
          <w:szCs w:val="28"/>
          <w:highlight w:val="none"/>
          <w14:textFill>
            <w14:solidFill>
              <w14:schemeClr w14:val="tx1"/>
            </w14:solidFill>
          </w14:textFill>
        </w:rPr>
        <w:t>成交供应商无充分理由放弃成交的，采购人将会同采购代理机构把相关情况报财政部门，财政部门将根据相关法律法规的规定对违规供应商进行处罚。</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出现下列情形之一的，采购人或者采购代理机构应当终止竞争性谈判采购活动，发布项目终止公告并说明原因，重新开展采购活动：</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5.1</w:t>
      </w:r>
      <w:r>
        <w:rPr>
          <w:rFonts w:hint="eastAsia" w:ascii="方正仿宋_GBK" w:eastAsia="方正仿宋_GBK"/>
          <w:color w:val="000000" w:themeColor="text1"/>
          <w:szCs w:val="28"/>
          <w:highlight w:val="none"/>
          <w14:textFill>
            <w14:solidFill>
              <w14:schemeClr w14:val="tx1"/>
            </w14:solidFill>
          </w14:textFill>
        </w:rPr>
        <w:t>因情况变化，不再符合规定的竞争性谈判采购方式适用情形的；</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5.2</w:t>
      </w:r>
      <w:r>
        <w:rPr>
          <w:rFonts w:hint="eastAsia" w:ascii="方正仿宋_GBK" w:eastAsia="方正仿宋_GBK"/>
          <w:color w:val="000000" w:themeColor="text1"/>
          <w:szCs w:val="28"/>
          <w:highlight w:val="none"/>
          <w14:textFill>
            <w14:solidFill>
              <w14:schemeClr w14:val="tx1"/>
            </w14:solidFill>
          </w14:textFill>
        </w:rPr>
        <w:t>出现影响采购公正的违法、违规行为的；</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5.3</w:t>
      </w:r>
      <w:r>
        <w:rPr>
          <w:rFonts w:hint="eastAsia" w:ascii="方正仿宋_GBK" w:eastAsia="方正仿宋_GBK"/>
          <w:color w:val="000000" w:themeColor="text1"/>
          <w:szCs w:val="28"/>
          <w:highlight w:val="none"/>
          <w14:textFill>
            <w14:solidFill>
              <w14:schemeClr w14:val="tx1"/>
            </w14:solidFill>
          </w14:textFill>
        </w:rPr>
        <w:t>在采购过程中符合竞争要求的供应商或者报价未超过采购预算的供应商不足</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家的，但《政府采购非招标采购方式管理办法》第二十七条第二款规定的情形除外。</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2" w:name="_Toc342913395"/>
      <w:bookmarkStart w:id="43" w:name="_Toc6273"/>
      <w:bookmarkStart w:id="44" w:name="_Toc102227321"/>
      <w:r>
        <w:rPr>
          <w:rFonts w:hint="eastAsia" w:ascii="方正仿宋_GBK" w:eastAsia="方正仿宋_GBK"/>
          <w:b w:val="0"/>
          <w:color w:val="000000" w:themeColor="text1"/>
          <w:sz w:val="28"/>
          <w:szCs w:val="28"/>
          <w:highlight w:val="none"/>
          <w14:textFill>
            <w14:solidFill>
              <w14:schemeClr w14:val="tx1"/>
            </w14:solidFill>
          </w14:textFill>
        </w:rPr>
        <w:t>七、成交通知</w:t>
      </w:r>
      <w:bookmarkEnd w:id="42"/>
      <w:bookmarkEnd w:id="43"/>
      <w:bookmarkEnd w:id="44"/>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（一）成交供应商确定后，采购人将在重庆医科大学校园网上（主页</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服务大厅</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招投标信息）上发布成交结果公告。</w:t>
      </w:r>
    </w:p>
    <w:p>
      <w:pPr>
        <w:spacing w:line="40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（二）网上成交结果公告将作为签订合同的依据。</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5" w:name="_Toc30032"/>
      <w:r>
        <w:rPr>
          <w:rFonts w:hint="eastAsia" w:ascii="方正仿宋_GBK" w:eastAsia="方正仿宋_GBK"/>
          <w:b w:val="0"/>
          <w:color w:val="000000" w:themeColor="text1"/>
          <w:sz w:val="28"/>
          <w:szCs w:val="28"/>
          <w:highlight w:val="none"/>
          <w14:textFill>
            <w14:solidFill>
              <w14:schemeClr w14:val="tx1"/>
            </w14:solidFill>
          </w14:textFill>
        </w:rPr>
        <w:t>八、关于质疑和投诉</w:t>
      </w:r>
      <w:bookmarkEnd w:id="45"/>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供应商认为采购文件、采购过程和成交结果使自己的权益收到伤害的，可向采购人或采购代理机构以书面形式提出质疑。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提出质疑的应当是参与所质疑项目采购活动的供应商。</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w:t>
      </w:r>
      <w:r>
        <w:rPr>
          <w:rFonts w:hint="eastAsia" w:ascii="方正仿宋_GBK" w:hAnsi="仿宋" w:eastAsia="方正仿宋_GBK" w:cs="仿宋"/>
          <w:color w:val="000000" w:themeColor="text1"/>
          <w:szCs w:val="28"/>
          <w:highlight w:val="none"/>
          <w14:textFill>
            <w14:solidFill>
              <w14:schemeClr w14:val="tx1"/>
            </w14:solidFill>
          </w14:textFill>
        </w:rPr>
        <w:t>质疑时限、内容</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1.1</w:t>
      </w:r>
      <w:r>
        <w:rPr>
          <w:rFonts w:hint="eastAsia" w:ascii="方正仿宋_GBK" w:hAnsi="仿宋" w:eastAsia="方正仿宋_GBK" w:cs="仿宋"/>
          <w:color w:val="000000" w:themeColor="text1"/>
          <w:szCs w:val="28"/>
          <w:highlight w:val="none"/>
          <w14:textFill>
            <w14:solidFill>
              <w14:schemeClr w14:val="tx1"/>
            </w14:solidFill>
          </w14:textFill>
        </w:rPr>
        <w:t>供应商认为采购文件、采购过程、成交结果使自己的权益受到损害的，可以在知道或者应知其权益受到损害之日起</w:t>
      </w:r>
      <w:r>
        <w:rPr>
          <w:rFonts w:ascii="方正仿宋_GBK" w:hAnsi="仿宋" w:eastAsia="方正仿宋_GBK" w:cs="仿宋"/>
          <w:color w:val="000000" w:themeColor="text1"/>
          <w:szCs w:val="28"/>
          <w:highlight w:val="none"/>
          <w14:textFill>
            <w14:solidFill>
              <w14:schemeClr w14:val="tx1"/>
            </w14:solidFill>
          </w14:textFill>
        </w:rPr>
        <w:t>1</w:t>
      </w:r>
      <w:r>
        <w:rPr>
          <w:rFonts w:hint="eastAsia" w:ascii="方正仿宋_GBK" w:hAnsi="仿宋" w:eastAsia="方正仿宋_GBK" w:cs="仿宋"/>
          <w:color w:val="000000" w:themeColor="text1"/>
          <w:szCs w:val="28"/>
          <w:highlight w:val="none"/>
          <w14:textFill>
            <w14:solidFill>
              <w14:schemeClr w14:val="tx1"/>
            </w14:solidFill>
          </w14:textFill>
        </w:rPr>
        <w:t>个工作日内，以书面形式向采购人、采购代理机构提出质疑。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w:t>
      </w:r>
      <w:r>
        <w:rPr>
          <w:rFonts w:hint="eastAsia" w:ascii="方正仿宋_GBK" w:hAnsi="仿宋" w:eastAsia="方正仿宋_GBK" w:cs="仿宋"/>
          <w:color w:val="000000" w:themeColor="text1"/>
          <w:szCs w:val="28"/>
          <w:highlight w:val="none"/>
          <w14:textFill>
            <w14:solidFill>
              <w14:schemeClr w14:val="tx1"/>
            </w14:solidFill>
          </w14:textFill>
        </w:rPr>
        <w:t>供应商提出质疑应当提交质疑函和必要的证明材料，质疑函应当包括下列内容：</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1.2.1</w:t>
      </w:r>
      <w:r>
        <w:rPr>
          <w:rFonts w:hint="eastAsia" w:ascii="方正仿宋_GBK" w:hAnsi="仿宋" w:eastAsia="方正仿宋_GBK" w:cs="仿宋"/>
          <w:color w:val="000000" w:themeColor="text1"/>
          <w:szCs w:val="28"/>
          <w:highlight w:val="none"/>
          <w14:textFill>
            <w14:solidFill>
              <w14:schemeClr w14:val="tx1"/>
            </w14:solidFill>
          </w14:textFill>
        </w:rPr>
        <w:t>供应商的姓名或者名称、地址、邮编、联系人及联系电话；</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1.2.2</w:t>
      </w:r>
      <w:r>
        <w:rPr>
          <w:rFonts w:hint="eastAsia" w:ascii="方正仿宋_GBK" w:hAnsi="仿宋" w:eastAsia="方正仿宋_GBK" w:cs="仿宋"/>
          <w:color w:val="000000" w:themeColor="text1"/>
          <w:szCs w:val="28"/>
          <w:highlight w:val="none"/>
          <w14:textFill>
            <w14:solidFill>
              <w14:schemeClr w14:val="tx1"/>
            </w14:solidFill>
          </w14:textFill>
        </w:rPr>
        <w:t>质疑项目的名称、项目号以及谈判项目编号；</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1.2.3</w:t>
      </w:r>
      <w:r>
        <w:rPr>
          <w:rFonts w:hint="eastAsia" w:ascii="方正仿宋_GBK" w:hAnsi="仿宋" w:eastAsia="方正仿宋_GBK" w:cs="仿宋"/>
          <w:color w:val="000000" w:themeColor="text1"/>
          <w:szCs w:val="28"/>
          <w:highlight w:val="none"/>
          <w14:textFill>
            <w14:solidFill>
              <w14:schemeClr w14:val="tx1"/>
            </w14:solidFill>
          </w14:textFill>
        </w:rPr>
        <w:t>具体、明确的质疑事项和与质疑事项相关的请求；</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1.2.4</w:t>
      </w:r>
      <w:r>
        <w:rPr>
          <w:rFonts w:hint="eastAsia" w:ascii="方正仿宋_GBK" w:hAnsi="仿宋" w:eastAsia="方正仿宋_GBK" w:cs="仿宋"/>
          <w:color w:val="000000" w:themeColor="text1"/>
          <w:szCs w:val="28"/>
          <w:highlight w:val="none"/>
          <w14:textFill>
            <w14:solidFill>
              <w14:schemeClr w14:val="tx1"/>
            </w14:solidFill>
          </w14:textFill>
        </w:rPr>
        <w:t>事实依据；</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1.2.5</w:t>
      </w:r>
      <w:r>
        <w:rPr>
          <w:rFonts w:hint="eastAsia" w:ascii="方正仿宋_GBK" w:hAnsi="仿宋" w:eastAsia="方正仿宋_GBK" w:cs="仿宋"/>
          <w:color w:val="000000" w:themeColor="text1"/>
          <w:szCs w:val="28"/>
          <w:highlight w:val="none"/>
          <w14:textFill>
            <w14:solidFill>
              <w14:schemeClr w14:val="tx1"/>
            </w14:solidFill>
          </w14:textFill>
        </w:rPr>
        <w:t>必要的法律依据；</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1.2.6</w:t>
      </w:r>
      <w:r>
        <w:rPr>
          <w:rFonts w:hint="eastAsia" w:ascii="方正仿宋_GBK" w:hAnsi="仿宋" w:eastAsia="方正仿宋_GBK" w:cs="仿宋"/>
          <w:color w:val="000000" w:themeColor="text1"/>
          <w:szCs w:val="28"/>
          <w:highlight w:val="none"/>
          <w14:textFill>
            <w14:solidFill>
              <w14:schemeClr w14:val="tx1"/>
            </w14:solidFill>
          </w14:textFill>
        </w:rPr>
        <w:t>提出质疑的日期；</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1.2.7</w:t>
      </w:r>
      <w:r>
        <w:rPr>
          <w:rFonts w:hint="eastAsia" w:ascii="方正仿宋_GBK" w:hAnsi="仿宋" w:eastAsia="方正仿宋_GBK" w:cs="仿宋"/>
          <w:color w:val="000000" w:themeColor="text1"/>
          <w:szCs w:val="28"/>
          <w:highlight w:val="none"/>
          <w14:textFill>
            <w14:solidFill>
              <w14:schemeClr w14:val="tx1"/>
            </w14:solidFill>
          </w14:textFill>
        </w:rPr>
        <w:t>营业执照（或事业单位法人证书，或个体工商户营业执照或有效的自然人身份证明、组织机构代码证）复印件；</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1.2.8</w:t>
      </w:r>
      <w:r>
        <w:rPr>
          <w:rFonts w:hint="eastAsia" w:ascii="方正仿宋_GBK" w:hAnsi="仿宋" w:eastAsia="方正仿宋_GBK" w:cs="仿宋"/>
          <w:color w:val="000000" w:themeColor="text1"/>
          <w:szCs w:val="28"/>
          <w:highlight w:val="none"/>
          <w14:textFill>
            <w14:solidFill>
              <w14:schemeClr w14:val="tx1"/>
            </w14:solidFill>
          </w14:textFill>
        </w:rPr>
        <w:t>法定代表人授权委托书原件、法定代表人身份证复印件和其授权代表的身份证复印件（供应商为自然人的提供自然人身份证复印件）；</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1.3</w:t>
      </w:r>
      <w:r>
        <w:rPr>
          <w:rFonts w:hint="eastAsia" w:ascii="方正仿宋_GBK" w:hAnsi="仿宋" w:eastAsia="方正仿宋_GBK" w:cs="仿宋"/>
          <w:color w:val="000000" w:themeColor="text1"/>
          <w:szCs w:val="28"/>
          <w:highlight w:val="none"/>
          <w14:textFill>
            <w14:solidFill>
              <w14:schemeClr w14:val="tx1"/>
            </w14:solidFill>
          </w14:textFill>
        </w:rPr>
        <w:t>供应商为自然人的，质疑函应当由本人签字；供应商为法人或者其他组织的，质疑函应当由法定代表人、主要负责人，或者其授权代表签字或者盖章，并加盖公章。</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2.</w:t>
      </w:r>
      <w:r>
        <w:rPr>
          <w:rFonts w:hint="eastAsia" w:ascii="方正仿宋_GBK" w:hAnsi="仿宋" w:eastAsia="方正仿宋_GBK" w:cs="仿宋"/>
          <w:color w:val="000000" w:themeColor="text1"/>
          <w:szCs w:val="28"/>
          <w:highlight w:val="none"/>
          <w14:textFill>
            <w14:solidFill>
              <w14:schemeClr w14:val="tx1"/>
            </w14:solidFill>
          </w14:textFill>
        </w:rPr>
        <w:t>质疑答复</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采购人、采购代理机构应当在收到供应商的书面质疑后</w:t>
      </w:r>
      <w:r>
        <w:rPr>
          <w:rFonts w:ascii="方正仿宋_GBK" w:hAnsi="仿宋" w:eastAsia="方正仿宋_GBK" w:cs="仿宋"/>
          <w:color w:val="000000" w:themeColor="text1"/>
          <w:szCs w:val="28"/>
          <w:highlight w:val="none"/>
          <w14:textFill>
            <w14:solidFill>
              <w14:schemeClr w14:val="tx1"/>
            </w14:solidFill>
          </w14:textFill>
        </w:rPr>
        <w:t>3</w:t>
      </w:r>
      <w:r>
        <w:rPr>
          <w:rFonts w:hint="eastAsia" w:ascii="方正仿宋_GBK" w:hAnsi="仿宋" w:eastAsia="方正仿宋_GBK" w:cs="仿宋"/>
          <w:color w:val="000000" w:themeColor="text1"/>
          <w:szCs w:val="28"/>
          <w:highlight w:val="none"/>
          <w14:textFill>
            <w14:solidFill>
              <w14:schemeClr w14:val="tx1"/>
            </w14:solidFill>
          </w14:textFill>
        </w:rPr>
        <w:t>个工作日内作出答复，并以书面形式通知质疑供应商和其他有关供应商。</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w:t>
      </w:r>
      <w:r>
        <w:rPr>
          <w:rFonts w:hint="eastAsia" w:ascii="方正仿宋_GBK" w:hAnsi="仿宋" w:eastAsia="方正仿宋_GBK" w:cs="仿宋"/>
          <w:color w:val="000000" w:themeColor="text1"/>
          <w:szCs w:val="28"/>
          <w:highlight w:val="none"/>
          <w14:textFill>
            <w14:solidFill>
              <w14:schemeClr w14:val="tx1"/>
            </w14:solidFill>
          </w14:textFill>
        </w:rPr>
        <w:t>其他</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3.1</w:t>
      </w:r>
      <w:r>
        <w:rPr>
          <w:rFonts w:hint="eastAsia" w:ascii="方正仿宋_GBK" w:hAnsi="仿宋" w:eastAsia="方正仿宋_GBK" w:cs="仿宋"/>
          <w:color w:val="000000" w:themeColor="text1"/>
          <w:szCs w:val="28"/>
          <w:highlight w:val="none"/>
          <w14:textFill>
            <w14:solidFill>
              <w14:schemeClr w14:val="tx1"/>
            </w14:solidFill>
          </w14:textFill>
        </w:rPr>
        <w:t>供应商应按照《政府采购质疑和投诉办法》（财政部令第</w:t>
      </w:r>
      <w:r>
        <w:rPr>
          <w:rFonts w:ascii="方正仿宋_GBK" w:hAnsi="仿宋" w:eastAsia="方正仿宋_GBK" w:cs="仿宋"/>
          <w:color w:val="000000" w:themeColor="text1"/>
          <w:szCs w:val="28"/>
          <w:highlight w:val="none"/>
          <w14:textFill>
            <w14:solidFill>
              <w14:schemeClr w14:val="tx1"/>
            </w14:solidFill>
          </w14:textFill>
        </w:rPr>
        <w:t>94</w:t>
      </w:r>
      <w:r>
        <w:rPr>
          <w:rFonts w:hint="eastAsia" w:ascii="方正仿宋_GBK" w:hAnsi="仿宋" w:eastAsia="方正仿宋_GBK" w:cs="仿宋"/>
          <w:color w:val="000000" w:themeColor="text1"/>
          <w:szCs w:val="28"/>
          <w:highlight w:val="none"/>
          <w14:textFill>
            <w14:solidFill>
              <w14:schemeClr w14:val="tx1"/>
            </w14:solidFill>
          </w14:textFill>
        </w:rPr>
        <w:t>号）及相关法律法规要求，在法定质疑期内一次性提出针对同一采购程序环节的质疑。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3.2</w:t>
      </w:r>
      <w:r>
        <w:rPr>
          <w:rFonts w:hint="eastAsia" w:ascii="方正仿宋_GBK" w:hAnsi="仿宋" w:eastAsia="方正仿宋_GBK" w:cs="仿宋"/>
          <w:color w:val="000000" w:themeColor="text1"/>
          <w:szCs w:val="28"/>
          <w:highlight w:val="none"/>
          <w14:textFill>
            <w14:solidFill>
              <w14:schemeClr w14:val="tx1"/>
            </w14:solidFill>
          </w14:textFill>
        </w:rPr>
        <w:t>质疑函范本可在财政部门户网站和中国政府采购网下载。</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（二）投诉</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w:t>
      </w:r>
      <w:r>
        <w:rPr>
          <w:rFonts w:hint="eastAsia" w:ascii="方正仿宋_GBK" w:hAnsi="仿宋" w:eastAsia="方正仿宋_GBK" w:cs="仿宋"/>
          <w:color w:val="000000" w:themeColor="text1"/>
          <w:szCs w:val="28"/>
          <w:highlight w:val="none"/>
          <w14:textFill>
            <w14:solidFill>
              <w14:schemeClr w14:val="tx1"/>
            </w14:solidFill>
          </w14:textFill>
        </w:rPr>
        <w:t>供应商对采购人、采购代理机构的答复不满意，或者采购人、采购代理机构未在规定时间内作出答复的，可以在答复期满后</w:t>
      </w:r>
      <w:r>
        <w:rPr>
          <w:rFonts w:ascii="方正仿宋_GBK" w:hAnsi="仿宋" w:eastAsia="方正仿宋_GBK" w:cs="仿宋"/>
          <w:color w:val="000000" w:themeColor="text1"/>
          <w:szCs w:val="28"/>
          <w:highlight w:val="none"/>
          <w14:textFill>
            <w14:solidFill>
              <w14:schemeClr w14:val="tx1"/>
            </w14:solidFill>
          </w14:textFill>
        </w:rPr>
        <w:t>15</w:t>
      </w:r>
      <w:r>
        <w:rPr>
          <w:rFonts w:hint="eastAsia" w:ascii="方正仿宋_GBK" w:hAnsi="仿宋" w:eastAsia="方正仿宋_GBK" w:cs="仿宋"/>
          <w:color w:val="000000" w:themeColor="text1"/>
          <w:szCs w:val="28"/>
          <w:highlight w:val="none"/>
          <w14:textFill>
            <w14:solidFill>
              <w14:schemeClr w14:val="tx1"/>
            </w14:solidFill>
          </w14:textFill>
        </w:rPr>
        <w:t>个工作日内按照相关法律法规向财政部门提起投诉。</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2.</w:t>
      </w:r>
      <w:r>
        <w:rPr>
          <w:rFonts w:hint="eastAsia" w:ascii="方正仿宋_GBK" w:hAnsi="仿宋" w:eastAsia="方正仿宋_GBK" w:cs="仿宋"/>
          <w:color w:val="000000" w:themeColor="text1"/>
          <w:szCs w:val="28"/>
          <w:highlight w:val="none"/>
          <w14:textFill>
            <w14:solidFill>
              <w14:schemeClr w14:val="tx1"/>
            </w14:solidFill>
          </w14:textFill>
        </w:rPr>
        <w:t>供应商应按照《政府采购质疑和投诉办法》（财政部令第</w:t>
      </w:r>
      <w:r>
        <w:rPr>
          <w:rFonts w:ascii="方正仿宋_GBK" w:hAnsi="仿宋" w:eastAsia="方正仿宋_GBK" w:cs="仿宋"/>
          <w:color w:val="000000" w:themeColor="text1"/>
          <w:szCs w:val="28"/>
          <w:highlight w:val="none"/>
          <w14:textFill>
            <w14:solidFill>
              <w14:schemeClr w14:val="tx1"/>
            </w14:solidFill>
          </w14:textFill>
        </w:rPr>
        <w:t>94</w:t>
      </w:r>
      <w:r>
        <w:rPr>
          <w:rFonts w:hint="eastAsia" w:ascii="方正仿宋_GBK" w:hAnsi="仿宋" w:eastAsia="方正仿宋_GBK" w:cs="仿宋"/>
          <w:color w:val="000000" w:themeColor="text1"/>
          <w:szCs w:val="28"/>
          <w:highlight w:val="none"/>
          <w14:textFill>
            <w14:solidFill>
              <w14:schemeClr w14:val="tx1"/>
            </w14:solidFill>
          </w14:textFill>
        </w:rPr>
        <w:t>号）及相关法律法规要求递交投诉书和必要的证明材料。投诉书范本可在财政部门户网站和中国政府采购网下载。</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w:t>
      </w:r>
      <w:r>
        <w:rPr>
          <w:rFonts w:hint="eastAsia" w:ascii="方正仿宋_GBK" w:hAnsi="仿宋" w:eastAsia="方正仿宋_GBK" w:cs="仿宋"/>
          <w:color w:val="000000" w:themeColor="text1"/>
          <w:szCs w:val="28"/>
          <w:highlight w:val="none"/>
          <w14:textFill>
            <w14:solidFill>
              <w14:schemeClr w14:val="tx1"/>
            </w14:solidFill>
          </w14:textFill>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4.</w:t>
      </w:r>
      <w:r>
        <w:rPr>
          <w:rFonts w:hint="eastAsia" w:ascii="方正仿宋_GBK" w:hAnsi="仿宋" w:eastAsia="方正仿宋_GBK" w:cs="仿宋"/>
          <w:color w:val="000000" w:themeColor="text1"/>
          <w:szCs w:val="28"/>
          <w:highlight w:val="none"/>
          <w14:textFill>
            <w14:solidFill>
              <w14:schemeClr w14:val="tx1"/>
            </w14:solidFill>
          </w14:textFill>
        </w:rPr>
        <w:t>在确定受理投诉后，财政部门自受理投诉之日起</w:t>
      </w:r>
      <w:r>
        <w:rPr>
          <w:rFonts w:ascii="方正仿宋_GBK" w:hAnsi="仿宋" w:eastAsia="方正仿宋_GBK" w:cs="仿宋"/>
          <w:color w:val="000000" w:themeColor="text1"/>
          <w:szCs w:val="28"/>
          <w:highlight w:val="none"/>
          <w14:textFill>
            <w14:solidFill>
              <w14:schemeClr w14:val="tx1"/>
            </w14:solidFill>
          </w14:textFill>
        </w:rPr>
        <w:t>30</w:t>
      </w:r>
      <w:r>
        <w:rPr>
          <w:rFonts w:hint="eastAsia" w:ascii="方正仿宋_GBK" w:hAnsi="仿宋" w:eastAsia="方正仿宋_GBK" w:cs="仿宋"/>
          <w:color w:val="000000" w:themeColor="text1"/>
          <w:szCs w:val="28"/>
          <w:highlight w:val="none"/>
          <w14:textFill>
            <w14:solidFill>
              <w14:schemeClr w14:val="tx1"/>
            </w14:solidFill>
          </w14:textFill>
        </w:rPr>
        <w:t>个工作日内（需要检验、检测、鉴定、专家评审以及需要投诉人补正材料的，所需时间不计算在投诉处理期限内）对投诉事项做出处理决定。</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6" w:name="_Toc17694"/>
      <w:bookmarkStart w:id="47" w:name="_Toc342913396"/>
      <w:bookmarkStart w:id="48" w:name="_Toc102227322"/>
      <w:r>
        <w:rPr>
          <w:rFonts w:hint="eastAsia" w:ascii="方正仿宋_GBK" w:eastAsia="方正仿宋_GBK"/>
          <w:b w:val="0"/>
          <w:color w:val="000000" w:themeColor="text1"/>
          <w:sz w:val="28"/>
          <w:szCs w:val="28"/>
          <w:highlight w:val="none"/>
          <w14:textFill>
            <w14:solidFill>
              <w14:schemeClr w14:val="tx1"/>
            </w14:solidFill>
          </w14:textFill>
        </w:rPr>
        <w:t>九、签订合同</w:t>
      </w:r>
      <w:bookmarkEnd w:id="46"/>
    </w:p>
    <w:bookmarkEnd w:id="47"/>
    <w:bookmarkEnd w:id="48"/>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一）采购人应当自网上成交结果公告发出之日起三十日内，按照竞争性谈判文件和成交供应商响应文件的约定，与成交供应商签订书面合同。所签订的合同不得对竞争性谈判文件和供应商的响应文件作实质性修改。</w:t>
      </w:r>
    </w:p>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（二）竞争性谈判文件、供应商的响应文件及澄清文件等，均为签订采购合同的依据。</w:t>
      </w:r>
    </w:p>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（三）合同生效条款由供需双方约定，法律、行政法规规定应当办理批准、登记等手续后生效的合同，依照其规定。</w:t>
      </w:r>
    </w:p>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（四）合同原则上应按照《重庆医科大学经济合同》签订，相关单位要求适用合同通用格式版本的，应按其要求另行签订其他合同。</w:t>
      </w:r>
    </w:p>
    <w:p>
      <w:pPr>
        <w:spacing w:line="560" w:lineRule="exact"/>
        <w:ind w:firstLine="425" w:firstLineChars="152"/>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（五）采购人要求成交供应商提供履约保证金的，应当在竞争性谈判文件中予以约定。成交供应商履约完毕后，采购人根据采购文件规定无息退还其履约保证金。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sectPr>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bookmarkStart w:id="49" w:name="_Toc535312149"/>
      <w:bookmarkStart w:id="50" w:name="_Toc821"/>
      <w:bookmarkStart w:id="51" w:name="_Toc12789058"/>
      <w:r>
        <w:rPr>
          <w:rFonts w:hint="eastAsia" w:ascii="黑体" w:hAnsi="黑体"/>
          <w:b w:val="0"/>
          <w:color w:val="000000" w:themeColor="text1"/>
          <w:sz w:val="44"/>
          <w:szCs w:val="44"/>
          <w:highlight w:val="none"/>
          <w14:textFill>
            <w14:solidFill>
              <w14:schemeClr w14:val="tx1"/>
            </w14:solidFill>
          </w14:textFill>
        </w:rPr>
        <w:t>第三篇</w:t>
      </w:r>
      <w:r>
        <w:rPr>
          <w:rFonts w:hint="eastAsia" w:ascii="黑体" w:hAnsi="黑体"/>
          <w:b w:val="0"/>
          <w:color w:val="000000" w:themeColor="text1"/>
          <w:sz w:val="44"/>
          <w:szCs w:val="44"/>
          <w:highlight w:val="none"/>
          <w:lang w:val="en-US" w:eastAsia="zh-CN"/>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谈判项目技术需求</w:t>
      </w:r>
      <w:bookmarkEnd w:id="49"/>
      <w:bookmarkEnd w:id="50"/>
    </w:p>
    <w:p>
      <w:pPr>
        <w:pStyle w:val="4"/>
        <w:numPr>
          <w:ilvl w:val="0"/>
          <w:numId w:val="1"/>
        </w:numPr>
        <w:spacing w:before="0" w:after="0" w:line="560" w:lineRule="exact"/>
        <w:rPr>
          <w:rFonts w:ascii="方正仿宋_GBK" w:eastAsia="方正仿宋_GBK"/>
          <w:color w:val="000000" w:themeColor="text1"/>
          <w:sz w:val="28"/>
          <w:szCs w:val="28"/>
          <w:highlight w:val="none"/>
          <w14:textFill>
            <w14:solidFill>
              <w14:schemeClr w14:val="tx1"/>
            </w14:solidFill>
          </w14:textFill>
        </w:rPr>
      </w:pPr>
      <w:bookmarkStart w:id="52" w:name="_Toc24539"/>
      <w:bookmarkStart w:id="53" w:name="_Toc535312150"/>
      <w:r>
        <w:rPr>
          <w:rFonts w:hint="eastAsia" w:ascii="方正仿宋_GBK" w:eastAsia="方正仿宋_GBK"/>
          <w:color w:val="000000" w:themeColor="text1"/>
          <w:sz w:val="28"/>
          <w:szCs w:val="28"/>
          <w:highlight w:val="none"/>
          <w14:textFill>
            <w14:solidFill>
              <w14:schemeClr w14:val="tx1"/>
            </w14:solidFill>
          </w14:textFill>
        </w:rPr>
        <w:t>项目一览表</w:t>
      </w:r>
      <w:bookmarkEnd w:id="52"/>
      <w:bookmarkEnd w:id="53"/>
    </w:p>
    <w:p>
      <w:pPr>
        <w:jc w:val="center"/>
        <w:rPr>
          <w:rFonts w:ascii="黑体" w:hAnsi="黑体" w:eastAsia="黑体"/>
          <w:b/>
          <w:color w:val="000000" w:themeColor="text1"/>
          <w:highlight w:val="none"/>
          <w14:textFill>
            <w14:solidFill>
              <w14:schemeClr w14:val="tx1"/>
            </w14:solidFill>
          </w14:textFill>
        </w:rPr>
      </w:pPr>
    </w:p>
    <w:tbl>
      <w:tblPr>
        <w:tblStyle w:val="57"/>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4837"/>
        <w:gridCol w:w="1848"/>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bookmarkStart w:id="54" w:name="_Toc313536013"/>
            <w:bookmarkStart w:id="55" w:name="_Toc535312151"/>
            <w:bookmarkStart w:id="56" w:name="_Toc344475116"/>
            <w:r>
              <w:rPr>
                <w:rFonts w:hint="eastAsia" w:ascii="方正仿宋_GBK" w:hAnsi="宋体" w:eastAsia="方正仿宋_GBK" w:cs="仿宋"/>
                <w:b/>
                <w:bCs/>
                <w:color w:val="000000" w:themeColor="text1"/>
                <w:sz w:val="21"/>
                <w:szCs w:val="21"/>
                <w:highlight w:val="none"/>
                <w14:textFill>
                  <w14:solidFill>
                    <w14:schemeClr w14:val="tx1"/>
                  </w14:solidFill>
                </w14:textFill>
              </w:rPr>
              <w:t>序号</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产品名称（设备名称）</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数量/单位</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LED洁净灯</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28套</w:t>
            </w:r>
          </w:p>
        </w:tc>
        <w:tc>
          <w:tcPr>
            <w:tcW w:w="16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LED平板灯</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40套</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3</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电线电缆配套</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1项</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4</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实验室家具</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80米</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5</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通风柜及配套</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2项</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6</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3P柜机空调</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3台</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7</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5P柜机空调</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3台</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8</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空调设备</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16套</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辅材</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1项</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10</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人工及安装调试</w:t>
            </w:r>
          </w:p>
        </w:tc>
        <w:tc>
          <w:tcPr>
            <w:tcW w:w="184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1项</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bl>
    <w:p>
      <w:pPr>
        <w:pStyle w:val="4"/>
        <w:spacing w:before="0" w:afterLines="50" w:line="560" w:lineRule="exact"/>
        <w:rPr>
          <w:rFonts w:ascii="方正仿宋_GBK" w:eastAsia="方正仿宋_GBK"/>
          <w:color w:val="000000" w:themeColor="text1"/>
          <w:sz w:val="28"/>
          <w:szCs w:val="28"/>
          <w:highlight w:val="none"/>
          <w14:textFill>
            <w14:solidFill>
              <w14:schemeClr w14:val="tx1"/>
            </w14:solidFill>
          </w14:textFill>
        </w:rPr>
      </w:pPr>
    </w:p>
    <w:p>
      <w:pPr>
        <w:pStyle w:val="4"/>
        <w:spacing w:before="0" w:afterLines="50" w:line="560" w:lineRule="exact"/>
        <w:rPr>
          <w:rFonts w:ascii="方正仿宋_GBK" w:hAnsi="宋体" w:eastAsia="方正仿宋_GBK"/>
          <w:color w:val="000000" w:themeColor="text1"/>
          <w:szCs w:val="28"/>
          <w:highlight w:val="none"/>
          <w14:textFill>
            <w14:solidFill>
              <w14:schemeClr w14:val="tx1"/>
            </w14:solidFill>
          </w14:textFill>
        </w:rPr>
      </w:pPr>
      <w:bookmarkStart w:id="57" w:name="_Toc26324"/>
      <w:r>
        <w:rPr>
          <w:rFonts w:hint="eastAsia" w:ascii="方正仿宋_GBK" w:eastAsia="方正仿宋_GBK"/>
          <w:color w:val="000000" w:themeColor="text1"/>
          <w:sz w:val="28"/>
          <w:szCs w:val="28"/>
          <w:highlight w:val="none"/>
          <w14:textFill>
            <w14:solidFill>
              <w14:schemeClr w14:val="tx1"/>
            </w14:solidFill>
          </w14:textFill>
        </w:rPr>
        <w:t>二、技术规格及质量要求</w:t>
      </w:r>
      <w:bookmarkEnd w:id="54"/>
      <w:bookmarkEnd w:id="55"/>
      <w:bookmarkEnd w:id="56"/>
      <w:bookmarkEnd w:id="57"/>
    </w:p>
    <w:tbl>
      <w:tblPr>
        <w:tblStyle w:val="57"/>
        <w:tblW w:w="10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34"/>
        <w:gridCol w:w="7229"/>
        <w:gridCol w:w="904"/>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8" w:type="dxa"/>
            <w:shd w:val="clear" w:color="000000" w:fill="D9D9D9"/>
            <w:noWrap/>
            <w:vAlign w:val="center"/>
          </w:tcPr>
          <w:p>
            <w:pPr>
              <w:widowControl/>
              <w:jc w:val="center"/>
              <w:rPr>
                <w:rFonts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序号</w:t>
            </w:r>
          </w:p>
        </w:tc>
        <w:tc>
          <w:tcPr>
            <w:tcW w:w="1134" w:type="dxa"/>
            <w:shd w:val="clear" w:color="000000" w:fill="D9D9D9"/>
            <w:vAlign w:val="center"/>
          </w:tcPr>
          <w:p>
            <w:pPr>
              <w:widowControl/>
              <w:jc w:val="center"/>
              <w:rPr>
                <w:rFonts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名称</w:t>
            </w:r>
          </w:p>
        </w:tc>
        <w:tc>
          <w:tcPr>
            <w:tcW w:w="7229" w:type="dxa"/>
            <w:shd w:val="clear" w:color="000000" w:fill="D9D9D9"/>
            <w:noWrap/>
            <w:vAlign w:val="center"/>
          </w:tcPr>
          <w:p>
            <w:pPr>
              <w:widowControl/>
              <w:jc w:val="center"/>
              <w:rPr>
                <w:rFonts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参数</w:t>
            </w:r>
          </w:p>
        </w:tc>
        <w:tc>
          <w:tcPr>
            <w:tcW w:w="904" w:type="dxa"/>
            <w:shd w:val="clear" w:color="000000" w:fill="D9D9D9"/>
            <w:noWrap/>
            <w:vAlign w:val="center"/>
          </w:tcPr>
          <w:p>
            <w:pPr>
              <w:widowControl/>
              <w:jc w:val="center"/>
              <w:rPr>
                <w:rFonts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数量</w:t>
            </w:r>
          </w:p>
        </w:tc>
        <w:tc>
          <w:tcPr>
            <w:tcW w:w="483" w:type="dxa"/>
            <w:shd w:val="clear" w:color="000000" w:fill="D9D9D9"/>
            <w:noWrap/>
            <w:vAlign w:val="center"/>
          </w:tcPr>
          <w:p>
            <w:pPr>
              <w:widowControl/>
              <w:jc w:val="center"/>
              <w:rPr>
                <w:rFonts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8"/>
                <w:szCs w:val="2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LED洁净灯</w:t>
            </w:r>
          </w:p>
        </w:tc>
        <w:tc>
          <w:tcPr>
            <w:tcW w:w="7229" w:type="dxa"/>
            <w:tcBorders>
              <w:top w:val="single" w:color="auto" w:sz="4" w:space="0"/>
              <w:left w:val="nil"/>
              <w:bottom w:val="single" w:color="auto" w:sz="4" w:space="0"/>
              <w:right w:val="single" w:color="auto" w:sz="4" w:space="0"/>
            </w:tcBorders>
            <w:vAlign w:val="center"/>
          </w:tcPr>
          <w:p>
            <w:pPr>
              <w:numPr>
                <w:ilvl w:val="0"/>
                <w:numId w:val="2"/>
              </w:num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规格：300*1200mm；</w:t>
            </w:r>
          </w:p>
          <w:p>
            <w:pPr>
              <w:numPr>
                <w:ilvl w:val="0"/>
                <w:numId w:val="2"/>
              </w:numPr>
              <w:rPr>
                <w:rFonts w:hint="default"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生产厂家具备中国国家强制性产品认证证书；</w:t>
            </w:r>
          </w:p>
        </w:tc>
        <w:tc>
          <w:tcPr>
            <w:tcW w:w="904" w:type="dxa"/>
            <w:tcBorders>
              <w:top w:val="single" w:color="auto" w:sz="4" w:space="0"/>
              <w:left w:val="nil"/>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28</w:t>
            </w:r>
          </w:p>
        </w:tc>
        <w:tc>
          <w:tcPr>
            <w:tcW w:w="483" w:type="dxa"/>
            <w:tcBorders>
              <w:top w:val="single" w:color="auto" w:sz="4" w:space="0"/>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2</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8"/>
                <w:szCs w:val="2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LED平板灯</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600*600mm</w:t>
            </w:r>
          </w:p>
        </w:tc>
        <w:tc>
          <w:tcPr>
            <w:tcW w:w="904" w:type="dxa"/>
            <w:tcBorders>
              <w:top w:val="nil"/>
              <w:left w:val="nil"/>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40</w:t>
            </w:r>
          </w:p>
        </w:tc>
        <w:tc>
          <w:tcPr>
            <w:tcW w:w="483"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3</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8"/>
                <w:szCs w:val="2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电线电缆配套</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电缆电线，规格:ZRBV-500V-2.5～4mm2；4*35+1*16电缆；配电箱及其他相关材料</w:t>
            </w:r>
          </w:p>
        </w:tc>
        <w:tc>
          <w:tcPr>
            <w:tcW w:w="90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483"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4</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8"/>
                <w:szCs w:val="2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实验室家具</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1、L*750*850；</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2、利旧安装，含相关配套材料</w:t>
            </w:r>
          </w:p>
        </w:tc>
        <w:tc>
          <w:tcPr>
            <w:tcW w:w="90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80</w:t>
            </w:r>
          </w:p>
        </w:tc>
        <w:tc>
          <w:tcPr>
            <w:tcW w:w="483"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2"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5</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8"/>
                <w:szCs w:val="2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通风柜及配套</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1、主体材质采用鞍钢1.0实厚冷扎钢板，成品厚度达1.0-1.2mm。</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2、表面经酸洗磷化烘干抛光打磨处理。</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3、喷涂材质采用阿克苏环氧树脂粉末喷涂厚度80um，经180度高温固化。</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4、内胆结构材质采用5mm抗倍特板。</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5、全铝合金移门(永久不变型):传动采用同步轮+同步带+同步轴开启轻松顺滑自如，任意位置无级停留，移门不倾斜，视窗采用铝合金型材+5mm钢化玻璃，配重方式为后置滑槽加消音密封毛条。</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6、配置 220V/380V电箱控制系统，含空气开关，交流接触器，热过载保护。</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7、含液晶控制面板操作控制。</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8、含4个10A多功能3孔防水插座。</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9、内胆两侧采用一体成型卡扣式可拆卸水电气路检修窗。</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10、照明方式为瞬间启动LED三防灯。</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11，通风口为PP直径250mm集气罩。</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 xml:space="preserve">12、下柜标配外置M10*40调整脚，最大调节高度50mm。 </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13、台面：要求耐化学腐蚀性能优越，抗刮痕，必须采用≥12.7m厚度的国际知名品牌耐腐蚀实芯理化板. 边缘背边加工带止水槽，打磨,呈弧型，总厚度为25.4mm。台面应保持水平，拼接台面应保持在一个平面内。台面与柜体之间应连接稳固，台面不能脱落或跷起。台面材料必须符合以下技术参数及证书要求并提供相应检测报告加盖生产厂家鲜章：</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13.1、化学性能要求: 耐化学腐蚀性能优越，提供SEFA常规49 种化学试剂的检测报告,所有检测项均达到0级。同时提供SEFA会员认证）。</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13.2、化学物排放：96H时目标VOCs的舱浓度检测不低于30种，其中TVOC、甲苯、二甲苯、乙苯、乙醛、二氧化硫等检测结果为N.D.。</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13.3、环保能性要求：经GB/T 39600-2021标准检测，甲醛释放量判定结果为ENF级。</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13.4、物理性能要求：提供国家级检测机构出具的型式检验报告，其中防火性能达到B1级；烟气毒性等级，达到ZA3 ；表面耐干热性能≧5级；耐磨性≧1140转；抗大球冲击性（0.324kg)凹痕直径≤6mm；耐污染性≧5级。耐光色牢度5级;尺寸稳定性，横、纵向均≤0.3%;弯曲弹性模量≥17000MPa。</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13.5、放射性核素限量，内、外照射指数按国家标准(GB6566-2010)检测≤0.1。</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13.6、提供燃烧性能等级标识授权使用证书。</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13.7、公共场所阻燃品及组件标识使用证书。</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13.8、配套风管、水管及电线电缆。</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14、利旧通风柜拆装1台。</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15、PP水槽：耐腐蚀性：高密度PP材质，浸泡在含40%氢氧化钾、40%盐酸、99%乙酸、70%硝酸在内的12种试剂中，48小时后没有变化，具有超强耐腐蚀性。承重56KG以上，48小时后无变形、破损。提供相关检测报告复印件，并加盖制造商公章。</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16、水龙头：采用加厚铜质材料，高亮度环氧树脂涂层，耐腐蚀、耐热，防紫外线辐射。提供符合以下技术参数的检测报告加盖生产厂家鲜章：</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16.1龙头材质须进行重金属污染物析出试验，水龙头铅析出值应不大于2μg/L，非铅含量析出值应不大于GB 18145-2014标准中的规定。</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16.2龙头经GB/T2423.2-2008标准中产品耐高温试验，经100℃环境24小时候，产品无外观变化。</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16.3龙头符合《EN13792-2002实验室用旋塞和阀门的颜色编码》标准中的规定。</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16.4龙头水流量需在3. 0L/min≤ Q ≤9. 0L /min之间。</w:t>
            </w:r>
          </w:p>
        </w:tc>
        <w:tc>
          <w:tcPr>
            <w:tcW w:w="90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p>
        </w:tc>
        <w:tc>
          <w:tcPr>
            <w:tcW w:w="483"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6</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8"/>
                <w:szCs w:val="2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柜机空调</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3P（含内机、外机、铜管及通讯）</w:t>
            </w:r>
          </w:p>
        </w:tc>
        <w:tc>
          <w:tcPr>
            <w:tcW w:w="904"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483"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7</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8"/>
                <w:szCs w:val="2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柜机空调</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5P（含内机、外机、铜管及通讯）</w:t>
            </w:r>
          </w:p>
        </w:tc>
        <w:tc>
          <w:tcPr>
            <w:tcW w:w="90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483"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8</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8"/>
                <w:szCs w:val="2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空调设备</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（含内机、外机、铜管及通讯，其中内外机利旧，拆除并安装，铜管、冷媒及通讯线路重新制作）</w:t>
            </w:r>
          </w:p>
        </w:tc>
        <w:tc>
          <w:tcPr>
            <w:tcW w:w="904" w:type="dxa"/>
            <w:tcBorders>
              <w:top w:val="nil"/>
              <w:left w:val="nil"/>
              <w:bottom w:val="single" w:color="auto" w:sz="4" w:space="0"/>
              <w:right w:val="single" w:color="auto" w:sz="4" w:space="0"/>
            </w:tcBorders>
            <w:noWrap/>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16</w:t>
            </w:r>
          </w:p>
        </w:tc>
        <w:tc>
          <w:tcPr>
            <w:tcW w:w="483" w:type="dxa"/>
            <w:tcBorders>
              <w:top w:val="nil"/>
              <w:left w:val="nil"/>
              <w:bottom w:val="single" w:color="auto" w:sz="4" w:space="0"/>
              <w:right w:val="single" w:color="auto" w:sz="4" w:space="0"/>
            </w:tcBorders>
            <w:noWrap/>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9</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8"/>
                <w:szCs w:val="2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辅材</w:t>
            </w:r>
          </w:p>
        </w:tc>
        <w:tc>
          <w:tcPr>
            <w:tcW w:w="72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4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方正仿宋_GBK" w:hAnsi="宋体" w:eastAsia="方正仿宋_GBK" w:cs="宋体"/>
                <w:color w:val="000000" w:themeColor="text1"/>
                <w:kern w:val="0"/>
                <w:sz w:val="21"/>
                <w:szCs w:val="21"/>
                <w:highlight w:val="none"/>
                <w:lang w:val="en-US" w:eastAsia="zh-CN"/>
                <w14:textFill>
                  <w14:solidFill>
                    <w14:schemeClr w14:val="tx1"/>
                  </w14:solidFill>
                </w14:textFill>
              </w:rPr>
            </w:pPr>
            <w:r>
              <w:rPr>
                <w:rFonts w:hint="eastAsia" w:ascii="方正仿宋_GBK" w:hAnsi="宋体" w:eastAsia="方正仿宋_GBK" w:cs="宋体"/>
                <w:color w:val="000000" w:themeColor="text1"/>
                <w:kern w:val="0"/>
                <w:sz w:val="21"/>
                <w:szCs w:val="21"/>
                <w:highlight w:val="none"/>
                <w:lang w:val="en-US" w:eastAsia="zh-CN"/>
                <w14:textFill>
                  <w14:solidFill>
                    <w14:schemeClr w14:val="tx1"/>
                  </w14:solidFill>
                </w14:textFill>
              </w:rPr>
              <w:t>10</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8"/>
                <w:szCs w:val="2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人工及安装调试</w:t>
            </w:r>
          </w:p>
        </w:tc>
        <w:tc>
          <w:tcPr>
            <w:tcW w:w="72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含家具拆除、运输及搬运费</w:t>
            </w:r>
          </w:p>
        </w:tc>
        <w:tc>
          <w:tcPr>
            <w:tcW w:w="90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4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w:t>
            </w:r>
          </w:p>
        </w:tc>
      </w:tr>
    </w:tbl>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sectPr>
          <w:footerReference r:id="rId14" w:type="default"/>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bookmarkStart w:id="58" w:name="_Toc5660"/>
      <w:r>
        <w:rPr>
          <w:rFonts w:hint="eastAsia" w:ascii="黑体" w:hAnsi="黑体"/>
          <w:b w:val="0"/>
          <w:color w:val="000000" w:themeColor="text1"/>
          <w:sz w:val="44"/>
          <w:szCs w:val="44"/>
          <w:highlight w:val="none"/>
          <w14:textFill>
            <w14:solidFill>
              <w14:schemeClr w14:val="tx1"/>
            </w14:solidFill>
          </w14:textFill>
        </w:rPr>
        <w:t>第四篇</w:t>
      </w:r>
      <w:r>
        <w:rPr>
          <w:rFonts w:hint="eastAsia" w:ascii="黑体" w:hAnsi="黑体"/>
          <w:b w:val="0"/>
          <w:color w:val="000000" w:themeColor="text1"/>
          <w:sz w:val="44"/>
          <w:szCs w:val="44"/>
          <w:highlight w:val="none"/>
          <w:lang w:val="en-US" w:eastAsia="zh-CN"/>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谈判项目服务需求</w:t>
      </w:r>
      <w:bookmarkEnd w:id="58"/>
    </w:p>
    <w:bookmarkEnd w:id="51"/>
    <w:p>
      <w:pPr>
        <w:jc w:val="center"/>
        <w:rPr>
          <w:color w:val="000000" w:themeColor="text1"/>
          <w:highlight w:val="none"/>
          <w14:textFill>
            <w14:solidFill>
              <w14:schemeClr w14:val="tx1"/>
            </w14:solidFill>
          </w14:textFill>
        </w:rPr>
      </w:pPr>
    </w:p>
    <w:p>
      <w:pPr>
        <w:pStyle w:val="4"/>
        <w:spacing w:before="0" w:after="0" w:line="560" w:lineRule="exact"/>
        <w:ind w:firstLine="560" w:firstLineChars="200"/>
        <w:rPr>
          <w:rFonts w:ascii="方正仿宋_GBK" w:hAnsi="宋体" w:eastAsia="方正仿宋_GBK"/>
          <w:b w:val="0"/>
          <w:color w:val="000000" w:themeColor="text1"/>
          <w:sz w:val="28"/>
          <w:szCs w:val="28"/>
          <w:highlight w:val="none"/>
          <w14:textFill>
            <w14:solidFill>
              <w14:schemeClr w14:val="tx1"/>
            </w14:solidFill>
          </w14:textFill>
        </w:rPr>
      </w:pPr>
      <w:bookmarkStart w:id="59" w:name="_Toc344475120"/>
      <w:bookmarkStart w:id="60" w:name="_Toc10972"/>
      <w:bookmarkStart w:id="61" w:name="_Toc535312153"/>
      <w:bookmarkStart w:id="62" w:name="_Toc11641055"/>
      <w:bookmarkStart w:id="63" w:name="_Toc12789059"/>
      <w:r>
        <w:rPr>
          <w:rFonts w:hint="eastAsia" w:ascii="方正仿宋_GBK" w:hAnsi="宋体" w:eastAsia="方正仿宋_GBK"/>
          <w:b w:val="0"/>
          <w:color w:val="000000" w:themeColor="text1"/>
          <w:sz w:val="28"/>
          <w:szCs w:val="28"/>
          <w:highlight w:val="none"/>
          <w14:textFill>
            <w14:solidFill>
              <w14:schemeClr w14:val="tx1"/>
            </w14:solidFill>
          </w14:textFill>
        </w:rPr>
        <w:t>一、交货时间、地点及验收方式</w:t>
      </w:r>
      <w:bookmarkEnd w:id="59"/>
      <w:bookmarkEnd w:id="60"/>
      <w:bookmarkEnd w:id="61"/>
    </w:p>
    <w:p>
      <w:pPr>
        <w:pStyle w:val="33"/>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（一）交货时间</w:t>
      </w:r>
    </w:p>
    <w:p>
      <w:pPr>
        <w:pStyle w:val="33"/>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中标人应在发布中标通知后</w:t>
      </w:r>
      <w:r>
        <w:rPr>
          <w:rFonts w:ascii="方正仿宋_GBK" w:hAnsi="宋体" w:eastAsia="方正仿宋_GBK"/>
          <w:color w:val="000000" w:themeColor="text1"/>
          <w:szCs w:val="28"/>
          <w:highlight w:val="none"/>
          <w14:textFill>
            <w14:solidFill>
              <w14:schemeClr w14:val="tx1"/>
            </w14:solidFill>
          </w14:textFill>
        </w:rPr>
        <w:t>30</w:t>
      </w:r>
      <w:r>
        <w:rPr>
          <w:rFonts w:hint="eastAsia" w:ascii="方正仿宋_GBK" w:hAnsi="宋体" w:eastAsia="方正仿宋_GBK"/>
          <w:color w:val="000000" w:themeColor="text1"/>
          <w:szCs w:val="28"/>
          <w:highlight w:val="none"/>
          <w14:textFill>
            <w14:solidFill>
              <w14:schemeClr w14:val="tx1"/>
            </w14:solidFill>
          </w14:textFill>
        </w:rPr>
        <w:t>个日历日内交货，并完成安装调试。</w:t>
      </w:r>
    </w:p>
    <w:p>
      <w:pPr>
        <w:pStyle w:val="33"/>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（二）交货地点</w:t>
      </w:r>
    </w:p>
    <w:p>
      <w:pPr>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交货地点：重庆医科大学，采购人指定地点。</w:t>
      </w:r>
    </w:p>
    <w:p>
      <w:pPr>
        <w:pStyle w:val="33"/>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（三）验收方式</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货物到达现场后，供应商应经采购人或其指定验收单位清点品名、规格、数量；检查外观，作出验收记录，双方签字确认。</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供应商应保证货物到达用户所在地完好无损，如有缺漏、损坏，由供应商负责调换、补齐或赔偿。</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供应商应提供完备的技术资料、装箱单和合格证等，并派遣专业技术人员进行现场安装调试。验收合格条件如下：</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3.1</w:t>
      </w:r>
      <w:r>
        <w:rPr>
          <w:rFonts w:hint="eastAsia" w:ascii="方正仿宋_GBK" w:eastAsia="方正仿宋_GBK"/>
          <w:color w:val="000000" w:themeColor="text1"/>
          <w:szCs w:val="28"/>
          <w:highlight w:val="none"/>
          <w14:textFill>
            <w14:solidFill>
              <w14:schemeClr w14:val="tx1"/>
            </w14:solidFill>
          </w14:textFill>
        </w:rPr>
        <w:t>设备品种、规格、数量、技术参数以及商品品牌、制造商等与采购合同一致，性能指标达到规定的标准。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w:t>
      </w:r>
      <w:r>
        <w:rPr>
          <w:rFonts w:hint="eastAsia" w:ascii="方正仿宋_GBK" w:eastAsia="方正仿宋_GBK"/>
          <w:color w:val="000000" w:themeColor="text1"/>
          <w:szCs w:val="28"/>
          <w:highlight w:val="none"/>
          <w14:textFill>
            <w14:solidFill>
              <w14:schemeClr w14:val="tx1"/>
            </w14:solidFill>
          </w14:textFill>
        </w:rPr>
        <w:t>货物技术资料、装箱单、合格证等资料齐全。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3.3</w:t>
      </w:r>
      <w:r>
        <w:rPr>
          <w:rFonts w:hint="eastAsia" w:ascii="方正仿宋_GBK" w:eastAsia="方正仿宋_GBK"/>
          <w:color w:val="000000" w:themeColor="text1"/>
          <w:szCs w:val="28"/>
          <w:highlight w:val="none"/>
          <w14:textFill>
            <w14:solidFill>
              <w14:schemeClr w14:val="tx1"/>
            </w14:solidFill>
          </w14:textFill>
        </w:rPr>
        <w:t>在规定时间内完成交货并验收，并经采购人确认。</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供应商提供的货物未达到竞争性谈判规定要求，且对采购人造成损失的，由供应商承担一切责任，并赔偿所造成的损失。</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大型或者复杂的政府采购产品项目，采购人可邀请国家认可的质量检测机构参加验收工作。</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采购人需要制造商对成交供应商交付的产品（包括质量、技术参数等）进行确认的，制造商应予以配合，并出具书面意见。</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产品包装材料归采购人所有。</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64" w:name="_Toc30528"/>
      <w:bookmarkStart w:id="65" w:name="_Toc344475121"/>
      <w:r>
        <w:rPr>
          <w:rFonts w:hint="eastAsia" w:ascii="方正仿宋_GBK" w:eastAsia="方正仿宋_GBK"/>
          <w:b w:val="0"/>
          <w:color w:val="000000" w:themeColor="text1"/>
          <w:sz w:val="28"/>
          <w:szCs w:val="28"/>
          <w:highlight w:val="none"/>
          <w14:textFill>
            <w14:solidFill>
              <w14:schemeClr w14:val="tx1"/>
            </w14:solidFill>
          </w14:textFill>
        </w:rPr>
        <w:t>二、质量保证及售后服务</w:t>
      </w:r>
      <w:bookmarkEnd w:id="64"/>
      <w:bookmarkEnd w:id="65"/>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（一）产品质量保证期</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自合同签订之日起，提供</w:t>
      </w:r>
      <w:r>
        <w:rPr>
          <w:rFonts w:hint="eastAsia" w:ascii="方正仿宋_GBK" w:eastAsia="方正仿宋_GBK"/>
          <w:color w:val="000000" w:themeColor="text1"/>
          <w:szCs w:val="28"/>
          <w:highlight w:val="none"/>
          <w14:textFill>
            <w14:solidFill>
              <w14:schemeClr w14:val="tx1"/>
            </w14:solidFill>
          </w14:textFill>
        </w:rPr>
        <w:t>壹</w:t>
      </w:r>
      <w:r>
        <w:rPr>
          <w:rFonts w:hint="eastAsia" w:ascii="方正仿宋_GBK" w:eastAsia="方正仿宋_GBK"/>
          <w:color w:val="000000" w:themeColor="text1"/>
          <w:szCs w:val="28"/>
          <w:highlight w:val="none"/>
          <w14:textFill>
            <w14:solidFill>
              <w14:schemeClr w14:val="tx1"/>
            </w14:solidFill>
          </w14:textFill>
        </w:rPr>
        <w:t>年的质保期。</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采购货物属于国家规定“三包”范围的，其产品质量保证期不得低于“三包”规定。</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供应商的质量保证期承诺优于国家“三包”规定的，按供应商实际承诺执行。</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采购货物由产品制造商（指产品生产制造商以下同）负责标准售后服务，应当在响应文件中予以明确说明，并提供相关文件。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（二）售后服务内容</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供应商和制造商在质量保证期内应当为采购人提供以下技术支持服务：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质量保证期内服务要求</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1.1</w:t>
      </w:r>
      <w:r>
        <w:rPr>
          <w:rFonts w:hint="eastAsia" w:ascii="方正仿宋_GBK" w:eastAsia="方正仿宋_GBK"/>
          <w:color w:val="000000" w:themeColor="text1"/>
          <w:szCs w:val="28"/>
          <w:highlight w:val="none"/>
          <w14:textFill>
            <w14:solidFill>
              <w14:schemeClr w14:val="tx1"/>
            </w14:solidFill>
          </w14:textFill>
        </w:rPr>
        <w:t>电话咨询</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成交供应商和制造商应当为用户提供技术援助电话，解答用户在使用中遇到的问题，及时为用户提出解决问题的建议。</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现场响应</w:t>
      </w:r>
    </w:p>
    <w:p>
      <w:pPr>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用户遇到使用及技术问题，电话咨询不能解决的，成交供应商或制造商应在接到电话后，</w:t>
      </w: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小时响应，</w:t>
      </w:r>
      <w:r>
        <w:rPr>
          <w:rFonts w:ascii="方正仿宋_GBK" w:hAnsi="宋体" w:eastAsia="方正仿宋_GBK"/>
          <w:color w:val="000000" w:themeColor="text1"/>
          <w:szCs w:val="28"/>
          <w:highlight w:val="none"/>
          <w14:textFill>
            <w14:solidFill>
              <w14:schemeClr w14:val="tx1"/>
            </w14:solidFill>
          </w14:textFill>
        </w:rPr>
        <w:t>12</w:t>
      </w:r>
      <w:r>
        <w:rPr>
          <w:rFonts w:hint="eastAsia" w:ascii="方正仿宋_GBK" w:hAnsi="宋体" w:eastAsia="方正仿宋_GBK"/>
          <w:color w:val="000000" w:themeColor="text1"/>
          <w:szCs w:val="28"/>
          <w:highlight w:val="none"/>
          <w14:textFill>
            <w14:solidFill>
              <w14:schemeClr w14:val="tx1"/>
            </w14:solidFill>
          </w14:textFill>
        </w:rPr>
        <w:t>小时内到位，重大紧急情况</w:t>
      </w:r>
      <w:r>
        <w:rPr>
          <w:rFonts w:ascii="方正仿宋_GBK" w:hAnsi="宋体" w:eastAsia="方正仿宋_GBK"/>
          <w:color w:val="000000" w:themeColor="text1"/>
          <w:szCs w:val="28"/>
          <w:highlight w:val="none"/>
          <w14:textFill>
            <w14:solidFill>
              <w14:schemeClr w14:val="tx1"/>
            </w14:solidFill>
          </w14:textFill>
        </w:rPr>
        <w:t>3</w:t>
      </w:r>
      <w:r>
        <w:rPr>
          <w:rFonts w:hint="eastAsia" w:ascii="方正仿宋_GBK" w:hAnsi="宋体" w:eastAsia="方正仿宋_GBK"/>
          <w:color w:val="000000" w:themeColor="text1"/>
          <w:szCs w:val="28"/>
          <w:highlight w:val="none"/>
          <w14:textFill>
            <w14:solidFill>
              <w14:schemeClr w14:val="tx1"/>
            </w14:solidFill>
          </w14:textFill>
        </w:rPr>
        <w:t>小时内应到位，及时提供技术支持，保障设备正常运行。</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1.3</w:t>
      </w:r>
      <w:r>
        <w:rPr>
          <w:rFonts w:hint="eastAsia" w:ascii="方正仿宋_GBK" w:eastAsia="方正仿宋_GBK"/>
          <w:color w:val="000000" w:themeColor="text1"/>
          <w:szCs w:val="28"/>
          <w:highlight w:val="none"/>
          <w14:textFill>
            <w14:solidFill>
              <w14:schemeClr w14:val="tx1"/>
            </w14:solidFill>
          </w14:textFill>
        </w:rPr>
        <w:t>技术升级</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在质保期内，如果成交供应商和制造商的产品技术升级，成交供应商应及时通知采购人，如采购人有相应要求，成交供应商和制造商应对采购人进行升级服务。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质保期外服务要求</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2.1</w:t>
      </w:r>
      <w:r>
        <w:rPr>
          <w:rFonts w:hint="eastAsia" w:ascii="方正仿宋_GBK" w:eastAsia="方正仿宋_GBK"/>
          <w:color w:val="000000" w:themeColor="text1"/>
          <w:szCs w:val="28"/>
          <w:highlight w:val="none"/>
          <w14:textFill>
            <w14:solidFill>
              <w14:schemeClr w14:val="tx1"/>
            </w14:solidFill>
          </w14:textFill>
        </w:rPr>
        <w:t>质量保证期过后，成交供应商和制造商应同样提供免费电话咨询服务，并应承诺提供产品上门维护服务。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2.2</w:t>
      </w:r>
      <w:r>
        <w:rPr>
          <w:rFonts w:hint="eastAsia" w:ascii="方正仿宋_GBK" w:eastAsia="方正仿宋_GBK"/>
          <w:color w:val="000000" w:themeColor="text1"/>
          <w:szCs w:val="28"/>
          <w:highlight w:val="none"/>
          <w14:textFill>
            <w14:solidFill>
              <w14:schemeClr w14:val="tx1"/>
            </w14:solidFill>
          </w14:textFill>
        </w:rPr>
        <w:t>质量保证期过后，采购人需要继续由原成交供应商和制造商提供售后服务的，成交供应商和制造商应以优惠价格提供售后服务。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（三）故障响应时间要求</w:t>
      </w:r>
    </w:p>
    <w:p>
      <w:pPr>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供应商接到使用方产品出现问题的通知后，</w:t>
      </w: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小时响应，</w:t>
      </w:r>
      <w:r>
        <w:rPr>
          <w:rFonts w:ascii="方正仿宋_GBK" w:hAnsi="宋体" w:eastAsia="方正仿宋_GBK"/>
          <w:color w:val="000000" w:themeColor="text1"/>
          <w:szCs w:val="28"/>
          <w:highlight w:val="none"/>
          <w14:textFill>
            <w14:solidFill>
              <w14:schemeClr w14:val="tx1"/>
            </w14:solidFill>
          </w14:textFill>
        </w:rPr>
        <w:t>12</w:t>
      </w:r>
      <w:r>
        <w:rPr>
          <w:rFonts w:hint="eastAsia" w:ascii="方正仿宋_GBK" w:hAnsi="宋体" w:eastAsia="方正仿宋_GBK"/>
          <w:color w:val="000000" w:themeColor="text1"/>
          <w:szCs w:val="28"/>
          <w:highlight w:val="none"/>
          <w14:textFill>
            <w14:solidFill>
              <w14:schemeClr w14:val="tx1"/>
            </w14:solidFill>
          </w14:textFill>
        </w:rPr>
        <w:t>小时内到位，重大紧急情况</w:t>
      </w:r>
      <w:r>
        <w:rPr>
          <w:rFonts w:ascii="方正仿宋_GBK" w:hAnsi="宋体" w:eastAsia="方正仿宋_GBK"/>
          <w:color w:val="000000" w:themeColor="text1"/>
          <w:szCs w:val="28"/>
          <w:highlight w:val="none"/>
          <w14:textFill>
            <w14:solidFill>
              <w14:schemeClr w14:val="tx1"/>
            </w14:solidFill>
          </w14:textFill>
        </w:rPr>
        <w:t>3</w:t>
      </w:r>
      <w:r>
        <w:rPr>
          <w:rFonts w:hint="eastAsia" w:ascii="方正仿宋_GBK" w:hAnsi="宋体" w:eastAsia="方正仿宋_GBK"/>
          <w:color w:val="000000" w:themeColor="text1"/>
          <w:szCs w:val="28"/>
          <w:highlight w:val="none"/>
          <w14:textFill>
            <w14:solidFill>
              <w14:schemeClr w14:val="tx1"/>
            </w14:solidFill>
          </w14:textFill>
        </w:rPr>
        <w:t>小时内应到位，及时排除故障，保障设备安全运行。</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（四）维修配件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成交供应商或制造商应提供备品备件，保证用户应急所需。使用的维修零配件应为原厂配件，未经用户同意不得使用非原厂配件。</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66" w:name="_Toc23261"/>
      <w:bookmarkStart w:id="67" w:name="_Toc344475122"/>
      <w:r>
        <w:rPr>
          <w:rFonts w:hint="eastAsia" w:ascii="方正仿宋_GBK" w:eastAsia="方正仿宋_GBK"/>
          <w:b w:val="0"/>
          <w:color w:val="000000" w:themeColor="text1"/>
          <w:sz w:val="28"/>
          <w:szCs w:val="28"/>
          <w:highlight w:val="none"/>
          <w14:textFill>
            <w14:solidFill>
              <w14:schemeClr w14:val="tx1"/>
            </w14:solidFill>
          </w14:textFill>
        </w:rPr>
        <w:t>三、报价要求</w:t>
      </w:r>
      <w:bookmarkEnd w:id="66"/>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谈判报价</w:t>
      </w:r>
      <w:r>
        <w:rPr>
          <w:rFonts w:hint="eastAsia" w:ascii="方正仿宋_GBK" w:eastAsia="方正仿宋_GBK" w:cs="宋体"/>
          <w:color w:val="000000" w:themeColor="text1"/>
          <w:kern w:val="0"/>
          <w:szCs w:val="28"/>
          <w:highlight w:val="none"/>
          <w14:textFill>
            <w14:solidFill>
              <w14:schemeClr w14:val="tx1"/>
            </w14:solidFill>
          </w14:textFill>
        </w:rPr>
        <w:t>须为人民币报价</w:t>
      </w:r>
      <w:r>
        <w:rPr>
          <w:rFonts w:hint="eastAsia" w:ascii="方正仿宋_GBK" w:eastAsia="方正仿宋_GBK"/>
          <w:color w:val="000000" w:themeColor="text1"/>
          <w:szCs w:val="28"/>
          <w:highlight w:val="none"/>
          <w14:textFill>
            <w14:solidFill>
              <w14:schemeClr w14:val="tx1"/>
            </w14:solidFill>
          </w14:textFill>
        </w:rPr>
        <w:t>，包括完成本项目所需的设备或货物购买（制造）费、辅材费、运输费、装卸费、安装调试费、培训费及各种应纳的税费。因成交供应商自身原因造成漏报、少报皆由其自行承担责任，采购人不再补偿。</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四、付款方式</w:t>
      </w:r>
      <w:bookmarkEnd w:id="67"/>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bookmarkStart w:id="68" w:name="_Toc344475123"/>
      <w:r>
        <w:rPr>
          <w:rFonts w:hint="eastAsia" w:ascii="方正仿宋_GBK" w:eastAsia="方正仿宋_GBK"/>
          <w:color w:val="000000" w:themeColor="text1"/>
          <w:szCs w:val="28"/>
          <w:highlight w:val="none"/>
          <w14:textFill>
            <w14:solidFill>
              <w14:schemeClr w14:val="tx1"/>
            </w14:solidFill>
          </w14:textFill>
        </w:rPr>
        <w:t>（一）合同签订前，中标人向采购人缴纳合同金额</w:t>
      </w: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的履约保证金；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（二）中标人按合同约定交货，经验收合格后，采购人出具项目验收报告；</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（三）中标人向采购人开具发票，采购人以转账方式向中标人支付合同全款。</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（四）履约保证金在质保期届满后，无廉政、无质量及售后服务问题时，无息退还。</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69" w:name="_Toc23451"/>
      <w:r>
        <w:rPr>
          <w:rFonts w:hint="eastAsia" w:ascii="方正仿宋_GBK" w:eastAsia="方正仿宋_GBK"/>
          <w:b w:val="0"/>
          <w:color w:val="000000" w:themeColor="text1"/>
          <w:sz w:val="28"/>
          <w:szCs w:val="28"/>
          <w:highlight w:val="none"/>
          <w14:textFill>
            <w14:solidFill>
              <w14:schemeClr w14:val="tx1"/>
            </w14:solidFill>
          </w14:textFill>
        </w:rPr>
        <w:t>五、知识产权</w:t>
      </w:r>
      <w:bookmarkEnd w:id="68"/>
      <w:bookmarkEnd w:id="69"/>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注：（若涉及软件开发等服务类项目知识产权的，知识产权归采购人所有）。</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70" w:name="_Toc1233"/>
      <w:bookmarkStart w:id="71" w:name="_Toc344475124"/>
      <w:r>
        <w:rPr>
          <w:rFonts w:hint="eastAsia" w:ascii="方正仿宋_GBK" w:eastAsia="方正仿宋_GBK"/>
          <w:b w:val="0"/>
          <w:color w:val="000000" w:themeColor="text1"/>
          <w:sz w:val="28"/>
          <w:szCs w:val="28"/>
          <w:highlight w:val="none"/>
          <w14:textFill>
            <w14:solidFill>
              <w14:schemeClr w14:val="tx1"/>
            </w14:solidFill>
          </w14:textFill>
        </w:rPr>
        <w:t>六、培训</w:t>
      </w:r>
      <w:bookmarkEnd w:id="70"/>
      <w:bookmarkEnd w:id="71"/>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成交供应商须提供对设备的操作培训，使相关使用人员能够正常操作相关设备。</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72" w:name="_Toc15442"/>
      <w:r>
        <w:rPr>
          <w:rFonts w:hint="eastAsia" w:ascii="方正仿宋_GBK" w:eastAsia="方正仿宋_GBK"/>
          <w:b w:val="0"/>
          <w:color w:val="000000" w:themeColor="text1"/>
          <w:sz w:val="28"/>
          <w:szCs w:val="28"/>
          <w:highlight w:val="none"/>
          <w14:textFill>
            <w14:solidFill>
              <w14:schemeClr w14:val="tx1"/>
            </w14:solidFill>
          </w14:textFill>
        </w:rPr>
        <w:t>七、</w:t>
      </w:r>
      <w:bookmarkStart w:id="73" w:name="_Toc344475125"/>
      <w:r>
        <w:rPr>
          <w:rFonts w:hint="eastAsia" w:ascii="方正仿宋_GBK" w:eastAsia="方正仿宋_GBK"/>
          <w:b w:val="0"/>
          <w:color w:val="000000" w:themeColor="text1"/>
          <w:sz w:val="28"/>
          <w:szCs w:val="28"/>
          <w:highlight w:val="none"/>
          <w14:textFill>
            <w14:solidFill>
              <w14:schemeClr w14:val="tx1"/>
            </w14:solidFill>
          </w14:textFill>
        </w:rPr>
        <w:t>其他</w:t>
      </w:r>
      <w:bookmarkEnd w:id="72"/>
    </w:p>
    <w:bookmarkEnd w:id="73"/>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（一）供应商必须在响应文件中对以上条款和服务承诺明确列出，承诺内容必须达到本篇及竞争性谈判其他条款的要求。</w:t>
      </w:r>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（二）其他未尽事宜由供需双方在采购合同中详细约定。</w:t>
      </w: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r>
        <w:rPr>
          <w:rFonts w:ascii="方正仿宋_GBK" w:hAnsi="宋体" w:eastAsia="方正仿宋_GBK"/>
          <w:b w:val="0"/>
          <w:color w:val="000000" w:themeColor="text1"/>
          <w:sz w:val="28"/>
          <w:szCs w:val="28"/>
          <w:highlight w:val="none"/>
          <w14:textFill>
            <w14:solidFill>
              <w14:schemeClr w14:val="tx1"/>
            </w14:solidFill>
          </w14:textFill>
        </w:rPr>
        <w:br w:type="page"/>
      </w:r>
      <w:bookmarkStart w:id="74" w:name="_Toc7186"/>
      <w:r>
        <w:rPr>
          <w:rFonts w:hint="eastAsia" w:ascii="黑体" w:hAnsi="黑体"/>
          <w:b w:val="0"/>
          <w:color w:val="000000" w:themeColor="text1"/>
          <w:sz w:val="44"/>
          <w:szCs w:val="44"/>
          <w:highlight w:val="none"/>
          <w14:textFill>
            <w14:solidFill>
              <w14:schemeClr w14:val="tx1"/>
            </w14:solidFill>
          </w14:textFill>
        </w:rPr>
        <w:t>第五篇</w:t>
      </w:r>
      <w:bookmarkEnd w:id="62"/>
      <w:bookmarkEnd w:id="63"/>
      <w:r>
        <w:rPr>
          <w:rFonts w:hint="eastAsia" w:ascii="黑体" w:hAnsi="黑体"/>
          <w:b w:val="0"/>
          <w:color w:val="000000" w:themeColor="text1"/>
          <w:sz w:val="44"/>
          <w:szCs w:val="44"/>
          <w:highlight w:val="none"/>
          <w:lang w:val="en-US" w:eastAsia="zh-CN"/>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合同草案条款</w:t>
      </w:r>
      <w:bookmarkEnd w:id="74"/>
    </w:p>
    <w:p>
      <w:pPr>
        <w:snapToGrid w:val="0"/>
        <w:spacing w:line="560" w:lineRule="exact"/>
        <w:ind w:firstLine="420" w:firstLineChars="150"/>
        <w:rPr>
          <w:rFonts w:ascii="方正仿宋_GBK" w:eastAsia="方正仿宋_GBK"/>
          <w:bCs/>
          <w:color w:val="000000" w:themeColor="text1"/>
          <w:szCs w:val="28"/>
          <w:highlight w:val="none"/>
          <w14:textFill>
            <w14:solidFill>
              <w14:schemeClr w14:val="tx1"/>
            </w14:solidFill>
          </w14:textFill>
        </w:rPr>
      </w:pP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一、定义</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（一）甲方（需方）即采购人，是指通过竞争性谈判采购，接受合同货物及服务的各级国家机关、事业单位和团体组织。</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（二）乙方（供方）即成交供应商，是指成交后提供合同货物和服务的自然人、法人及其他组织。</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（三）合同是指由甲乙双方按照竞争性谈判文件和响应文件的实质性内容，通过协商一致达成的书面协议。</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（四）合同价格指以成交价格为依据，在供方全面履行合同义务后，需方（或财政部门）应支付给供方的金额。</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（五）技术资料是指合同货物及其相关的设计、制造、监造、检验、验收等文件（包括图纸、各种文字说明、标准）。</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二、货物内容</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合同包括以下内容：货物名称、型号规格、技术参数、数量（单位）等内容。</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三、合同价格</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（一）合同价格即合同总价。</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（二）合同价格包括合同货物、技术资料、合同货物的税费、运杂费、保险费、包装费、装卸费及与货物有关的供方应纳的税费，所有税费由乙方负担。</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（三）合同货物单价为不变价。</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四、转包或分包</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（一）本合同范围的货物，应由乙方直接供应，不得转让他人供应；</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（二）非经甲方书面同意，乙方不得将本合同范围的货物全部或部分分包给他人供应；</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（三）如有转让和未经甲方同意的分包行为，甲方有权解除合同，没收履约保证金并追究乙方的违约责任。</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五、质量保证及售后服务</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（一）乙方应按竞争性谈判文件规定的货物性能、技术要求、质量标准向甲方提供未经使用的全新产品。</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（二）乙方提供的货物在质保期内因货物本身的质量问题发生故障，乙方应负责免费更换。对达不到技术要求者，根据实际情况，经双方协商，可按以下办法处理：</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ascii="方正仿宋_GBK" w:eastAsia="方正仿宋_GBK"/>
          <w:bCs/>
          <w:color w:val="000000" w:themeColor="text1"/>
          <w:szCs w:val="28"/>
          <w:highlight w:val="none"/>
          <w14:textFill>
            <w14:solidFill>
              <w14:schemeClr w14:val="tx1"/>
            </w14:solidFill>
          </w14:textFill>
        </w:rPr>
        <w:t>1.</w:t>
      </w:r>
      <w:r>
        <w:rPr>
          <w:rFonts w:hint="eastAsia" w:ascii="方正仿宋_GBK" w:eastAsia="方正仿宋_GBK"/>
          <w:bCs/>
          <w:color w:val="000000" w:themeColor="text1"/>
          <w:szCs w:val="28"/>
          <w:highlight w:val="none"/>
          <w14:textFill>
            <w14:solidFill>
              <w14:schemeClr w14:val="tx1"/>
            </w14:solidFill>
          </w14:textFill>
        </w:rPr>
        <w:t>更换：由乙方承担所发生的全部费用。</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ascii="方正仿宋_GBK" w:eastAsia="方正仿宋_GBK"/>
          <w:bCs/>
          <w:color w:val="000000" w:themeColor="text1"/>
          <w:szCs w:val="28"/>
          <w:highlight w:val="none"/>
          <w14:textFill>
            <w14:solidFill>
              <w14:schemeClr w14:val="tx1"/>
            </w14:solidFill>
          </w14:textFill>
        </w:rPr>
        <w:t>2.</w:t>
      </w:r>
      <w:r>
        <w:rPr>
          <w:rFonts w:hint="eastAsia" w:ascii="方正仿宋_GBK" w:eastAsia="方正仿宋_GBK"/>
          <w:bCs/>
          <w:color w:val="000000" w:themeColor="text1"/>
          <w:szCs w:val="28"/>
          <w:highlight w:val="none"/>
          <w14:textFill>
            <w14:solidFill>
              <w14:schemeClr w14:val="tx1"/>
            </w14:solidFill>
          </w14:textFill>
        </w:rPr>
        <w:t>贬值处理：由甲乙双方合议定价。</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ascii="方正仿宋_GBK" w:eastAsia="方正仿宋_GBK"/>
          <w:bCs/>
          <w:color w:val="000000" w:themeColor="text1"/>
          <w:szCs w:val="28"/>
          <w:highlight w:val="none"/>
          <w14:textFill>
            <w14:solidFill>
              <w14:schemeClr w14:val="tx1"/>
            </w14:solidFill>
          </w14:textFill>
        </w:rPr>
        <w:t>3.</w:t>
      </w:r>
      <w:r>
        <w:rPr>
          <w:rFonts w:hint="eastAsia" w:ascii="方正仿宋_GBK" w:eastAsia="方正仿宋_GBK"/>
          <w:bCs/>
          <w:color w:val="000000" w:themeColor="text1"/>
          <w:szCs w:val="28"/>
          <w:highlight w:val="none"/>
          <w14:textFill>
            <w14:solidFill>
              <w14:schemeClr w14:val="tx1"/>
            </w14:solidFill>
          </w14:textFill>
        </w:rPr>
        <w:t>退货处理：乙方应退还甲方支付的合同款，同时应承担该货物的直接费用（运输、保险、检验、货款利息及银行手续费等）。</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（三）如在使用过程中发生质量问题，乙方应同本项目“第四篇谈判项目服务需求”对质量保证及售后服务内容的约定。</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（四）在质保期内，乙方应对货物出现的质量及安全问题负责处理解决并承担一切费用。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六、付款</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（一）本合同使用货币币制如未作特别说明均为人民币。</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（二）付款方式：银行转账、现金支票。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（三）付款方法：同本项目“第四篇谈判项目服务需求”中关于付款方式的约定。</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七、检查验收</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（一）供方应随货物提供合格证和质量证明文件，如是国外进口的货物还须提供入关证明。</w:t>
      </w:r>
    </w:p>
    <w:p>
      <w:pPr>
        <w:snapToGrid w:val="0"/>
        <w:spacing w:line="560" w:lineRule="exact"/>
        <w:ind w:firstLine="420" w:firstLineChars="150"/>
        <w:rPr>
          <w:rFonts w:ascii="方正仿宋_GBK" w:eastAsia="方正仿宋_GBK"/>
          <w:bCs/>
          <w:color w:val="000000" w:themeColor="text1"/>
          <w:szCs w:val="28"/>
          <w:highlight w:val="none"/>
          <w14:textFill>
            <w14:solidFill>
              <w14:schemeClr w14:val="tx1"/>
            </w14:solidFill>
          </w14:textFill>
        </w:rPr>
      </w:pP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（二）货物验收</w:t>
      </w:r>
    </w:p>
    <w:p>
      <w:pPr>
        <w:adjustRightInd w:val="0"/>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（三）货物验收报告应由需方、供方经办人签字，并加盖双方公章，以此作为支付凭据。</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八、索赔</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供方对货物与合同要求不符负有责任，并且需方已于规定交货内和质量保证期内提出索赔，供方应按需方同意的下述一种或多种方法解决索赔事宜。</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（二）根据货物的疵劣和受损程度以及需方遭受损失的金额，经双方同意降低货物价格。</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九、知识产权</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（二）若涉及软件开发等服务类项目知识产权的，知识产权归采购人所有。</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十、合同争议的解决</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（一）当事人友好协商达成一致</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（二）在</w:t>
      </w:r>
      <w:r>
        <w:rPr>
          <w:rFonts w:ascii="方正仿宋_GBK" w:eastAsia="方正仿宋_GBK"/>
          <w:bCs/>
          <w:color w:val="000000" w:themeColor="text1"/>
          <w:szCs w:val="28"/>
          <w:highlight w:val="none"/>
          <w14:textFill>
            <w14:solidFill>
              <w14:schemeClr w14:val="tx1"/>
            </w14:solidFill>
          </w14:textFill>
        </w:rPr>
        <w:t>60</w:t>
      </w:r>
      <w:r>
        <w:rPr>
          <w:rFonts w:hint="eastAsia" w:ascii="方正仿宋_GBK" w:eastAsia="方正仿宋_GBK"/>
          <w:bCs/>
          <w:color w:val="000000" w:themeColor="text1"/>
          <w:szCs w:val="28"/>
          <w:highlight w:val="none"/>
          <w14:textFill>
            <w14:solidFill>
              <w14:schemeClr w14:val="tx1"/>
            </w14:solidFill>
          </w14:textFill>
        </w:rPr>
        <w:t>天内当事人协商不能达成协议的，可提请采购人当地仲裁机构仲裁。</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十一、违约责任</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按《中华人民共和国民法典》、《中华人民共和国政府采购法》有关条款，或由供需双方约定。</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十二、合同生效及其它</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（一）合同生效及其效力应符合《中华人民共和国民法典》有关规定。</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（二）合同应经当事人法定代表人或委托代理人签字，加盖双方合同专用章或公章。</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（三）合同所包括附件，是合同不可分割的一部分，具有同等法法律效力。</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（四）合同需提供担保的，按《中华人民共和国担保法》规定执行。</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（五）本合同条件未尽事宜依照《中华人民共和国民法典》，由供需双方共同协商确定。</w:t>
      </w:r>
    </w:p>
    <w:p>
      <w:pPr>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sectPr>
          <w:pgSz w:w="11907" w:h="16840"/>
          <w:pgMar w:top="1134" w:right="1191" w:bottom="1134" w:left="1304" w:header="964" w:footer="992" w:gutter="0"/>
          <w:pgNumType w:fmt="numberInDash"/>
          <w:cols w:space="720" w:num="1"/>
          <w:docGrid w:linePitch="312" w:charSpace="0"/>
        </w:sectPr>
      </w:pPr>
    </w:p>
    <w:p>
      <w:pPr>
        <w:spacing w:line="560" w:lineRule="exact"/>
        <w:rPr>
          <w:rFonts w:ascii="方正仿宋_GBK" w:eastAsia="方正仿宋_GBK"/>
          <w:color w:val="000000" w:themeColor="text1"/>
          <w:szCs w:val="28"/>
          <w:highlight w:val="none"/>
          <w14:textFill>
            <w14:solidFill>
              <w14:schemeClr w14:val="tx1"/>
            </w14:solidFill>
          </w14:textFill>
        </w:rPr>
      </w:pPr>
      <w:bookmarkStart w:id="75" w:name="_Toc303945820"/>
      <w:bookmarkStart w:id="76" w:name="_Toc148265480"/>
      <w:r>
        <w:rPr>
          <w:rFonts w:hint="eastAsia" w:ascii="方正仿宋_GBK" w:eastAsia="方正仿宋_GBK"/>
          <w:color w:val="000000" w:themeColor="text1"/>
          <w:szCs w:val="28"/>
          <w:highlight w:val="none"/>
          <w14:textFill>
            <w14:solidFill>
              <w14:schemeClr w14:val="tx1"/>
            </w14:solidFill>
          </w14:textFill>
        </w:rPr>
        <w:t>附页：合同格式</w:t>
      </w:r>
      <w:bookmarkEnd w:id="75"/>
      <w:bookmarkEnd w:id="76"/>
    </w:p>
    <w:p>
      <w:pPr>
        <w:tabs>
          <w:tab w:val="left" w:pos="9000"/>
        </w:tabs>
        <w:spacing w:line="560" w:lineRule="exact"/>
        <w:jc w:val="center"/>
        <w:rPr>
          <w:rFonts w:ascii="方正仿宋_GBK" w:eastAsia="方正仿宋_GBK"/>
          <w:color w:val="000000" w:themeColor="text1"/>
          <w:szCs w:val="28"/>
          <w:highlight w:val="none"/>
          <w14:textFill>
            <w14:solidFill>
              <w14:schemeClr w14:val="tx1"/>
            </w14:solidFill>
          </w14:textFill>
        </w:rPr>
      </w:pPr>
    </w:p>
    <w:p>
      <w:pPr>
        <w:spacing w:line="560" w:lineRule="exact"/>
        <w:jc w:val="center"/>
        <w:rPr>
          <w:rFonts w:ascii="方正仿宋_GBK" w:hAnsi="宋体" w:eastAsia="方正仿宋_GBK"/>
          <w:color w:val="000000" w:themeColor="text1"/>
          <w:sz w:val="32"/>
          <w:szCs w:val="32"/>
          <w:highlight w:val="none"/>
          <w:u w:val="single"/>
          <w14:textFill>
            <w14:solidFill>
              <w14:schemeClr w14:val="tx1"/>
            </w14:solidFill>
          </w14:textFill>
        </w:rPr>
      </w:pPr>
      <w:bookmarkStart w:id="77" w:name="_Toc12789072"/>
      <w:r>
        <w:rPr>
          <w:rFonts w:hint="eastAsia" w:ascii="方正仿宋_GBK" w:hAnsi="宋体" w:eastAsia="方正仿宋_GBK"/>
          <w:color w:val="000000" w:themeColor="text1"/>
          <w:sz w:val="32"/>
          <w:szCs w:val="32"/>
          <w:highlight w:val="none"/>
          <w14:textFill>
            <w14:solidFill>
              <w14:schemeClr w14:val="tx1"/>
            </w14:solidFill>
          </w14:textFill>
        </w:rPr>
        <w:t>合同编号：</w:t>
      </w:r>
    </w:p>
    <w:p>
      <w:pPr>
        <w:spacing w:line="560" w:lineRule="exact"/>
        <w:jc w:val="center"/>
        <w:rPr>
          <w:rFonts w:ascii="方正仿宋_GBK" w:hAnsi="宋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宋体" w:eastAsia="方正仿宋_GBK"/>
          <w:color w:val="000000" w:themeColor="text1"/>
          <w:sz w:val="32"/>
          <w:szCs w:val="32"/>
          <w:highlight w:val="none"/>
          <w14:textFill>
            <w14:solidFill>
              <w14:schemeClr w14:val="tx1"/>
            </w14:solidFill>
          </w14:textFill>
        </w:rPr>
        <w:t xml:space="preserve">正本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副本</w:t>
      </w:r>
    </w:p>
    <w:p>
      <w:pPr>
        <w:spacing w:line="560" w:lineRule="exact"/>
        <w:rPr>
          <w:rFonts w:ascii="方正仿宋_GBK" w:hAnsi="宋体" w:eastAsia="方正仿宋_GBK"/>
          <w:color w:val="000000" w:themeColor="text1"/>
          <w:szCs w:val="28"/>
          <w:highlight w:val="none"/>
          <w14:textFill>
            <w14:solidFill>
              <w14:schemeClr w14:val="tx1"/>
            </w14:solidFill>
          </w14:textFill>
        </w:rPr>
      </w:pPr>
    </w:p>
    <w:p>
      <w:pPr>
        <w:spacing w:line="560" w:lineRule="exact"/>
        <w:rPr>
          <w:rFonts w:ascii="方正仿宋_GBK" w:hAnsi="宋体" w:eastAsia="方正仿宋_GBK"/>
          <w:color w:val="000000" w:themeColor="text1"/>
          <w:szCs w:val="28"/>
          <w:highlight w:val="none"/>
          <w14:textFill>
            <w14:solidFill>
              <w14:schemeClr w14:val="tx1"/>
            </w14:solidFill>
          </w14:textFill>
        </w:rPr>
      </w:pPr>
    </w:p>
    <w:p>
      <w:pPr>
        <w:spacing w:line="900" w:lineRule="exact"/>
        <w:jc w:val="center"/>
        <w:rPr>
          <w:rFonts w:ascii="方正小标宋简体" w:hAnsi="楷体" w:eastAsia="方正小标宋简体"/>
          <w:color w:val="000000" w:themeColor="text1"/>
          <w:sz w:val="72"/>
          <w:szCs w:val="72"/>
          <w:highlight w:val="none"/>
          <w14:textFill>
            <w14:solidFill>
              <w14:schemeClr w14:val="tx1"/>
            </w14:solidFill>
          </w14:textFill>
        </w:rPr>
      </w:pPr>
      <w:r>
        <w:rPr>
          <w:rFonts w:hint="eastAsia" w:ascii="方正小标宋简体" w:hAnsi="楷体" w:eastAsia="方正小标宋简体"/>
          <w:color w:val="000000" w:themeColor="text1"/>
          <w:sz w:val="72"/>
          <w:szCs w:val="72"/>
          <w:highlight w:val="none"/>
          <w14:textFill>
            <w14:solidFill>
              <w14:schemeClr w14:val="tx1"/>
            </w14:solidFill>
          </w14:textFill>
        </w:rPr>
        <w:t>重庆医科大学经济合同</w:t>
      </w:r>
    </w:p>
    <w:p>
      <w:pPr>
        <w:spacing w:line="640" w:lineRule="exact"/>
        <w:jc w:val="center"/>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（采购类）</w:t>
      </w:r>
    </w:p>
    <w:p>
      <w:pPr>
        <w:spacing w:line="640" w:lineRule="exact"/>
        <w:rPr>
          <w:rFonts w:ascii="方正仿宋_GBK" w:hAnsi="楷体" w:eastAsia="方正仿宋_GBK"/>
          <w:color w:val="000000" w:themeColor="text1"/>
          <w:szCs w:val="28"/>
          <w:highlight w:val="none"/>
          <w14:textFill>
            <w14:solidFill>
              <w14:schemeClr w14:val="tx1"/>
            </w14:solidFill>
          </w14:textFill>
        </w:rPr>
      </w:pPr>
    </w:p>
    <w:p>
      <w:pPr>
        <w:spacing w:line="640" w:lineRule="exact"/>
        <w:rPr>
          <w:rFonts w:ascii="方正仿宋_GBK" w:hAnsi="楷体" w:eastAsia="方正仿宋_GBK"/>
          <w:color w:val="000000" w:themeColor="text1"/>
          <w:szCs w:val="28"/>
          <w:highlight w:val="none"/>
          <w14:textFill>
            <w14:solidFill>
              <w14:schemeClr w14:val="tx1"/>
            </w14:solidFill>
          </w14:textFill>
        </w:rPr>
      </w:pPr>
    </w:p>
    <w:p>
      <w:pPr>
        <w:spacing w:line="640" w:lineRule="exact"/>
        <w:ind w:firstLine="640" w:firstLineChars="2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 xml:space="preserve">合同类型：■买卖合同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建设工程合同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物业服务合同</w:t>
      </w:r>
    </w:p>
    <w:p>
      <w:pPr>
        <w:spacing w:line="640" w:lineRule="exact"/>
        <w:ind w:firstLine="2240" w:firstLineChars="7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委托合同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租赁合同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运输合同 </w:t>
      </w:r>
    </w:p>
    <w:p>
      <w:pPr>
        <w:spacing w:line="640" w:lineRule="exact"/>
        <w:ind w:firstLine="2240" w:firstLineChars="700"/>
        <w:rPr>
          <w:rFonts w:ascii="方正仿宋_GBK" w:hAnsi="楷体" w:eastAsia="方正仿宋_GBK"/>
          <w:color w:val="000000" w:themeColor="text1"/>
          <w:sz w:val="32"/>
          <w:szCs w:val="32"/>
          <w:highlight w:val="none"/>
          <w:u w:val="singl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其它典型合同 </w:t>
      </w:r>
    </w:p>
    <w:p>
      <w:pPr>
        <w:spacing w:line="640" w:lineRule="exact"/>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 xml:space="preserve">    项目名称：</w:t>
      </w:r>
    </w:p>
    <w:p>
      <w:pPr>
        <w:spacing w:line="640" w:lineRule="exact"/>
        <w:rPr>
          <w:rFonts w:ascii="方正仿宋_GBK" w:hAnsi="楷体" w:eastAsia="方正仿宋_GBK"/>
          <w:color w:val="000000" w:themeColor="text1"/>
          <w:sz w:val="32"/>
          <w:szCs w:val="32"/>
          <w:highlight w:val="none"/>
          <w14:textFill>
            <w14:solidFill>
              <w14:schemeClr w14:val="tx1"/>
            </w14:solidFill>
          </w14:textFill>
        </w:rPr>
      </w:pPr>
    </w:p>
    <w:p>
      <w:pPr>
        <w:spacing w:line="640" w:lineRule="exact"/>
        <w:ind w:firstLine="640" w:firstLineChars="2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合同甲方：重庆医科大学</w:t>
      </w:r>
    </w:p>
    <w:p>
      <w:pPr>
        <w:spacing w:line="640" w:lineRule="exact"/>
        <w:ind w:firstLine="640" w:firstLineChars="2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合同乙方：</w:t>
      </w:r>
    </w:p>
    <w:p>
      <w:pPr>
        <w:spacing w:line="640" w:lineRule="exact"/>
        <w:ind w:firstLine="640" w:firstLineChars="2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合同金额：人民币元</w:t>
      </w:r>
    </w:p>
    <w:p>
      <w:pPr>
        <w:spacing w:line="640" w:lineRule="exact"/>
        <w:ind w:firstLine="640" w:firstLineChars="2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经费项目：</w:t>
      </w:r>
    </w:p>
    <w:p>
      <w:pPr>
        <w:spacing w:line="640" w:lineRule="exact"/>
        <w:rPr>
          <w:rFonts w:ascii="方正仿宋_GBK" w:hAnsi="楷体" w:eastAsia="方正仿宋_GBK"/>
          <w:color w:val="000000" w:themeColor="text1"/>
          <w:sz w:val="32"/>
          <w:szCs w:val="32"/>
          <w:highlight w:val="none"/>
          <w14:textFill>
            <w14:solidFill>
              <w14:schemeClr w14:val="tx1"/>
            </w14:solidFill>
          </w14:textFill>
        </w:rPr>
      </w:pPr>
    </w:p>
    <w:p>
      <w:pPr>
        <w:spacing w:line="640" w:lineRule="exact"/>
        <w:jc w:val="center"/>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签订时间：     年   月   日</w:t>
      </w:r>
    </w:p>
    <w:p>
      <w:pPr>
        <w:rPr>
          <w:rFonts w:ascii="楷体" w:hAnsi="楷体" w:eastAsia="楷体"/>
          <w:color w:val="000000" w:themeColor="text1"/>
          <w:sz w:val="36"/>
          <w:szCs w:val="36"/>
          <w:highlight w:val="none"/>
          <w14:textFill>
            <w14:solidFill>
              <w14:schemeClr w14:val="tx1"/>
            </w14:solidFill>
          </w14:textFill>
        </w:rPr>
      </w:pPr>
    </w:p>
    <w:p>
      <w:pPr>
        <w:spacing w:line="480" w:lineRule="exact"/>
        <w:jc w:val="center"/>
        <w:rPr>
          <w:rFonts w:ascii="方正仿宋_GBK" w:hAnsi="楷体" w:eastAsia="方正仿宋_GBK"/>
          <w:color w:val="000000" w:themeColor="text1"/>
          <w:sz w:val="32"/>
          <w:szCs w:val="32"/>
          <w:highlight w:val="none"/>
          <w14:textFill>
            <w14:solidFill>
              <w14:schemeClr w14:val="tx1"/>
            </w14:solidFill>
          </w14:textFill>
        </w:rPr>
      </w:pPr>
    </w:p>
    <w:p>
      <w:pPr>
        <w:spacing w:line="480" w:lineRule="exact"/>
        <w:jc w:val="center"/>
        <w:rPr>
          <w:rFonts w:ascii="方正仿宋_GBK" w:eastAsia="方正仿宋_GBK"/>
          <w:b/>
          <w:color w:val="000000" w:themeColor="text1"/>
          <w:sz w:val="44"/>
          <w:highlight w:val="none"/>
          <w14:textFill>
            <w14:solidFill>
              <w14:schemeClr w14:val="tx1"/>
            </w14:solidFill>
          </w14:textFill>
        </w:rPr>
      </w:pPr>
    </w:p>
    <w:p>
      <w:pPr>
        <w:spacing w:line="480" w:lineRule="exact"/>
        <w:jc w:val="center"/>
        <w:rPr>
          <w:rFonts w:ascii="仿宋" w:hAnsi="仿宋" w:eastAsia="仿宋"/>
          <w:b/>
          <w:color w:val="000000" w:themeColor="text1"/>
          <w:sz w:val="44"/>
          <w:highlight w:val="none"/>
          <w14:textFill>
            <w14:solidFill>
              <w14:schemeClr w14:val="tx1"/>
            </w14:solidFill>
          </w14:textFill>
        </w:rPr>
      </w:pPr>
      <w:r>
        <w:rPr>
          <w:rFonts w:hint="eastAsia" w:ascii="方正仿宋_GBK" w:eastAsia="方正仿宋_GBK"/>
          <w:b/>
          <w:color w:val="000000" w:themeColor="text1"/>
          <w:sz w:val="44"/>
          <w:highlight w:val="none"/>
          <w14:textFill>
            <w14:solidFill>
              <w14:schemeClr w14:val="tx1"/>
            </w14:solidFill>
          </w14:textFill>
        </w:rPr>
        <w:t>重庆市政府采购合同</w:t>
      </w:r>
      <w:r>
        <w:rPr>
          <w:rFonts w:hint="eastAsia" w:ascii="仿宋" w:hAnsi="仿宋" w:eastAsia="仿宋"/>
          <w:b/>
          <w:color w:val="000000" w:themeColor="text1"/>
          <w:sz w:val="44"/>
          <w:highlight w:val="none"/>
          <w14:textFill>
            <w14:solidFill>
              <w14:schemeClr w14:val="tx1"/>
            </w14:solidFill>
          </w14:textFill>
        </w:rPr>
        <w:t>（经济合同）</w:t>
      </w:r>
    </w:p>
    <w:p>
      <w:pPr>
        <w:spacing w:line="480" w:lineRule="exact"/>
        <w:jc w:val="center"/>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（项目号：     ）</w:t>
      </w:r>
    </w:p>
    <w:p>
      <w:pPr>
        <w:spacing w:line="48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甲方（需方、</w:t>
      </w:r>
      <w:r>
        <w:rPr>
          <w:rFonts w:hint="eastAsia" w:ascii="仿宋" w:hAnsi="仿宋" w:eastAsia="仿宋"/>
          <w:bCs/>
          <w:color w:val="000000" w:themeColor="text1"/>
          <w:sz w:val="24"/>
          <w:highlight w:val="none"/>
          <w14:textFill>
            <w14:solidFill>
              <w14:schemeClr w14:val="tx1"/>
            </w14:solidFill>
          </w14:textFill>
        </w:rPr>
        <w:t>采购人</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u w:val="single"/>
          <w14:textFill>
            <w14:solidFill>
              <w14:schemeClr w14:val="tx1"/>
            </w14:solidFill>
          </w14:textFill>
        </w:rPr>
        <w:t>_ _重庆医科大学_ _</w:t>
      </w:r>
      <w:r>
        <w:rPr>
          <w:rFonts w:hint="eastAsia" w:ascii="仿宋" w:hAnsi="仿宋" w:eastAsia="仿宋"/>
          <w:color w:val="000000" w:themeColor="text1"/>
          <w:sz w:val="24"/>
          <w:highlight w:val="none"/>
          <w14:textFill>
            <w14:solidFill>
              <w14:schemeClr w14:val="tx1"/>
            </w14:solidFill>
          </w14:textFill>
        </w:rPr>
        <w:t xml:space="preserve">       计价单位：</w:t>
      </w:r>
      <w:r>
        <w:rPr>
          <w:rFonts w:hint="eastAsia" w:ascii="仿宋" w:hAnsi="仿宋" w:eastAsia="仿宋"/>
          <w:color w:val="000000" w:themeColor="text1"/>
          <w:sz w:val="24"/>
          <w:highlight w:val="none"/>
          <w:u w:val="single"/>
          <w14:textFill>
            <w14:solidFill>
              <w14:schemeClr w14:val="tx1"/>
            </w14:solidFill>
          </w14:textFill>
        </w:rPr>
        <w:t>_人民币：元__</w:t>
      </w:r>
    </w:p>
    <w:p>
      <w:pPr>
        <w:spacing w:line="48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乙方（供方、</w:t>
      </w:r>
      <w:r>
        <w:rPr>
          <w:rFonts w:hint="eastAsia" w:ascii="仿宋" w:hAnsi="仿宋" w:eastAsia="仿宋"/>
          <w:bCs/>
          <w:color w:val="000000" w:themeColor="text1"/>
          <w:sz w:val="24"/>
          <w:highlight w:val="none"/>
          <w14:textFill>
            <w14:solidFill>
              <w14:schemeClr w14:val="tx1"/>
            </w14:solidFill>
          </w14:textFill>
        </w:rPr>
        <w:t>中标人</w:t>
      </w:r>
      <w:r>
        <w:rPr>
          <w:rFonts w:hint="eastAsia" w:ascii="仿宋" w:hAnsi="仿宋" w:eastAsia="仿宋"/>
          <w:color w:val="000000" w:themeColor="text1"/>
          <w:sz w:val="24"/>
          <w:highlight w:val="none"/>
          <w14:textFill>
            <w14:solidFill>
              <w14:schemeClr w14:val="tx1"/>
            </w14:solidFill>
          </w14:textFill>
        </w:rPr>
        <w:t>）：___________________      计量单位：_____________</w:t>
      </w:r>
    </w:p>
    <w:p>
      <w:pPr>
        <w:spacing w:line="48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根据《中华人民共和国民法典》《中华人民共和国政府采购法》等法律规定，经双方协商一致，达成以下合同：</w:t>
      </w:r>
    </w:p>
    <w:tbl>
      <w:tblPr>
        <w:tblStyle w:val="5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992"/>
        <w:gridCol w:w="1276"/>
        <w:gridCol w:w="992"/>
        <w:gridCol w:w="851"/>
        <w:gridCol w:w="2423"/>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1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项目名称</w:t>
            </w:r>
          </w:p>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（货物名称）</w:t>
            </w:r>
          </w:p>
        </w:tc>
        <w:tc>
          <w:tcPr>
            <w:tcW w:w="99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品牌规格型号</w:t>
            </w:r>
          </w:p>
        </w:tc>
        <w:tc>
          <w:tcPr>
            <w:tcW w:w="1276"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数量/单位</w:t>
            </w:r>
          </w:p>
        </w:tc>
        <w:tc>
          <w:tcPr>
            <w:tcW w:w="99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单价（元）</w:t>
            </w:r>
          </w:p>
        </w:tc>
        <w:tc>
          <w:tcPr>
            <w:tcW w:w="851"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总价（元）</w:t>
            </w:r>
          </w:p>
        </w:tc>
        <w:tc>
          <w:tcPr>
            <w:tcW w:w="2423"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交付时间</w:t>
            </w:r>
          </w:p>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（履行时间）</w:t>
            </w:r>
          </w:p>
        </w:tc>
        <w:tc>
          <w:tcPr>
            <w:tcW w:w="1595"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交货地点</w:t>
            </w:r>
          </w:p>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（履行地点）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p>
        </w:tc>
        <w:tc>
          <w:tcPr>
            <w:tcW w:w="99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p>
        </w:tc>
        <w:tc>
          <w:tcPr>
            <w:tcW w:w="1276"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p>
        </w:tc>
        <w:tc>
          <w:tcPr>
            <w:tcW w:w="99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p>
        </w:tc>
        <w:tc>
          <w:tcPr>
            <w:tcW w:w="851"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p>
        </w:tc>
        <w:tc>
          <w:tcPr>
            <w:tcW w:w="2423"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乙方应在_____________内交货并完成安装调试</w:t>
            </w:r>
          </w:p>
        </w:tc>
        <w:tc>
          <w:tcPr>
            <w:tcW w:w="1595"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9641" w:type="dxa"/>
            <w:gridSpan w:val="7"/>
            <w:vAlign w:val="center"/>
          </w:tcPr>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合同总价（含税）：人民币       元（大写：       圆整）。备注：</w:t>
            </w:r>
          </w:p>
          <w:p>
            <w:pPr>
              <w:spacing w:line="240" w:lineRule="atLeast"/>
              <w:jc w:val="lef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1.本项目为“交钥匙工程”，上述合同总价为“包干价”，包括但不限于：乙方为履行合同所需的</w:t>
            </w:r>
            <w:r>
              <w:rPr>
                <w:rFonts w:hint="eastAsia" w:ascii="仿宋" w:hAnsi="仿宋" w:eastAsia="仿宋"/>
                <w:color w:val="000000" w:themeColor="text1"/>
                <w:sz w:val="24"/>
                <w:highlight w:val="none"/>
                <w14:textFill>
                  <w14:solidFill>
                    <w14:schemeClr w14:val="tx1"/>
                  </w14:solidFill>
                </w14:textFill>
              </w:rPr>
              <w:t>___________________</w:t>
            </w:r>
            <w:r>
              <w:rPr>
                <w:rFonts w:hint="eastAsia" w:ascii="仿宋" w:hAnsi="仿宋" w:eastAsia="仿宋"/>
                <w:color w:val="000000" w:themeColor="text1"/>
                <w:sz w:val="21"/>
                <w:szCs w:val="21"/>
                <w:highlight w:val="none"/>
                <w14:textFill>
                  <w14:solidFill>
                    <w14:schemeClr w14:val="tx1"/>
                  </w14:solidFill>
                </w14:textFill>
              </w:rPr>
              <w:t>及所有税费。乙方投标时已充分考虑到所有费用，此外，甲方不额外支付任何费用。</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2.本合同商务参数详见附件1，技术参数详见附件2。甲方用户单位已逐页确认，符合其采购需求。</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3.税率：乙方承诺，严格依照国家税务管理部门的要求向甲方开具等额有效的发票并依法纳税。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9" w:hRule="atLeast"/>
          <w:jc w:val="center"/>
        </w:trPr>
        <w:tc>
          <w:tcPr>
            <w:tcW w:w="9641" w:type="dxa"/>
            <w:gridSpan w:val="7"/>
            <w:vAlign w:val="center"/>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一、质量要求和技术标准。乙方提供的货物必须是全新的（按招标文件规定的货物性能、技术要求、质量标准），完全符合国家有关技术标准。乙方的质量保证及售后服务承诺如下：</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（一）质保期限：</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年，自甲方验收合格且通过安装调试之日起计算（若为分段验收的，应明确验收合格之日所属阶段）。货物属于国家规定“三包”范围的，其产品质量保证期不得低于“三包”规定；乙方质量保证期承诺优于国家“三包”规定的，按乙方实际承诺执行。</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（二）保修范围：</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上述列表所示的所有货物均属保修范围。质保期限内，乙方应当对甲方正常使用中、非人为原因、基于不可抗力出现质量及安全问题的货物，负责处理解决并承担一切费用。</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（三）服务措施：</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1.质保期限内，乙方提供的货物因货物本身的质量问题发生故障，乙方应负责免费更换。对达不到技术参数要求者，甲方可根据实际情况，选择按以下第</w:t>
            </w:r>
            <w:r>
              <w:rPr>
                <w:rFonts w:hint="eastAsia" w:ascii="仿宋" w:hAnsi="仿宋" w:eastAsia="仿宋"/>
                <w:color w:val="000000" w:themeColor="text1"/>
                <w:sz w:val="21"/>
                <w:szCs w:val="21"/>
                <w:highlight w:val="none"/>
                <w:u w:val="single"/>
                <w14:textFill>
                  <w14:solidFill>
                    <w14:schemeClr w14:val="tx1"/>
                  </w14:solidFill>
                </w14:textFill>
              </w:rPr>
              <w:t xml:space="preserve"> （1） </w:t>
            </w:r>
            <w:r>
              <w:rPr>
                <w:rFonts w:hint="eastAsia" w:ascii="仿宋" w:hAnsi="仿宋" w:eastAsia="仿宋"/>
                <w:color w:val="000000" w:themeColor="text1"/>
                <w:sz w:val="21"/>
                <w:szCs w:val="21"/>
                <w:highlight w:val="none"/>
                <w14:textFill>
                  <w14:solidFill>
                    <w14:schemeClr w14:val="tx1"/>
                  </w14:solidFill>
                </w14:textFill>
              </w:rPr>
              <w:t>类办法处理：</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（1）更换：由乙方承担所发生的全部费用。</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（2）退货处理：乙方应退还甲方支付的全部合同款，同时应承担该货物的直接费用（运输、保险、检验、货款利息及银行手续费等）。</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2.质保期限内，乙方应当及时采取以下措施，并承担所有费用：</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（1）电话或网络在线咨询：乙方和制造商应当为甲方提供技术援助电话、网络等服务，解答甲方在使用中遇到的问题，及时为甲方用户单位提出解决问题的建议。</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现场响应：甲方遇到使用和技术问题，电话、网络咨询不能解决的，乙方和制造商应在小时内到达甲方现场进行处理，确保货物正常工作；到达后，无法在小时内解决的，应当在小时内提供符合质量标准且确保正常工作的备用品，协助甲方用户单位正常开展科研教学管理工作。</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（3）技术升级：在质保期内，如果乙方和制造商的产品技术升级，乙方应及时通知甲方，如甲方有相应要求，乙方和制造商应对甲方进行升级服务。</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（四）质保期后服务：</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1.继续提供电话或网络在线咨询：乙方和制造商应同样提供免费电话、网络咨询服务，并应承诺提供上门维护服务。</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2.继续提供优惠价售后服务：甲方需要继续由乙方和制造商提供售后服务的，乙方和制造商应当以优惠价提供售后服务；若甲方需要添购，乙方应当依法与甲方另行达成补充协议。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641" w:type="dxa"/>
            <w:gridSpan w:val="7"/>
            <w:vAlign w:val="center"/>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（五）备品备件及易损件：</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乙方和制造商售后服务中，维修使用的备品备件及易损件应为原厂配件，未经甲方同意不得使用非原厂配件。常用的、容易损坏的备品备件及易损件的价格清单，乙方已在投标文件中列出。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9641" w:type="dxa"/>
            <w:gridSpan w:val="7"/>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二、随机备品、附件、工具数量及供应方法：</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货物所附的备件、产品使用说明书、技术资料及配套工具应当随货物主体一次性交付至甲方，由甲方用户单位统一保管。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9641" w:type="dxa"/>
            <w:gridSpan w:val="7"/>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三、交提货方式：</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（二）乙方应当在</w:t>
            </w:r>
            <w:r>
              <w:rPr>
                <w:rFonts w:hint="eastAsia" w:ascii="仿宋" w:hAnsi="仿宋" w:eastAsia="仿宋"/>
                <w:color w:val="000000" w:themeColor="text1"/>
                <w:sz w:val="24"/>
                <w:highlight w:val="none"/>
                <w14:textFill>
                  <w14:solidFill>
                    <w14:schemeClr w14:val="tx1"/>
                  </w14:solidFill>
                </w14:textFill>
              </w:rPr>
              <w:t>_____________</w:t>
            </w:r>
            <w:r>
              <w:rPr>
                <w:rFonts w:hint="eastAsia" w:ascii="仿宋" w:hAnsi="仿宋" w:eastAsia="仿宋"/>
                <w:color w:val="000000" w:themeColor="text1"/>
                <w:sz w:val="21"/>
                <w:szCs w:val="21"/>
                <w:highlight w:val="none"/>
                <w14:textFill>
                  <w14:solidFill>
                    <w14:schemeClr w14:val="tx1"/>
                  </w14:solidFill>
                </w14:textFill>
              </w:rPr>
              <w:t>内（履行时间），将货物交付至甲方用户单位指定地点并完成安装调试。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44" w:type="dxa"/>
            <w:gridSpan w:val="7"/>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四、验收标准、方法：</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（一）货物到达现场后，乙方应在甲方用户单位在场的情况下当面开箱，共同清点、检查，作出开箱记录，双方签字确认。</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（二）乙方应保证货物到达甲方所在地完好无损，如有缺漏、损坏，由乙方负责调换、补齐或赔偿。</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（三）乙方应随货物提供完备的技术资料、装箱单和合格证等，并派遣专业技术人员进行现场安装调试。验收合格条件如下：</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1.货物商务参数、技术参数与本合同一致，性能指标达到规定的标准。</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2.货物技术资料、装箱单、合格证等资料齐全。</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3.在系统试运行期间所出现的问题得到解决，并运行正常。</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4.在规定时间内完成交货并验收，并经甲方确认。</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货物在安装调试并试运行符合要求后，才作为最终验收。甲方对乙方交付货物的验收仅为表面验收，验收合格不视为乙方对质量问题免责；甲方验收时未提出异议不视为对乙方货物质量合格之认定。若乙方货物存在任何质量问题，甲方有权要求乙方承担相应责任。</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乙方提供的货物的质量指标不得低于甲方招标文件要求、乙方提供样品的质量指标、乙方承诺的质量指标或有关国家标准（标准不一致的，以高标准计）；售后服务质量要求，按招标文件和投标文件的内容执行。乙方交付时，甲方可根据需要随机抽取一部分产品送有关权威检测部门检测；如检测不合格，乙方应承担甲方所支出的检测费用并向甲方赔偿一切损失。乙方所交货物若未达到招标文件要求，且对甲方造成损失的，由乙方承担一切责任，并赔偿所造成的损失。</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如验收不合格，甲方有权解除本合同并没收履约保证金；乙方应当赔偿甲方一切损失，并返还甲方已支付的全部合同款，并据实接受行政主管部门的相关处罚结果。</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（六）大型或者复杂的政府采购产品项目，甲方应当邀请国家认可的质量检测机构参加验收工作。</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（七）甲方需要制造商对乙方交付的产品（包括质量、技术参数等）进行确认的，制造商应予以配合，并出具书面意见。</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（八）产品包装材料归甲方所有。乙方负责及时将产品包装材料清运离开甲方所在地，由此产生的费用由乙方自行承担。</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如乙方对上述（一）至（八）项约定有异议，请自本合同生效后个自然日内向甲方提出。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644" w:type="dxa"/>
            <w:gridSpan w:val="7"/>
          </w:tcPr>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五、付款方式：</w:t>
            </w:r>
          </w:p>
          <w:p>
            <w:pPr>
              <w:pStyle w:val="32"/>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（一）履约担保：中标成交结果发布后、签订本合同</w:t>
            </w:r>
            <w:r>
              <w:rPr>
                <w:rFonts w:hint="eastAsia" w:ascii="仿宋" w:hAnsi="仿宋" w:eastAsia="仿宋"/>
                <w:color w:val="000000" w:themeColor="text1"/>
                <w:sz w:val="21"/>
                <w:szCs w:val="21"/>
                <w:highlight w:val="none"/>
                <w:u w:val="single"/>
                <w14:textFill>
                  <w14:solidFill>
                    <w14:schemeClr w14:val="tx1"/>
                  </w14:solidFill>
                </w14:textFill>
              </w:rPr>
              <w:t>10</w:t>
            </w:r>
            <w:r>
              <w:rPr>
                <w:rFonts w:hint="eastAsia" w:ascii="仿宋" w:hAnsi="仿宋" w:eastAsia="仿宋"/>
                <w:color w:val="000000" w:themeColor="text1"/>
                <w:sz w:val="21"/>
                <w:szCs w:val="21"/>
                <w:highlight w:val="none"/>
                <w14:textFill>
                  <w14:solidFill>
                    <w14:schemeClr w14:val="tx1"/>
                  </w14:solidFill>
                </w14:textFill>
              </w:rPr>
              <w:t>个工作日前，乙方应当按本合同总价的5%（若有特殊情况，以招标文件要求为准）向甲方交纳履约保证金（可以支票、汇票、本票或者金融机构、担保机构出具的保函等非现金形式提交）；乙方未支付履约保证金的，甲方有权拒绝支付本合同总价款项，且不承担任何迟延履行责任。合同履行期内，履约保证金减少的，乙方应当补足，逾期未补足的视为违约。涉及提供担保的，按《中华人民共和国民法典》规定执行。</w:t>
            </w:r>
          </w:p>
          <w:p>
            <w:pPr>
              <w:pStyle w:val="32"/>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（二）乙方按采购合同交货并安装调试完成，经验收合格后由甲方出具项目验收报告。</w:t>
            </w:r>
          </w:p>
          <w:p>
            <w:pPr>
              <w:pStyle w:val="32"/>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（三）付款方法：货物</w:t>
            </w:r>
            <w:r>
              <w:rPr>
                <w:rFonts w:hint="eastAsia" w:ascii="仿宋" w:hAnsi="仿宋" w:eastAsia="仿宋"/>
                <w:color w:val="000000" w:themeColor="text1"/>
                <w:sz w:val="21"/>
                <w:szCs w:val="21"/>
                <w:highlight w:val="none"/>
                <w:u w:val="single"/>
                <w14:textFill>
                  <w14:solidFill>
                    <w14:schemeClr w14:val="tx1"/>
                  </w14:solidFill>
                </w14:textFill>
              </w:rPr>
              <w:t>全部交付/分期交付</w:t>
            </w:r>
            <w:r>
              <w:rPr>
                <w:rFonts w:hint="eastAsia" w:ascii="仿宋" w:hAnsi="仿宋" w:eastAsia="仿宋"/>
                <w:color w:val="000000" w:themeColor="text1"/>
                <w:sz w:val="21"/>
                <w:szCs w:val="21"/>
                <w:highlight w:val="none"/>
                <w14:textFill>
                  <w14:solidFill>
                    <w14:schemeClr w14:val="tx1"/>
                  </w14:solidFill>
                </w14:textFill>
              </w:rPr>
              <w:t>并经甲方验收合格，乙方向甲方开具等额有效的增值税专用发票（一般纳税人）后，甲方以银行转账方式按</w:t>
            </w:r>
            <w:r>
              <w:rPr>
                <w:rFonts w:hint="eastAsia" w:ascii="仿宋" w:hAnsi="仿宋" w:eastAsia="仿宋"/>
                <w:color w:val="000000" w:themeColor="text1"/>
                <w:sz w:val="21"/>
                <w:szCs w:val="21"/>
                <w:highlight w:val="none"/>
                <w:u w:val="single"/>
                <w14:textFill>
                  <w14:solidFill>
                    <w14:schemeClr w14:val="tx1"/>
                  </w14:solidFill>
                </w14:textFill>
              </w:rPr>
              <w:t>本合同总价/相应款项</w:t>
            </w:r>
            <w:r>
              <w:rPr>
                <w:rFonts w:hint="eastAsia" w:ascii="仿宋" w:hAnsi="仿宋" w:eastAsia="仿宋"/>
                <w:color w:val="000000" w:themeColor="text1"/>
                <w:sz w:val="21"/>
                <w:szCs w:val="21"/>
                <w:highlight w:val="none"/>
                <w14:textFill>
                  <w14:solidFill>
                    <w14:schemeClr w14:val="tx1"/>
                  </w14:solidFill>
                </w14:textFill>
              </w:rPr>
              <w:t>向乙方支付本合同款项。乙方知晓并确认本合同尾部的银行账户为乙方收款的有效账户，若该账户信息变更的，应于甲方付款之日前3个工作日内书面通知甲方，否则甲方支付款项至上述账户后即视为甲方完成相应支付义务。</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（四）履约保证金无息退还时间：质保期届满后，乙方提供的产品无质量问题且没有其他违约行为，经甲方用户单位同意，甲方向乙方全额无息退还该履约保证金。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六、违约责任：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（一）乙方在投标时未明确提出异议，视为完全响应甲方在本合同内的各项要求。</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（二）乙方应按本合同第一条“质量要求和技术标准”提供货物。若乙方超过</w:t>
            </w:r>
            <w:r>
              <w:rPr>
                <w:rFonts w:hint="eastAsia" w:ascii="仿宋" w:hAnsi="仿宋" w:eastAsia="仿宋"/>
                <w:color w:val="000000" w:themeColor="text1"/>
                <w:sz w:val="21"/>
                <w:szCs w:val="21"/>
                <w:highlight w:val="none"/>
                <w:u w:val="single"/>
                <w14:textFill>
                  <w14:solidFill>
                    <w14:schemeClr w14:val="tx1"/>
                  </w14:solidFill>
                </w14:textFill>
              </w:rPr>
              <w:t>7</w:t>
            </w:r>
            <w:r>
              <w:rPr>
                <w:rFonts w:hint="eastAsia" w:ascii="仿宋" w:hAnsi="仿宋" w:eastAsia="仿宋"/>
                <w:color w:val="000000" w:themeColor="text1"/>
                <w:sz w:val="21"/>
                <w:szCs w:val="21"/>
                <w:highlight w:val="none"/>
                <w14:textFill>
                  <w14:solidFill>
                    <w14:schemeClr w14:val="tx1"/>
                  </w14:solidFill>
                </w14:textFill>
              </w:rPr>
              <w:t>个自然日未履行上述服务承诺的，或者在紧急情况下未在甲方指定时间内履行服务承诺的，甲方有权自行联系其他单位提供维保服务，涉及的费用从乙方缴纳的履约保证金内扣除。若履约保证金不足以抵扣货物维保费用的，甲方有权向乙方主张进行补足。</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乙方应当按第三条“交提货方式”按时交付合格货物。若乙方逾期，每延期</w:t>
            </w:r>
            <w:r>
              <w:rPr>
                <w:rFonts w:hint="eastAsia" w:ascii="仿宋" w:hAnsi="仿宋" w:eastAsia="仿宋"/>
                <w:color w:val="000000" w:themeColor="text1"/>
                <w:sz w:val="21"/>
                <w:szCs w:val="21"/>
                <w:highlight w:val="none"/>
                <w:u w:val="single"/>
                <w14:textFill>
                  <w14:solidFill>
                    <w14:schemeClr w14:val="tx1"/>
                  </w14:solidFill>
                </w14:textFill>
              </w:rPr>
              <w:t>1</w:t>
            </w:r>
            <w:r>
              <w:rPr>
                <w:rFonts w:hint="eastAsia" w:ascii="仿宋" w:hAnsi="仿宋" w:eastAsia="仿宋"/>
                <w:color w:val="000000" w:themeColor="text1"/>
                <w:sz w:val="21"/>
                <w:szCs w:val="21"/>
                <w:highlight w:val="none"/>
                <w14:textFill>
                  <w14:solidFill>
                    <w14:schemeClr w14:val="tx1"/>
                  </w14:solidFill>
                </w14:textFill>
              </w:rPr>
              <w:t>个自然日应当按合同总价的</w:t>
            </w:r>
            <w:r>
              <w:rPr>
                <w:rFonts w:hint="eastAsia" w:ascii="仿宋" w:hAnsi="仿宋" w:eastAsia="仿宋"/>
                <w:color w:val="000000" w:themeColor="text1"/>
                <w:sz w:val="21"/>
                <w:szCs w:val="21"/>
                <w:highlight w:val="none"/>
                <w:u w:val="single"/>
                <w14:textFill>
                  <w14:solidFill>
                    <w14:schemeClr w14:val="tx1"/>
                  </w14:solidFill>
                </w14:textFill>
              </w:rPr>
              <w:t>1</w:t>
            </w:r>
            <w:r>
              <w:rPr>
                <w:rFonts w:hint="eastAsia" w:ascii="仿宋" w:hAnsi="仿宋" w:eastAsia="仿宋"/>
                <w:color w:val="000000" w:themeColor="text1"/>
                <w:sz w:val="21"/>
                <w:szCs w:val="21"/>
                <w:highlight w:val="none"/>
                <w14:textFill>
                  <w14:solidFill>
                    <w14:schemeClr w14:val="tx1"/>
                  </w14:solidFill>
                </w14:textFill>
              </w:rPr>
              <w:t>‰向甲方支付违约金（最高不超过合同总价的</w:t>
            </w:r>
            <w:r>
              <w:rPr>
                <w:rFonts w:hint="eastAsia" w:ascii="仿宋" w:hAnsi="仿宋" w:eastAsia="仿宋"/>
                <w:color w:val="000000" w:themeColor="text1"/>
                <w:sz w:val="21"/>
                <w:szCs w:val="21"/>
                <w:highlight w:val="none"/>
                <w:u w:val="single"/>
                <w14:textFill>
                  <w14:solidFill>
                    <w14:schemeClr w14:val="tx1"/>
                  </w14:solidFill>
                </w14:textFill>
              </w:rPr>
              <w:t>10</w:t>
            </w:r>
            <w:r>
              <w:rPr>
                <w:rFonts w:hint="eastAsia" w:ascii="仿宋" w:hAnsi="仿宋" w:eastAsia="仿宋"/>
                <w:color w:val="000000" w:themeColor="text1"/>
                <w:sz w:val="21"/>
                <w:szCs w:val="21"/>
                <w:highlight w:val="none"/>
                <w14:textFill>
                  <w14:solidFill>
                    <w14:schemeClr w14:val="tx1"/>
                  </w14:solidFill>
                </w14:textFill>
              </w:rPr>
              <w:t>%），甲方可在乙方缴纳的履约保证金内扣除；若乙方逾期超过</w:t>
            </w:r>
            <w:r>
              <w:rPr>
                <w:rFonts w:hint="eastAsia" w:ascii="仿宋" w:hAnsi="仿宋" w:eastAsia="仿宋"/>
                <w:color w:val="000000" w:themeColor="text1"/>
                <w:sz w:val="21"/>
                <w:szCs w:val="21"/>
                <w:highlight w:val="none"/>
                <w:u w:val="single"/>
                <w14:textFill>
                  <w14:solidFill>
                    <w14:schemeClr w14:val="tx1"/>
                  </w14:solidFill>
                </w14:textFill>
              </w:rPr>
              <w:t>60</w:t>
            </w:r>
            <w:r>
              <w:rPr>
                <w:rFonts w:hint="eastAsia" w:ascii="仿宋" w:hAnsi="仿宋" w:eastAsia="仿宋"/>
                <w:color w:val="000000" w:themeColor="text1"/>
                <w:sz w:val="21"/>
                <w:szCs w:val="21"/>
                <w:highlight w:val="none"/>
                <w14:textFill>
                  <w14:solidFill>
                    <w14:schemeClr w14:val="tx1"/>
                  </w14:solidFill>
                </w14:textFill>
              </w:rPr>
              <w:t>个自然日的，甲方有权解除本合同，没收全部履约保证金，并要求乙方返还甲方已支付款项；乙方赔偿甲方全部损失。</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甲方、乙方中的任何一方违约，不履行合同义务或者履行合同义务不符合约定的，应当向守约方承担继续履行、采取补救措施、赔偿损失等违约责任。乙方因过错给甲方造成损失的，乙方或乙方工作人员越权代理（无论该代理系甲方委托或乙方职务行为）给甲方造成损失的，乙方承担赔偿损失的责任。双方都违反合同的，应当各自承担相应的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（五）履约保证金减少的，乙方未按照甲方要求补足履约保证金的，每逾期</w:t>
            </w:r>
            <w:r>
              <w:rPr>
                <w:rFonts w:hint="eastAsia" w:ascii="仿宋" w:hAnsi="仿宋" w:eastAsia="仿宋"/>
                <w:color w:val="000000" w:themeColor="text1"/>
                <w:sz w:val="21"/>
                <w:szCs w:val="21"/>
                <w:highlight w:val="none"/>
                <w:u w:val="single"/>
                <w14:textFill>
                  <w14:solidFill>
                    <w14:schemeClr w14:val="tx1"/>
                  </w14:solidFill>
                </w14:textFill>
              </w:rPr>
              <w:t>1</w:t>
            </w:r>
            <w:r>
              <w:rPr>
                <w:rFonts w:hint="eastAsia" w:ascii="仿宋" w:hAnsi="仿宋" w:eastAsia="仿宋"/>
                <w:color w:val="000000" w:themeColor="text1"/>
                <w:sz w:val="21"/>
                <w:szCs w:val="21"/>
                <w:highlight w:val="none"/>
                <w14:textFill>
                  <w14:solidFill>
                    <w14:schemeClr w14:val="tx1"/>
                  </w14:solidFill>
                </w14:textFill>
              </w:rPr>
              <w:t>个自然日，甲方有权要求乙方支付履约保证金总额</w:t>
            </w:r>
            <w:r>
              <w:rPr>
                <w:rFonts w:hint="eastAsia" w:ascii="仿宋" w:hAnsi="仿宋" w:eastAsia="仿宋"/>
                <w:color w:val="000000" w:themeColor="text1"/>
                <w:sz w:val="21"/>
                <w:szCs w:val="21"/>
                <w:highlight w:val="none"/>
                <w:u w:val="single"/>
                <w14:textFill>
                  <w14:solidFill>
                    <w14:schemeClr w14:val="tx1"/>
                  </w14:solidFill>
                </w14:textFill>
              </w:rPr>
              <w:t>0.1</w:t>
            </w:r>
            <w:r>
              <w:rPr>
                <w:rFonts w:hint="eastAsia" w:ascii="仿宋" w:hAnsi="仿宋" w:eastAsia="仿宋"/>
                <w:color w:val="000000" w:themeColor="text1"/>
                <w:sz w:val="21"/>
                <w:szCs w:val="21"/>
                <w:highlight w:val="none"/>
                <w14:textFill>
                  <w14:solidFill>
                    <w14:schemeClr w14:val="tx1"/>
                  </w14:solidFill>
                </w14:textFill>
              </w:rPr>
              <w:t>%的违约金；逾期超过</w:t>
            </w:r>
            <w:r>
              <w:rPr>
                <w:rFonts w:hint="eastAsia" w:ascii="仿宋" w:hAnsi="仿宋" w:eastAsia="仿宋"/>
                <w:color w:val="000000" w:themeColor="text1"/>
                <w:sz w:val="21"/>
                <w:szCs w:val="21"/>
                <w:highlight w:val="none"/>
                <w:u w:val="single"/>
                <w14:textFill>
                  <w14:solidFill>
                    <w14:schemeClr w14:val="tx1"/>
                  </w14:solidFill>
                </w14:textFill>
              </w:rPr>
              <w:t>60</w:t>
            </w:r>
            <w:r>
              <w:rPr>
                <w:rFonts w:hint="eastAsia" w:ascii="仿宋" w:hAnsi="仿宋" w:eastAsia="仿宋"/>
                <w:color w:val="000000" w:themeColor="text1"/>
                <w:sz w:val="21"/>
                <w:szCs w:val="21"/>
                <w:highlight w:val="none"/>
                <w14:textFill>
                  <w14:solidFill>
                    <w14:schemeClr w14:val="tx1"/>
                  </w14:solidFill>
                </w14:textFill>
              </w:rPr>
              <w:t>个自然日，甲方有权解除合同，要求乙方支付前述违约金并没收剩余的履约保证金。</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因台风、地震、水灾、政府政策变化、传染性疾病以及其它非一方责任造成的，不能预见、不能避免、并不能克服的客观情况为不可抗力。因不可抗力致使本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（七）乙方承诺本合同履行期间持续具有履行本合同所需合法、有效资质，否则视为重大违约，甲方有权立即解除本合同，已交付的费用乙方须无条件全额退还，甲方没收全部履约保证金并追究乙方违约责任。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（八）甲乙双方若不能按互谅互惠原则协商解决争议，甚至在</w:t>
            </w:r>
            <w:r>
              <w:rPr>
                <w:rFonts w:hint="eastAsia" w:ascii="仿宋" w:hAnsi="仿宋" w:eastAsia="仿宋"/>
                <w:color w:val="000000" w:themeColor="text1"/>
                <w:sz w:val="21"/>
                <w:szCs w:val="21"/>
                <w:highlight w:val="none"/>
                <w:u w:val="single"/>
                <w14:textFill>
                  <w14:solidFill>
                    <w14:schemeClr w14:val="tx1"/>
                  </w14:solidFill>
                </w14:textFill>
              </w:rPr>
              <w:t>60</w:t>
            </w:r>
            <w:r>
              <w:rPr>
                <w:rFonts w:hint="eastAsia" w:ascii="仿宋" w:hAnsi="仿宋" w:eastAsia="仿宋"/>
                <w:color w:val="000000" w:themeColor="text1"/>
                <w:sz w:val="21"/>
                <w:szCs w:val="21"/>
                <w:highlight w:val="none"/>
                <w14:textFill>
                  <w14:solidFill>
                    <w14:schemeClr w14:val="tx1"/>
                  </w14:solidFill>
                </w14:textFill>
              </w:rPr>
              <w:t>个自然日内当事人协商不能达成协议，任何一方均可向重庆仲裁委员会提请仲裁。</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九）甲方或乙方一方违约时，守约方据此向违约方主张权利的，违约方应向守约方支付违约金及由此产生的一切损失（包括但不限于直接损失、间接损失、诉讼费、仲裁费、律师费、保全费、保全担保费、鉴定费、差旅费等）。</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（十）本合同项下各违约责任相互独立，可同时、一并适用。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七、其他约定事项：</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甲方招标文件（或竞争性谈判文件、竞争性磋商文件、询价通知书、协商文件等）及其澄清文件（或补遗文件、更正文件等）、乙方响应文件（投标文件）和承诺与本合同不可分割，与本合同具有同等法律效力。若本合同存在歧义或不一致，则根据如下优先次序来判断：合同签订后达成的有关会议纪要或补充文件、本合同、中标通知书、招标文件及其澄清文件、投标文件及其承诺。上述各项合同文件包括合同当事人就该项合同文件所作出的补充和修改；属于同一类内容的文件，应以最新签署的为准。未尽事宜，按照《中华人民共和国民法典》《中华人民共和国政府采购法》规定，由甲乙双方共商解决。</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注：若涉及软件开发等服务类项目知识产权的，知识产权归甲方所有。</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（三）乙方对其提供产品的使用和操作应尽培训、通知、协助、保密义务。</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乙方向甲方申请付款时，应当按甲方财务管理要求开具增值税专用发票（一般纳税人）。若乙方未提供有效增值税专用发票（一般纳税人）的，甲方有权拒绝支付合同价款且不承担任何迟延履行的责任，乙方不得以此为由终止或中止本合同。</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（五）本合同尾部载明的联系方式为一方通知对方、以及涉及诉讼或者仲裁时接收法律文书的送达地址。地址应当真实有效。任何一方送达地址变更的，应当自变更之日起</w:t>
            </w:r>
            <w:r>
              <w:rPr>
                <w:rFonts w:hint="eastAsia" w:ascii="仿宋" w:hAnsi="仿宋" w:eastAsia="仿宋"/>
                <w:color w:val="000000" w:themeColor="text1"/>
                <w:sz w:val="21"/>
                <w:szCs w:val="21"/>
                <w:highlight w:val="none"/>
                <w:u w:val="single"/>
                <w14:textFill>
                  <w14:solidFill>
                    <w14:schemeClr w14:val="tx1"/>
                  </w14:solidFill>
                </w14:textFill>
              </w:rPr>
              <w:t>5</w:t>
            </w:r>
            <w:r>
              <w:rPr>
                <w:rFonts w:hint="eastAsia" w:ascii="仿宋" w:hAnsi="仿宋" w:eastAsia="仿宋"/>
                <w:color w:val="000000" w:themeColor="text1"/>
                <w:sz w:val="21"/>
                <w:szCs w:val="21"/>
                <w:highlight w:val="none"/>
                <w14:textFill>
                  <w14:solidFill>
                    <w14:schemeClr w14:val="tx1"/>
                  </w14:solidFill>
                </w14:textFill>
              </w:rPr>
              <w:t>个工作日内书面通知对方。如地址有误、地址变更、未及时书面通知对方而导致法律文书送达不能的，应当自行承担后果。</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（六）本合同的任何修订、变更或调整，须经甲方、乙方共同书面确认。补充协议与本合同具有同等法律效力，不一致之处，以补充协议为准。</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（七）本合同壹式陆份，甲方执正本壹份、副本肆份，乙方执正本壹份，均具备同等法律效力。</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（八）本合同自双方当事人法定代表人或委托代理人签字并加盖双方合同专用章或公章后生效。</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4772" w:type="dxa"/>
            <w:gridSpan w:val="4"/>
          </w:tcPr>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甲方（需方）：重庆医科大学</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地址：重庆市渝中区医学院路1号</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统一社会信用代码：</w:t>
            </w:r>
            <w:r>
              <w:rPr>
                <w:rFonts w:ascii="仿宋" w:hAnsi="仿宋" w:eastAsia="仿宋"/>
                <w:color w:val="000000" w:themeColor="text1"/>
                <w:sz w:val="21"/>
                <w:szCs w:val="21"/>
                <w:highlight w:val="none"/>
                <w14:textFill>
                  <w14:solidFill>
                    <w14:schemeClr w14:val="tx1"/>
                  </w14:solidFill>
                </w14:textFill>
              </w:rPr>
              <w:t>12500000450401805G</w:t>
            </w:r>
          </w:p>
          <w:p>
            <w:pPr>
              <w:spacing w:line="240" w:lineRule="atLeast"/>
              <w:rPr>
                <w:rFonts w:ascii="仿宋" w:hAnsi="仿宋" w:eastAsia="仿宋"/>
                <w:color w:val="000000" w:themeColor="text1"/>
                <w:w w:val="90"/>
                <w:sz w:val="21"/>
                <w:szCs w:val="21"/>
                <w:highlight w:val="none"/>
                <w14:textFill>
                  <w14:solidFill>
                    <w14:schemeClr w14:val="tx1"/>
                  </w14:solidFill>
                </w14:textFill>
              </w:rPr>
            </w:pPr>
            <w:r>
              <w:rPr>
                <w:rFonts w:hint="eastAsia" w:ascii="仿宋" w:hAnsi="仿宋" w:eastAsia="仿宋"/>
                <w:color w:val="000000" w:themeColor="text1"/>
                <w:w w:val="90"/>
                <w:sz w:val="21"/>
                <w:szCs w:val="21"/>
                <w:highlight w:val="none"/>
                <w14:textFill>
                  <w14:solidFill>
                    <w14:schemeClr w14:val="tx1"/>
                  </w14:solidFill>
                </w14:textFill>
              </w:rPr>
              <w:t>开户行：中国建设银行股份有限公司重庆高新区分行</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账号：</w:t>
            </w:r>
            <w:r>
              <w:rPr>
                <w:rFonts w:ascii="仿宋" w:hAnsi="仿宋" w:eastAsia="仿宋"/>
                <w:color w:val="000000" w:themeColor="text1"/>
                <w:sz w:val="21"/>
                <w:szCs w:val="21"/>
                <w:highlight w:val="none"/>
                <w14:textFill>
                  <w14:solidFill>
                    <w14:schemeClr w14:val="tx1"/>
                  </w14:solidFill>
                </w14:textFill>
              </w:rPr>
              <w:t>50001033600050008726</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法定代表人：黄爱龙（签章）</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委托代理人：</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承办部门：</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用户单位：</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联系电话：（请备注用户单位联系人电话）</w:t>
            </w:r>
          </w:p>
          <w:p>
            <w:pPr>
              <w:spacing w:line="240" w:lineRule="atLeast"/>
              <w:rPr>
                <w:rFonts w:ascii="仿宋" w:hAnsi="仿宋" w:eastAsia="仿宋"/>
                <w:color w:val="000000" w:themeColor="text1"/>
                <w:sz w:val="21"/>
                <w:szCs w:val="21"/>
                <w:highlight w:val="none"/>
                <w14:textFill>
                  <w14:solidFill>
                    <w14:schemeClr w14:val="tx1"/>
                  </w14:solidFill>
                </w14:textFill>
              </w:rPr>
            </w:pPr>
          </w:p>
        </w:tc>
        <w:tc>
          <w:tcPr>
            <w:tcW w:w="4872" w:type="dxa"/>
            <w:gridSpan w:val="3"/>
          </w:tcPr>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乙方（供方）：</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地址：</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统一社会信用代码：</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开户行：</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账号：</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法定代表人： （签章）</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委托代理人：</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联系电话：</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644" w:type="dxa"/>
            <w:gridSpan w:val="7"/>
          </w:tcPr>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备注：本合同请用计算机双面打印，以便于双方准确履行合同义务。</w:t>
            </w:r>
          </w:p>
        </w:tc>
      </w:tr>
    </w:tbl>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签约地点：重庆医科大学袁家岗校区</w:t>
      </w: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60" w:lineRule="exact"/>
        <w:jc w:val="left"/>
        <w:rPr>
          <w:rFonts w:ascii="方正黑体_GBK" w:hAnsi="宋体" w:eastAsia="方正黑体_GBK"/>
          <w:color w:val="000000" w:themeColor="text1"/>
          <w:sz w:val="32"/>
          <w:szCs w:val="32"/>
          <w:highlight w:val="none"/>
          <w14:textFill>
            <w14:solidFill>
              <w14:schemeClr w14:val="tx1"/>
            </w14:solidFill>
          </w14:textFill>
        </w:rPr>
      </w:pPr>
    </w:p>
    <w:p>
      <w:pPr>
        <w:spacing w:line="560" w:lineRule="exact"/>
        <w:jc w:val="left"/>
        <w:rPr>
          <w:rFonts w:ascii="方正黑体_GBK" w:hAnsi="宋体" w:eastAsia="方正黑体_GBK"/>
          <w:color w:val="000000" w:themeColor="text1"/>
          <w:sz w:val="32"/>
          <w:szCs w:val="32"/>
          <w:highlight w:val="none"/>
          <w14:textFill>
            <w14:solidFill>
              <w14:schemeClr w14:val="tx1"/>
            </w14:solidFill>
          </w14:textFill>
        </w:rPr>
      </w:pPr>
      <w:r>
        <w:rPr>
          <w:rFonts w:hint="eastAsia" w:ascii="方正黑体_GBK" w:hAnsi="宋体" w:eastAsia="方正黑体_GBK"/>
          <w:color w:val="000000" w:themeColor="text1"/>
          <w:sz w:val="32"/>
          <w:szCs w:val="32"/>
          <w:highlight w:val="none"/>
          <w14:textFill>
            <w14:solidFill>
              <w14:schemeClr w14:val="tx1"/>
            </w14:solidFill>
          </w14:textFill>
        </w:rPr>
        <w:t>附件1</w:t>
      </w: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r>
        <w:rPr>
          <w:rFonts w:hint="eastAsia" w:ascii="方正小标宋_GBK" w:hAnsi="方正小标宋_GBK" w:eastAsia="方正小标宋_GBK"/>
          <w:color w:val="000000" w:themeColor="text1"/>
          <w:sz w:val="44"/>
          <w:szCs w:val="44"/>
          <w:highlight w:val="none"/>
          <w14:textFill>
            <w14:solidFill>
              <w14:schemeClr w14:val="tx1"/>
            </w14:solidFill>
          </w14:textFill>
        </w:rPr>
        <w:t>商务参数明细</w:t>
      </w: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926"/>
        <w:gridCol w:w="978"/>
        <w:gridCol w:w="1460"/>
        <w:gridCol w:w="234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项目名称</w:t>
            </w:r>
          </w:p>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（货物名称）</w:t>
            </w: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品牌规格型号</w:t>
            </w: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产地</w:t>
            </w: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数量/单位</w:t>
            </w: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单价（元）</w:t>
            </w: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合计</w:t>
            </w: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r>
    </w:tbl>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left"/>
        <w:rPr>
          <w:rFonts w:ascii="方正黑体_GBK" w:hAnsi="宋体" w:eastAsia="方正黑体_GBK"/>
          <w:color w:val="000000" w:themeColor="text1"/>
          <w:sz w:val="32"/>
          <w:szCs w:val="32"/>
          <w:highlight w:val="none"/>
          <w14:textFill>
            <w14:solidFill>
              <w14:schemeClr w14:val="tx1"/>
            </w14:solidFill>
          </w14:textFill>
        </w:rPr>
      </w:pPr>
    </w:p>
    <w:p>
      <w:pPr>
        <w:spacing w:line="560" w:lineRule="exact"/>
        <w:jc w:val="left"/>
        <w:rPr>
          <w:rFonts w:ascii="方正黑体_GBK" w:hAnsi="宋体" w:eastAsia="方正黑体_GBK"/>
          <w:color w:val="000000" w:themeColor="text1"/>
          <w:sz w:val="32"/>
          <w:szCs w:val="32"/>
          <w:highlight w:val="none"/>
          <w14:textFill>
            <w14:solidFill>
              <w14:schemeClr w14:val="tx1"/>
            </w14:solidFill>
          </w14:textFill>
        </w:rPr>
      </w:pPr>
    </w:p>
    <w:p>
      <w:pPr>
        <w:spacing w:line="560" w:lineRule="exact"/>
        <w:jc w:val="left"/>
        <w:rPr>
          <w:rFonts w:ascii="方正黑体_GBK" w:hAnsi="宋体" w:eastAsia="方正黑体_GBK"/>
          <w:color w:val="000000" w:themeColor="text1"/>
          <w:sz w:val="32"/>
          <w:szCs w:val="32"/>
          <w:highlight w:val="none"/>
          <w14:textFill>
            <w14:solidFill>
              <w14:schemeClr w14:val="tx1"/>
            </w14:solidFill>
          </w14:textFill>
        </w:rPr>
      </w:pPr>
      <w:r>
        <w:rPr>
          <w:rFonts w:hint="eastAsia" w:ascii="方正黑体_GBK" w:hAnsi="宋体" w:eastAsia="方正黑体_GBK"/>
          <w:color w:val="000000" w:themeColor="text1"/>
          <w:sz w:val="32"/>
          <w:szCs w:val="32"/>
          <w:highlight w:val="none"/>
          <w14:textFill>
            <w14:solidFill>
              <w14:schemeClr w14:val="tx1"/>
            </w14:solidFill>
          </w14:textFill>
        </w:rPr>
        <w:t>附件2</w:t>
      </w: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r>
        <w:rPr>
          <w:rFonts w:hint="eastAsia" w:ascii="方正小标宋_GBK" w:hAnsi="方正小标宋_GBK" w:eastAsia="方正小标宋_GBK"/>
          <w:color w:val="000000" w:themeColor="text1"/>
          <w:sz w:val="44"/>
          <w:szCs w:val="44"/>
          <w:highlight w:val="none"/>
          <w14:textFill>
            <w14:solidFill>
              <w14:schemeClr w14:val="tx1"/>
            </w14:solidFill>
          </w14:textFill>
        </w:rPr>
        <w:t>技术参数明细</w:t>
      </w:r>
    </w:p>
    <w:p>
      <w:pPr>
        <w:spacing w:line="560" w:lineRule="exact"/>
        <w:rPr>
          <w:rFonts w:ascii="方正仿宋_GBK" w:eastAsia="方正仿宋_GBK"/>
          <w:color w:val="000000" w:themeColor="text1"/>
          <w:sz w:val="44"/>
          <w:szCs w:val="44"/>
          <w:highlight w:val="none"/>
          <w14:textFill>
            <w14:solidFill>
              <w14:schemeClr w14:val="tx1"/>
            </w14:solidFill>
          </w14:textFill>
        </w:rPr>
      </w:pPr>
    </w:p>
    <w:tbl>
      <w:tblPr>
        <w:tblStyle w:val="57"/>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序号</w:t>
            </w:r>
          </w:p>
        </w:tc>
        <w:tc>
          <w:tcPr>
            <w:tcW w:w="1297"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商品名称</w:t>
            </w:r>
          </w:p>
        </w:tc>
        <w:tc>
          <w:tcPr>
            <w:tcW w:w="7514" w:type="dxa"/>
            <w:noWrap/>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1</w:t>
            </w:r>
          </w:p>
        </w:tc>
        <w:tc>
          <w:tcPr>
            <w:tcW w:w="1297"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2</w:t>
            </w:r>
          </w:p>
        </w:tc>
        <w:tc>
          <w:tcPr>
            <w:tcW w:w="1297"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3</w:t>
            </w:r>
          </w:p>
        </w:tc>
        <w:tc>
          <w:tcPr>
            <w:tcW w:w="1297"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w:t>
            </w:r>
          </w:p>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500" w:lineRule="exact"/>
        <w:rPr>
          <w:rFonts w:ascii="仿宋" w:hAnsi="仿宋" w:eastAsia="仿宋"/>
          <w:color w:val="000000" w:themeColor="text1"/>
          <w:sz w:val="21"/>
          <w:szCs w:val="21"/>
          <w:highlight w:val="none"/>
          <w14:textFill>
            <w14:solidFill>
              <w14:schemeClr w14:val="tx1"/>
            </w14:solidFill>
          </w14:textFill>
        </w:rPr>
      </w:pPr>
    </w:p>
    <w:p>
      <w:pPr>
        <w:spacing w:line="500" w:lineRule="exact"/>
        <w:rPr>
          <w:rFonts w:ascii="仿宋" w:hAnsi="仿宋" w:eastAsia="仿宋"/>
          <w:color w:val="000000" w:themeColor="text1"/>
          <w:sz w:val="21"/>
          <w:szCs w:val="21"/>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rPr>
          <w:rFonts w:ascii="黑体" w:hAnsi="黑体"/>
          <w:b w:val="0"/>
          <w:color w:val="000000" w:themeColor="text1"/>
          <w:sz w:val="44"/>
          <w:szCs w:val="44"/>
          <w:highlight w:val="none"/>
          <w14:textFill>
            <w14:solidFill>
              <w14:schemeClr w14:val="tx1"/>
            </w14:solidFill>
          </w14:textFill>
        </w:rPr>
      </w:pPr>
    </w:p>
    <w:p>
      <w:pPr>
        <w:rPr>
          <w:rFonts w:ascii="黑体" w:hAnsi="黑体"/>
          <w:b/>
          <w:color w:val="000000" w:themeColor="text1"/>
          <w:sz w:val="44"/>
          <w:szCs w:val="44"/>
          <w:highlight w:val="none"/>
          <w14:textFill>
            <w14:solidFill>
              <w14:schemeClr w14:val="tx1"/>
            </w14:solidFill>
          </w14:textFill>
        </w:rPr>
      </w:pPr>
    </w:p>
    <w:p>
      <w:pPr>
        <w:rPr>
          <w:rFonts w:ascii="黑体" w:hAnsi="黑体"/>
          <w:b/>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bookmarkStart w:id="78" w:name="_Toc19193"/>
      <w:r>
        <w:rPr>
          <w:rFonts w:hint="eastAsia" w:ascii="黑体" w:hAnsi="黑体"/>
          <w:b w:val="0"/>
          <w:color w:val="000000" w:themeColor="text1"/>
          <w:sz w:val="44"/>
          <w:szCs w:val="44"/>
          <w:highlight w:val="none"/>
          <w14:textFill>
            <w14:solidFill>
              <w14:schemeClr w14:val="tx1"/>
            </w14:solidFill>
          </w14:textFill>
        </w:rPr>
        <w:t>第六篇响应文件格式要求</w:t>
      </w:r>
      <w:bookmarkEnd w:id="77"/>
      <w:bookmarkEnd w:id="78"/>
    </w:p>
    <w:p>
      <w:pPr>
        <w:rPr>
          <w:color w:val="000000" w:themeColor="text1"/>
          <w:highlight w:val="none"/>
          <w14:textFill>
            <w14:solidFill>
              <w14:schemeClr w14:val="tx1"/>
            </w14:solidFill>
          </w14:textFill>
        </w:rPr>
      </w:pP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一、经济部分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（一）竞争性报价函</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（二）明细报价表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二、技术部分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技术响应偏离表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三、服务部分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服务响应偏离表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四、资格条件及其他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（一）营业执照（副本）或事业单位法人证书（副本）复印件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（二）组织机构代码证复印件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（三）法定代表人身份证明书（格式）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（四）法定代表人授权委托书（格式）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21或</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2年度财务状况报告（表）或其基本开户银行出具的资信证明复印件，本年度新成立或成立不满一年的组织和自然人无法提供财务状况报告（表）的，可提供银行出具的资信证明复印件。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（六）书面声明（格式）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（七）税务登记证（副本）复印件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说明：供应商按“多证合一”登记制度办理营业执照的，</w:t>
      </w:r>
      <w:r>
        <w:rPr>
          <w:rFonts w:hint="eastAsia" w:ascii="方正仿宋_GBK" w:hAnsi="仿宋" w:eastAsia="方正仿宋_GBK" w:cs="宋体"/>
          <w:color w:val="000000" w:themeColor="text1"/>
          <w:kern w:val="0"/>
          <w:szCs w:val="28"/>
          <w:highlight w:val="none"/>
          <w14:textFill>
            <w14:solidFill>
              <w14:schemeClr w14:val="tx1"/>
            </w14:solidFill>
          </w14:textFill>
        </w:rPr>
        <w:t>组织机构代码证、税务登记证（副本）和社会保险登记证</w:t>
      </w:r>
      <w:r>
        <w:rPr>
          <w:rFonts w:hint="eastAsia" w:ascii="方正仿宋_GBK" w:hAnsi="仿宋" w:eastAsia="方正仿宋_GBK"/>
          <w:color w:val="000000" w:themeColor="text1"/>
          <w:szCs w:val="28"/>
          <w:highlight w:val="none"/>
          <w14:textFill>
            <w14:solidFill>
              <w14:schemeClr w14:val="tx1"/>
            </w14:solidFill>
          </w14:textFill>
        </w:rPr>
        <w:t>以供应商所提供的营业执照（副本）复印件为准。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五、其他应提供的资料</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（一）供应商小微企业证明文件、微型企业承诺书、监狱企业证明文件、残疾人福利性单位声明函</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（二）其他与项目有关的资料（自附）</w:t>
      </w:r>
    </w:p>
    <w:p>
      <w:pPr>
        <w:snapToGrid w:val="0"/>
        <w:spacing w:line="560" w:lineRule="exact"/>
        <w:rPr>
          <w:rFonts w:ascii="方正仿宋_GBK" w:eastAsia="方正仿宋_GBK"/>
          <w:color w:val="000000" w:themeColor="text1"/>
          <w:szCs w:val="28"/>
          <w:highlight w:val="none"/>
          <w:bdr w:val="single" w:color="auto" w:sz="4" w:space="0"/>
          <w14:textFill>
            <w14:solidFill>
              <w14:schemeClr w14:val="tx1"/>
            </w14:solidFill>
          </w14:textFill>
        </w:rPr>
        <w:sectPr>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79" w:name="_Toc342913419"/>
      <w:bookmarkStart w:id="80" w:name="_Toc313008356"/>
      <w:bookmarkStart w:id="81" w:name="_Toc313888360"/>
      <w:bookmarkStart w:id="82" w:name="_Toc28930"/>
      <w:bookmarkStart w:id="83" w:name="_Toc12789073"/>
      <w:bookmarkStart w:id="84" w:name="_Toc283382454"/>
      <w:r>
        <w:rPr>
          <w:rFonts w:hint="eastAsia" w:ascii="方正仿宋_GBK" w:eastAsia="方正仿宋_GBK"/>
          <w:b w:val="0"/>
          <w:color w:val="000000" w:themeColor="text1"/>
          <w:sz w:val="28"/>
          <w:szCs w:val="28"/>
          <w:highlight w:val="none"/>
          <w14:textFill>
            <w14:solidFill>
              <w14:schemeClr w14:val="tx1"/>
            </w14:solidFill>
          </w14:textFill>
        </w:rPr>
        <w:t>一、经济部分</w:t>
      </w:r>
      <w:bookmarkEnd w:id="79"/>
      <w:bookmarkEnd w:id="80"/>
      <w:bookmarkEnd w:id="81"/>
      <w:bookmarkEnd w:id="82"/>
    </w:p>
    <w:bookmarkEnd w:id="83"/>
    <w:bookmarkEnd w:id="84"/>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（一）竞争性报价函</w:t>
      </w:r>
    </w:p>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竞争性报价函</w:t>
      </w:r>
    </w:p>
    <w:p>
      <w:pPr>
        <w:tabs>
          <w:tab w:val="left" w:pos="6300"/>
        </w:tabs>
        <w:snapToGrid w:val="0"/>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u w:val="single"/>
          <w14:textFill>
            <w14:solidFill>
              <w14:schemeClr w14:val="tx1"/>
            </w14:solidFill>
          </w14:textFill>
        </w:rPr>
        <w:t>（采购代理机构名称）</w:t>
      </w:r>
      <w:r>
        <w:rPr>
          <w:rFonts w:hint="eastAsia" w:ascii="方正仿宋_GBK" w:eastAsia="方正仿宋_GBK"/>
          <w:color w:val="000000" w:themeColor="text1"/>
          <w:szCs w:val="28"/>
          <w:highlight w:val="none"/>
          <w14:textFill>
            <w14:solidFill>
              <w14:schemeClr w14:val="tx1"/>
            </w14:solidFill>
          </w14:textFill>
        </w:rPr>
        <w:t>：</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我方收到</w:t>
      </w:r>
      <w:r>
        <w:rPr>
          <w:rFonts w:ascii="方正仿宋_GBK" w:eastAsia="方正仿宋_GBK"/>
          <w:color w:val="000000" w:themeColor="text1"/>
          <w:szCs w:val="28"/>
          <w:highlight w:val="none"/>
          <w14:textFill>
            <w14:solidFill>
              <w14:schemeClr w14:val="tx1"/>
            </w14:solidFill>
          </w14:textFill>
        </w:rPr>
        <w:t>____________________________</w:t>
      </w:r>
      <w:r>
        <w:rPr>
          <w:rFonts w:hint="eastAsia" w:ascii="方正仿宋_GBK" w:eastAsia="方正仿宋_GBK"/>
          <w:color w:val="000000" w:themeColor="text1"/>
          <w:szCs w:val="28"/>
          <w:highlight w:val="none"/>
          <w14:textFill>
            <w14:solidFill>
              <w14:schemeClr w14:val="tx1"/>
            </w14:solidFill>
          </w14:textFill>
        </w:rPr>
        <w:t>（谈判项目名称）的竞争性谈判文件，经详细研究，决定参加该谈判项目的竞争谈判。</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愿意按照竞争性谈判文件中的一切要求，提供本项目的交货及技术服务，初始报价为人民币大写：元整；人民币小写：元。以我公司最后报价为准。</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我方现提交的响应文件为：响应文件正本份，副本份，电子文档份。</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我方承诺：本次谈判的有效期为</w:t>
      </w:r>
      <w:r>
        <w:rPr>
          <w:rFonts w:ascii="方正仿宋_GBK" w:eastAsia="方正仿宋_GBK"/>
          <w:color w:val="000000" w:themeColor="text1"/>
          <w:szCs w:val="28"/>
          <w:highlight w:val="none"/>
          <w14:textFill>
            <w14:solidFill>
              <w14:schemeClr w14:val="tx1"/>
            </w14:solidFill>
          </w14:textFill>
        </w:rPr>
        <w:t>90</w:t>
      </w:r>
      <w:r>
        <w:rPr>
          <w:rFonts w:hint="eastAsia" w:ascii="方正仿宋_GBK" w:eastAsia="方正仿宋_GBK"/>
          <w:color w:val="000000" w:themeColor="text1"/>
          <w:szCs w:val="28"/>
          <w:highlight w:val="none"/>
          <w14:textFill>
            <w14:solidFill>
              <w14:schemeClr w14:val="tx1"/>
            </w14:solidFill>
          </w14:textFill>
        </w:rPr>
        <w:t>天。</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我方完全理解和接受贵方竞争性谈判文件的一切规定和要求及谈判评审办法。</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在整个竞争性谈判过程中，我方若有违规行为，接受按照《中华人民共和国政府采购法》和《竞争性谈判文件》之规定给予惩罚。</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我方若成为成交供应商，将按照最终谈判结果签订合同，并且严格履行合同义务。本承诺函将成为合同不可分割的一部分，与合同具有同等的法律效力。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我方未为采购项目提供整体设计、规范编制或者项目管理、监理、检测等服务。</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地址：</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电话：传真：</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网址：邮编：</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联系人：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sectPr>
          <w:pgSz w:w="11907" w:h="16840"/>
          <w:pgMar w:top="1134" w:right="1304" w:bottom="1134" w:left="1304" w:header="851" w:footer="992" w:gutter="0"/>
          <w:pgNumType w:fmt="numberInDash"/>
          <w:cols w:space="720" w:num="1"/>
          <w:docGrid w:linePitch="380" w:charSpace="-5735"/>
        </w:sect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2895"/>
        </w:tabs>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（二）明细报价表</w:t>
      </w:r>
    </w:p>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明细报价表</w:t>
      </w:r>
    </w:p>
    <w:p>
      <w:pPr>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项目号：谈判项目编号：</w:t>
      </w:r>
    </w:p>
    <w:p>
      <w:pPr>
        <w:spacing w:line="560" w:lineRule="exact"/>
        <w:rPr>
          <w:rFonts w:ascii="方正仿宋_GBK" w:eastAsia="方正仿宋_GBK"/>
          <w:color w:val="000000" w:themeColor="text1"/>
          <w:szCs w:val="28"/>
          <w:highlight w:val="none"/>
          <w:u w:val="singl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701"/>
        <w:gridCol w:w="1392"/>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产品名称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品牌及产地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制造商名称</w:t>
            </w: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规格型号</w:t>
            </w: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数量</w:t>
            </w:r>
          </w:p>
        </w:tc>
        <w:tc>
          <w:tcPr>
            <w:tcW w:w="1186"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单价</w:t>
            </w:r>
          </w:p>
          <w:p>
            <w:pPr>
              <w:pStyle w:val="32"/>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合计</w:t>
            </w:r>
          </w:p>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bl>
    <w:p>
      <w:pPr>
        <w:snapToGrid w:val="0"/>
        <w:spacing w:line="560" w:lineRule="exact"/>
        <w:rPr>
          <w:rFonts w:ascii="方正仿宋_GBK" w:eastAsia="方正仿宋_GBK"/>
          <w:color w:val="000000" w:themeColor="text1"/>
          <w:szCs w:val="28"/>
          <w:highlight w:val="none"/>
          <w14:textFill>
            <w14:solidFill>
              <w14:schemeClr w14:val="tx1"/>
            </w14:solidFill>
          </w14:textFill>
        </w:rPr>
      </w:pP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供应商应完整填写本表。</w:t>
      </w:r>
    </w:p>
    <w:p>
      <w:pPr>
        <w:snapToGrid w:val="0"/>
        <w:spacing w:line="560" w:lineRule="exact"/>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        2.</w:t>
      </w:r>
      <w:r>
        <w:rPr>
          <w:rFonts w:hint="eastAsia" w:ascii="方正仿宋_GBK" w:eastAsia="方正仿宋_GBK"/>
          <w:color w:val="000000" w:themeColor="text1"/>
          <w:szCs w:val="28"/>
          <w:highlight w:val="none"/>
          <w14:textFill>
            <w14:solidFill>
              <w14:schemeClr w14:val="tx1"/>
            </w14:solidFill>
          </w14:textFill>
        </w:rPr>
        <w:t>该表可扩展</w:t>
      </w:r>
      <w:bookmarkStart w:id="85" w:name="OLE_LINK2"/>
      <w:bookmarkStart w:id="86" w:name="OLE_LINK1"/>
      <w:r>
        <w:rPr>
          <w:rFonts w:hint="eastAsia" w:ascii="方正仿宋_GBK" w:eastAsia="方正仿宋_GBK"/>
          <w:color w:val="000000" w:themeColor="text1"/>
          <w:szCs w:val="28"/>
          <w:highlight w:val="none"/>
          <w14:textFill>
            <w14:solidFill>
              <w14:schemeClr w14:val="tx1"/>
            </w14:solidFill>
          </w14:textFill>
        </w:rPr>
        <w:t>，并逐页签字或盖章。</w:t>
      </w:r>
      <w:bookmarkEnd w:id="85"/>
      <w:bookmarkEnd w:id="86"/>
    </w:p>
    <w:p>
      <w:pPr>
        <w:snapToGrid w:val="0"/>
        <w:spacing w:line="560" w:lineRule="exact"/>
        <w:rPr>
          <w:rFonts w:ascii="方正仿宋_GBK" w:eastAsia="方正仿宋_GBK"/>
          <w:color w:val="000000" w:themeColor="text1"/>
          <w:szCs w:val="28"/>
          <w:highlight w:val="none"/>
          <w14:textFill>
            <w14:solidFill>
              <w14:schemeClr w14:val="tx1"/>
            </w14:solidFill>
          </w14:textFill>
        </w:rPr>
      </w:pPr>
    </w:p>
    <w:p>
      <w:pPr>
        <w:snapToGrid w:val="0"/>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供应商名称（公章）：</w:t>
      </w:r>
    </w:p>
    <w:p>
      <w:pPr>
        <w:spacing w:line="560" w:lineRule="exact"/>
        <w:ind w:firstLine="6580" w:firstLineChars="23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snapToGrid w:val="0"/>
        <w:spacing w:line="560" w:lineRule="exact"/>
        <w:ind w:firstLine="560" w:firstLineChars="200"/>
        <w:rPr>
          <w:rFonts w:ascii="方正仿宋_GBK" w:eastAsia="方正仿宋_GBK"/>
          <w:color w:val="000000" w:themeColor="text1"/>
          <w:szCs w:val="28"/>
          <w:highlight w:val="none"/>
          <w:bdr w:val="single" w:color="auto" w:sz="4" w:space="0"/>
          <w14:textFill>
            <w14:solidFill>
              <w14:schemeClr w14:val="tx1"/>
            </w14:solidFill>
          </w14:textFill>
        </w:rPr>
        <w:sectPr>
          <w:headerReference r:id="rId15" w:type="default"/>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87" w:name="_Toc342913420"/>
      <w:bookmarkStart w:id="88" w:name="_Toc313888361"/>
      <w:bookmarkStart w:id="89" w:name="_Toc313008357"/>
      <w:bookmarkStart w:id="90" w:name="_Toc20250"/>
      <w:r>
        <w:rPr>
          <w:rFonts w:hint="eastAsia" w:ascii="方正仿宋_GBK" w:eastAsia="方正仿宋_GBK"/>
          <w:b w:val="0"/>
          <w:color w:val="000000" w:themeColor="text1"/>
          <w:sz w:val="28"/>
          <w:szCs w:val="28"/>
          <w:highlight w:val="none"/>
          <w14:textFill>
            <w14:solidFill>
              <w14:schemeClr w14:val="tx1"/>
            </w14:solidFill>
          </w14:textFill>
        </w:rPr>
        <w:t>二、技术部分</w:t>
      </w:r>
      <w:bookmarkEnd w:id="87"/>
      <w:bookmarkEnd w:id="88"/>
      <w:bookmarkEnd w:id="89"/>
      <w:bookmarkEnd w:id="90"/>
    </w:p>
    <w:p>
      <w:pPr>
        <w:snapToGrid w:val="0"/>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技术响应偏离表</w:t>
      </w:r>
    </w:p>
    <w:p>
      <w:pPr>
        <w:spacing w:line="560" w:lineRule="exact"/>
        <w:ind w:firstLine="140" w:firstLineChars="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项目号：谈判项目编号：</w:t>
      </w:r>
    </w:p>
    <w:p>
      <w:pPr>
        <w:pStyle w:val="32"/>
        <w:tabs>
          <w:tab w:val="left" w:pos="6300"/>
        </w:tabs>
        <w:snapToGrid w:val="0"/>
        <w:spacing w:line="560" w:lineRule="exact"/>
        <w:ind w:firstLine="140" w:firstLineChars="50"/>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序号</w:t>
            </w: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采购需求</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响应情况</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bl>
    <w:p>
      <w:pPr>
        <w:spacing w:line="560" w:lineRule="exact"/>
        <w:ind w:firstLine="700" w:firstLineChars="2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供应商：法定代表人授权代表：</w:t>
      </w:r>
    </w:p>
    <w:p>
      <w:pPr>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（供应商公章）（签字或盖章）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本表即为对本项目“第三篇谈判项目技术需求”中所列技术要求进行比较和响应；</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该表可扩展，并逐页签字或盖章；</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可附相关技术支撑材料（格式自定）。</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根据响应情况在“差异说明”项填写正偏离或负偏离及原因，完全符合的填写“无差异”。</w:t>
      </w:r>
    </w:p>
    <w:p>
      <w:pPr>
        <w:pStyle w:val="4"/>
        <w:spacing w:before="0" w:after="0" w:line="560" w:lineRule="exact"/>
        <w:ind w:firstLine="420" w:firstLineChars="150"/>
        <w:rPr>
          <w:rFonts w:ascii="方正仿宋_GBK" w:eastAsia="方正仿宋_GBK"/>
          <w:b w:val="0"/>
          <w:color w:val="000000" w:themeColor="text1"/>
          <w:sz w:val="28"/>
          <w:szCs w:val="28"/>
          <w:highlight w:val="none"/>
          <w14:textFill>
            <w14:solidFill>
              <w14:schemeClr w14:val="tx1"/>
            </w14:solidFill>
          </w14:textFill>
        </w:rPr>
      </w:pPr>
      <w:r>
        <w:rPr>
          <w:rFonts w:ascii="方正仿宋_GBK" w:eastAsia="方正仿宋_GBK"/>
          <w:b w:val="0"/>
          <w:color w:val="000000" w:themeColor="text1"/>
          <w:sz w:val="28"/>
          <w:szCs w:val="28"/>
          <w:highlight w:val="none"/>
          <w14:textFill>
            <w14:solidFill>
              <w14:schemeClr w14:val="tx1"/>
            </w14:solidFill>
          </w14:textFill>
        </w:rPr>
        <w:br w:type="page"/>
      </w:r>
      <w:bookmarkStart w:id="91" w:name="_Toc19180"/>
      <w:bookmarkStart w:id="92" w:name="_Toc313888362"/>
      <w:bookmarkStart w:id="93" w:name="_Toc342913421"/>
      <w:bookmarkStart w:id="94" w:name="_Toc313008358"/>
      <w:r>
        <w:rPr>
          <w:rFonts w:hint="eastAsia" w:ascii="方正仿宋_GBK" w:eastAsia="方正仿宋_GBK"/>
          <w:b w:val="0"/>
          <w:color w:val="000000" w:themeColor="text1"/>
          <w:sz w:val="28"/>
          <w:szCs w:val="28"/>
          <w:highlight w:val="none"/>
          <w14:textFill>
            <w14:solidFill>
              <w14:schemeClr w14:val="tx1"/>
            </w14:solidFill>
          </w14:textFill>
        </w:rPr>
        <w:t>三、服务部分</w:t>
      </w:r>
      <w:bookmarkEnd w:id="91"/>
    </w:p>
    <w:p>
      <w:pPr>
        <w:snapToGrid w:val="0"/>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服务响应偏离表</w:t>
      </w:r>
    </w:p>
    <w:p>
      <w:pPr>
        <w:spacing w:line="560" w:lineRule="exact"/>
        <w:ind w:firstLine="140" w:firstLineChars="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项目号：谈判项目编号：</w:t>
      </w:r>
    </w:p>
    <w:p>
      <w:pPr>
        <w:snapToGrid w:val="0"/>
        <w:spacing w:line="560" w:lineRule="exact"/>
        <w:ind w:firstLine="140" w:firstLineChars="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序号</w:t>
            </w: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谈判项目需求</w:t>
            </w: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响应情况</w:t>
            </w: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bl>
    <w:p>
      <w:pPr>
        <w:spacing w:line="560" w:lineRule="exact"/>
        <w:ind w:firstLine="700" w:firstLineChars="2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供应商：法定代表人授权代表：</w:t>
      </w:r>
    </w:p>
    <w:p>
      <w:pPr>
        <w:spacing w:line="560" w:lineRule="exact"/>
        <w:rPr>
          <w:rFonts w:ascii="方正仿宋_GBK" w:eastAsia="方正仿宋_GBK"/>
          <w:color w:val="000000" w:themeColor="text1"/>
          <w:szCs w:val="28"/>
          <w:highlight w:val="none"/>
          <w14:textFill>
            <w14:solidFill>
              <w14:schemeClr w14:val="tx1"/>
            </w14:solidFill>
          </w14:textFill>
        </w:rPr>
      </w:pP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（供应商公章）（签字或盖章）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本表即为对本项目“第四篇谈判项目服务需求”中所列服务要求进行比较和响应；</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该表可扩展，并逐页签字或盖章；</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4. </w:t>
      </w:r>
      <w:r>
        <w:rPr>
          <w:rFonts w:hint="eastAsia" w:ascii="方正仿宋_GBK" w:eastAsia="方正仿宋_GBK"/>
          <w:color w:val="000000" w:themeColor="text1"/>
          <w:szCs w:val="28"/>
          <w:highlight w:val="none"/>
          <w14:textFill>
            <w14:solidFill>
              <w14:schemeClr w14:val="tx1"/>
            </w14:solidFill>
          </w14:textFill>
        </w:rPr>
        <w:t>根据响应情况在“差异说明”项填写正偏离或负偏离及原因，完全符合的填写“无差异”。</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95" w:name="_Toc16662"/>
      <w:r>
        <w:rPr>
          <w:rFonts w:hint="eastAsia" w:ascii="方正仿宋_GBK" w:eastAsia="方正仿宋_GBK"/>
          <w:b w:val="0"/>
          <w:color w:val="000000" w:themeColor="text1"/>
          <w:sz w:val="28"/>
          <w:szCs w:val="28"/>
          <w:highlight w:val="none"/>
          <w14:textFill>
            <w14:solidFill>
              <w14:schemeClr w14:val="tx1"/>
            </w14:solidFill>
          </w14:textFill>
        </w:rPr>
        <w:t>四、</w:t>
      </w:r>
      <w:bookmarkEnd w:id="92"/>
      <w:bookmarkEnd w:id="93"/>
      <w:bookmarkEnd w:id="94"/>
      <w:r>
        <w:rPr>
          <w:rFonts w:hint="eastAsia" w:ascii="方正仿宋_GBK" w:eastAsia="方正仿宋_GBK"/>
          <w:b w:val="0"/>
          <w:color w:val="000000" w:themeColor="text1"/>
          <w:sz w:val="28"/>
          <w:szCs w:val="28"/>
          <w:highlight w:val="none"/>
          <w14:textFill>
            <w14:solidFill>
              <w14:schemeClr w14:val="tx1"/>
            </w14:solidFill>
          </w14:textFill>
        </w:rPr>
        <w:t>资格条件及其他</w:t>
      </w:r>
      <w:bookmarkEnd w:id="95"/>
      <w:bookmarkStart w:id="96" w:name="_Toc313888363"/>
      <w:bookmarkStart w:id="97" w:name="_Toc313008359"/>
      <w:bookmarkStart w:id="98" w:name="_Toc342913422"/>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（一）营业执照（副本）或事业单位法人证书（副本）复印件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（二）组织机构代码证复印件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widowControl/>
        <w:spacing w:line="560" w:lineRule="exact"/>
        <w:ind w:firstLine="560" w:firstLineChars="200"/>
        <w:jc w:val="left"/>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page"/>
      </w:r>
      <w:r>
        <w:rPr>
          <w:rFonts w:hint="eastAsia" w:ascii="方正仿宋_GBK" w:eastAsia="方正仿宋_GBK"/>
          <w:color w:val="000000" w:themeColor="text1"/>
          <w:szCs w:val="28"/>
          <w:highlight w:val="none"/>
          <w14:textFill>
            <w14:solidFill>
              <w14:schemeClr w14:val="tx1"/>
            </w14:solidFill>
          </w14:textFill>
        </w:rPr>
        <w:t>（三）法定代表人身份证明书（格式）</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（法定代表人姓名）在（供应商名称）任（职务名称）职务，是（供应商名称）的法定代表人。</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特此证明。</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（附：法定代表人身份证正反面复印件）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column"/>
      </w:r>
      <w:r>
        <w:rPr>
          <w:rFonts w:hint="eastAsia" w:ascii="方正仿宋_GBK" w:eastAsia="方正仿宋_GBK"/>
          <w:color w:val="000000" w:themeColor="text1"/>
          <w:szCs w:val="28"/>
          <w:highlight w:val="none"/>
          <w14:textFill>
            <w14:solidFill>
              <w14:schemeClr w14:val="tx1"/>
            </w14:solidFill>
          </w14:textFill>
        </w:rPr>
        <w:t>（四）法定代表人授权委托书（格式）</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（供应商法定代表人名称）是（供应商名称）的法定代表人，特授权（被授权人姓名及身份证代码）代表我单位全权办理上述项目的谈判、签约等具体工作，并签署全部有关文件、协议及合同。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我单位对被授权人的签字负全部责任。</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在撤消授权的书面通知以前，本授权书一直有效。被授权人在授权书有效期内签署的所有文件不因授权的撤消而失效。</w:t>
      </w:r>
    </w:p>
    <w:p>
      <w:pPr>
        <w:tabs>
          <w:tab w:val="left" w:pos="6300"/>
        </w:tabs>
        <w:snapToGrid w:val="0"/>
        <w:spacing w:line="560" w:lineRule="exact"/>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被授权人：供应商法定代表人：</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（签字或盖章）（签字或盖章）</w:t>
      </w:r>
    </w:p>
    <w:p>
      <w:pPr>
        <w:tabs>
          <w:tab w:val="left" w:pos="6300"/>
        </w:tabs>
        <w:snapToGrid w:val="0"/>
        <w:spacing w:line="560" w:lineRule="exact"/>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（附：被授权人身份证正反面复印件）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right="560" w:firstLine="6445" w:firstLineChars="2302"/>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right="420" w:firstLine="570"/>
        <w:jc w:val="righ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21或</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2年度财务状况报告（表）或其基本开户银行出具的资信证明复印件，本年度新成立或成立不满一年的组织和自然人无法提供财务状况报告（表）的，可提供银行出具的资信证明复印件。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page"/>
      </w:r>
      <w:r>
        <w:rPr>
          <w:rFonts w:hint="eastAsia" w:ascii="方正仿宋_GBK" w:eastAsia="方正仿宋_GBK"/>
          <w:color w:val="000000" w:themeColor="text1"/>
          <w:szCs w:val="28"/>
          <w:highlight w:val="none"/>
          <w14:textFill>
            <w14:solidFill>
              <w14:schemeClr w14:val="tx1"/>
            </w14:solidFill>
          </w14:textFill>
        </w:rPr>
        <w:t>（六）书面声明</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（供应商名称）</w:t>
      </w:r>
      <w:r>
        <w:rPr>
          <w:rFonts w:hint="eastAsia" w:ascii="方正仿宋_GBK" w:hAnsi="仿宋" w:eastAsia="方正仿宋_GBK"/>
          <w:color w:val="000000" w:themeColor="text1"/>
          <w:szCs w:val="28"/>
          <w:highlight w:val="none"/>
          <w14:textFill>
            <w14:solidFill>
              <w14:schemeClr w14:val="tx1"/>
            </w14:solidFill>
          </w14:textFill>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ascii="方正仿宋_GBK" w:hAnsi="仿宋" w:eastAsia="方正仿宋_GBK"/>
          <w:color w:val="000000" w:themeColor="text1"/>
          <w:szCs w:val="28"/>
          <w:highlight w:val="none"/>
          <w14:textFill>
            <w14:solidFill>
              <w14:schemeClr w14:val="tx1"/>
            </w14:solidFill>
          </w14:textFill>
        </w:rPr>
        <w:t>www.creditchina.gov.cn</w:t>
      </w:r>
      <w:r>
        <w:rPr>
          <w:rFonts w:hint="eastAsia" w:ascii="方正仿宋_GBK" w:hAnsi="仿宋" w:eastAsia="方正仿宋_GBK"/>
          <w:color w:val="000000" w:themeColor="text1"/>
          <w:szCs w:val="28"/>
          <w:highlight w:val="none"/>
          <w14:textFill>
            <w14:solidFill>
              <w14:schemeClr w14:val="tx1"/>
            </w14:solidFill>
          </w14:textFill>
        </w:rPr>
        <w:t>）“失信被执行人”、“重大税收违法案件当事人名单”中，也未列入中国政府采购网（</w:t>
      </w:r>
      <w:r>
        <w:rPr>
          <w:rFonts w:ascii="方正仿宋_GBK" w:hAnsi="仿宋" w:eastAsia="方正仿宋_GBK"/>
          <w:color w:val="000000" w:themeColor="text1"/>
          <w:szCs w:val="28"/>
          <w:highlight w:val="none"/>
          <w14:textFill>
            <w14:solidFill>
              <w14:schemeClr w14:val="tx1"/>
            </w14:solidFill>
          </w14:textFill>
        </w:rPr>
        <w:t>www.ccgp.gov.cn</w:t>
      </w:r>
      <w:r>
        <w:rPr>
          <w:rFonts w:hint="eastAsia" w:ascii="方正仿宋_GBK" w:hAnsi="仿宋" w:eastAsia="方正仿宋_GBK"/>
          <w:color w:val="000000" w:themeColor="text1"/>
          <w:szCs w:val="28"/>
          <w:highlight w:val="none"/>
          <w14:textFill>
            <w14:solidFill>
              <w14:schemeClr w14:val="tx1"/>
            </w14:solidFill>
          </w14:textFill>
        </w:rPr>
        <w:t>）“政府采购严重违法失信行为记录名单”中，并随时接受采购人、采购代理机构的检查验证，符合《政府采购法》规定的供应商资格条件。我方对以上声明负全部法律责任。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特此声明。</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right="560" w:firstLine="570"/>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right="560" w:firstLine="570"/>
        <w:jc w:val="righ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page"/>
      </w:r>
      <w:r>
        <w:rPr>
          <w:rFonts w:hint="eastAsia" w:ascii="方正仿宋_GBK" w:eastAsia="方正仿宋_GBK"/>
          <w:color w:val="000000" w:themeColor="text1"/>
          <w:szCs w:val="28"/>
          <w:highlight w:val="none"/>
          <w14:textFill>
            <w14:solidFill>
              <w14:schemeClr w14:val="tx1"/>
            </w14:solidFill>
          </w14:textFill>
        </w:rPr>
        <w:t>（七）税务登记证（副本）复印件</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（八）缴纳社会保障金的证明材料复印件</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说明：供应商按“多证合一”登记制度办理营业执照的，组织机构代码证、税务登记证（副本）和社会保险登记证以供应商所提供的营业执照（副本）复印件为准。</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r>
        <w:rPr>
          <w:rFonts w:ascii="方正仿宋_GBK" w:eastAsia="方正仿宋_GBK"/>
          <w:b w:val="0"/>
          <w:color w:val="000000" w:themeColor="text1"/>
          <w:sz w:val="28"/>
          <w:szCs w:val="28"/>
          <w:highlight w:val="none"/>
          <w14:textFill>
            <w14:solidFill>
              <w14:schemeClr w14:val="tx1"/>
            </w14:solidFill>
          </w14:textFill>
        </w:rPr>
        <w:br w:type="page"/>
      </w:r>
      <w:bookmarkStart w:id="99" w:name="_Toc24037"/>
      <w:r>
        <w:rPr>
          <w:rFonts w:hint="eastAsia" w:ascii="方正仿宋_GBK" w:eastAsia="方正仿宋_GBK"/>
          <w:b w:val="0"/>
          <w:color w:val="000000" w:themeColor="text1"/>
          <w:sz w:val="28"/>
          <w:szCs w:val="28"/>
          <w:highlight w:val="none"/>
          <w14:textFill>
            <w14:solidFill>
              <w14:schemeClr w14:val="tx1"/>
            </w14:solidFill>
          </w14:textFill>
        </w:rPr>
        <w:t>五、</w:t>
      </w:r>
      <w:bookmarkEnd w:id="96"/>
      <w:bookmarkEnd w:id="97"/>
      <w:bookmarkEnd w:id="98"/>
      <w:r>
        <w:rPr>
          <w:rFonts w:hint="eastAsia" w:ascii="方正仿宋_GBK" w:eastAsia="方正仿宋_GBK"/>
          <w:b w:val="0"/>
          <w:color w:val="000000" w:themeColor="text1"/>
          <w:sz w:val="28"/>
          <w:szCs w:val="28"/>
          <w:highlight w:val="none"/>
          <w14:textFill>
            <w14:solidFill>
              <w14:schemeClr w14:val="tx1"/>
            </w14:solidFill>
          </w14:textFill>
        </w:rPr>
        <w:t>其他应提供的资料</w:t>
      </w:r>
      <w:bookmarkEnd w:id="99"/>
    </w:p>
    <w:p>
      <w:pPr>
        <w:tabs>
          <w:tab w:val="left" w:pos="6300"/>
        </w:tabs>
        <w:snapToGrid w:val="0"/>
        <w:spacing w:line="560" w:lineRule="exact"/>
        <w:ind w:firstLine="560"/>
        <w:jc w:val="lef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（一）供应商小微企业证明文件、微型企业承诺书、监狱企业证明文件、残疾人福利性单位声明函</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1.</w:t>
      </w:r>
      <w:r>
        <w:rPr>
          <w:rFonts w:hint="eastAsia" w:ascii="方正仿宋_GBK" w:hAnsi="仿宋" w:eastAsia="方正仿宋_GBK"/>
          <w:color w:val="000000" w:themeColor="text1"/>
          <w:szCs w:val="28"/>
          <w:highlight w:val="none"/>
          <w14:textFill>
            <w14:solidFill>
              <w14:schemeClr w14:val="tx1"/>
            </w14:solidFill>
          </w14:textFill>
        </w:rPr>
        <w:t>供应商提供企业所在地的县级以上中小企业主管部门本年度出具的证明文件</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微型企业承诺书</w:t>
      </w:r>
    </w:p>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微型企业承诺书</w:t>
      </w:r>
    </w:p>
    <w:p>
      <w:pPr>
        <w:tabs>
          <w:tab w:val="left" w:pos="6300"/>
        </w:tabs>
        <w:snapToGrid w:val="0"/>
        <w:spacing w:line="560" w:lineRule="exact"/>
        <w:jc w:val="center"/>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（供应商名称）郑重声明，我公司符合工信部联企业〔</w:t>
      </w:r>
      <w:r>
        <w:rPr>
          <w:rFonts w:ascii="方正仿宋_GBK" w:hAnsi="仿宋" w:eastAsia="方正仿宋_GBK"/>
          <w:color w:val="000000" w:themeColor="text1"/>
          <w:szCs w:val="28"/>
          <w:highlight w:val="none"/>
          <w14:textFill>
            <w14:solidFill>
              <w14:schemeClr w14:val="tx1"/>
            </w14:solidFill>
          </w14:textFill>
        </w:rPr>
        <w:t>2011</w:t>
      </w: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300</w:t>
      </w:r>
      <w:r>
        <w:rPr>
          <w:rFonts w:hint="eastAsia" w:ascii="方正仿宋_GBK" w:hAnsi="仿宋" w:eastAsia="方正仿宋_GBK"/>
          <w:color w:val="000000" w:themeColor="text1"/>
          <w:szCs w:val="28"/>
          <w:highlight w:val="none"/>
          <w14:textFill>
            <w14:solidFill>
              <w14:schemeClr w14:val="tx1"/>
            </w14:solidFill>
          </w14:textFill>
        </w:rPr>
        <w:t>号中微型企业的认定标准，属于微型企业，并且对于本次项目我公司仅提供本企业或其他微型企业（企业名称：）制造的货物、承担的工程或者服务。我方对以上声明负全部法律责任。</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特此承诺。</w:t>
      </w: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jc w:val="righ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供应商名称（盖章）：</w:t>
      </w:r>
    </w:p>
    <w:p>
      <w:pPr>
        <w:tabs>
          <w:tab w:val="left" w:pos="6300"/>
        </w:tabs>
        <w:snapToGrid w:val="0"/>
        <w:spacing w:line="560" w:lineRule="exact"/>
        <w:ind w:firstLine="7840" w:firstLineChars="2800"/>
        <w:jc w:val="left"/>
        <w:outlineLvl w:val="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日期：</w:t>
      </w:r>
    </w:p>
    <w:p>
      <w:pPr>
        <w:tabs>
          <w:tab w:val="left" w:pos="6300"/>
        </w:tabs>
        <w:snapToGrid w:val="0"/>
        <w:spacing w:line="560" w:lineRule="exact"/>
        <w:ind w:firstLine="560" w:firstLineChars="200"/>
        <w:outlineLvl w:val="0"/>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br w:type="page"/>
      </w:r>
      <w:r>
        <w:rPr>
          <w:rFonts w:ascii="方正仿宋_GBK" w:hAnsi="仿宋" w:eastAsia="方正仿宋_GBK"/>
          <w:color w:val="000000" w:themeColor="text1"/>
          <w:szCs w:val="28"/>
          <w:highlight w:val="none"/>
          <w14:textFill>
            <w14:solidFill>
              <w14:schemeClr w14:val="tx1"/>
            </w14:solidFill>
          </w14:textFill>
        </w:rPr>
        <w:t>3.</w:t>
      </w:r>
      <w:r>
        <w:rPr>
          <w:rFonts w:hint="eastAsia" w:ascii="方正仿宋_GBK" w:hAnsi="仿宋" w:eastAsia="方正仿宋_GBK"/>
          <w:color w:val="000000" w:themeColor="text1"/>
          <w:szCs w:val="28"/>
          <w:highlight w:val="none"/>
          <w14:textFill>
            <w14:solidFill>
              <w14:schemeClr w14:val="tx1"/>
            </w14:solidFill>
          </w14:textFill>
        </w:rPr>
        <w:t>监狱企业证明文件</w:t>
      </w:r>
    </w:p>
    <w:p>
      <w:pPr>
        <w:tabs>
          <w:tab w:val="left" w:pos="6300"/>
        </w:tabs>
        <w:snapToGrid w:val="0"/>
        <w:spacing w:line="560" w:lineRule="exact"/>
        <w:ind w:firstLine="560" w:firstLineChars="200"/>
        <w:outlineLvl w:val="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以省级以上监狱管理局、戒毒管理局（含新疆生产建设兵团）出具的属于监狱企业的证明文件为准。</w:t>
      </w:r>
      <w:r>
        <w:rPr>
          <w:rFonts w:ascii="方正仿宋_GBK" w:hAnsi="仿宋" w:eastAsia="方正仿宋_GBK"/>
          <w:color w:val="000000" w:themeColor="text1"/>
          <w:szCs w:val="28"/>
          <w:highlight w:val="none"/>
          <w14:textFill>
            <w14:solidFill>
              <w14:schemeClr w14:val="tx1"/>
            </w14:solidFill>
          </w14:textFill>
        </w:rPr>
        <w:br w:type="page"/>
      </w:r>
      <w:r>
        <w:rPr>
          <w:rFonts w:ascii="方正仿宋_GBK" w:hAnsi="仿宋" w:eastAsia="方正仿宋_GBK"/>
          <w:color w:val="000000" w:themeColor="text1"/>
          <w:szCs w:val="28"/>
          <w:highlight w:val="none"/>
          <w14:textFill>
            <w14:solidFill>
              <w14:schemeClr w14:val="tx1"/>
            </w14:solidFill>
          </w14:textFill>
        </w:rPr>
        <w:t>4.</w:t>
      </w:r>
      <w:r>
        <w:rPr>
          <w:rFonts w:hint="eastAsia" w:ascii="方正仿宋_GBK" w:hAnsi="仿宋" w:eastAsia="方正仿宋_GBK"/>
          <w:color w:val="000000" w:themeColor="text1"/>
          <w:szCs w:val="28"/>
          <w:highlight w:val="none"/>
          <w14:textFill>
            <w14:solidFill>
              <w14:schemeClr w14:val="tx1"/>
            </w14:solidFill>
          </w14:textFill>
        </w:rPr>
        <w:t>残疾人福利性单位声明函</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jc w:val="center"/>
        <w:outlineLvl w:val="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残疾人福利性单位声明函</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本单位郑重声明，根据《财政部民政部中国残疾人联合会关于促进残疾人就业政府采购政策的通知》（财库〔</w:t>
      </w:r>
      <w:r>
        <w:rPr>
          <w:rFonts w:ascii="方正仿宋_GBK" w:hAnsi="仿宋" w:eastAsia="方正仿宋_GBK"/>
          <w:color w:val="000000" w:themeColor="text1"/>
          <w:szCs w:val="28"/>
          <w:highlight w:val="none"/>
          <w14:textFill>
            <w14:solidFill>
              <w14:schemeClr w14:val="tx1"/>
            </w14:solidFill>
          </w14:textFill>
        </w:rPr>
        <w:t>2017</w:t>
      </w: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 xml:space="preserve"> 141</w:t>
      </w:r>
      <w:r>
        <w:rPr>
          <w:rFonts w:hint="eastAsia" w:ascii="方正仿宋_GBK" w:hAnsi="仿宋" w:eastAsia="方正仿宋_GBK"/>
          <w:color w:val="000000" w:themeColor="text1"/>
          <w:szCs w:val="28"/>
          <w:highlight w:val="none"/>
          <w14:textFill>
            <w14:solidFill>
              <w14:schemeClr w14:val="tx1"/>
            </w14:solidFill>
          </w14:textFill>
        </w:rPr>
        <w:t>号）的规定，本单位为符合条件的残疾人福利性单位，且本单位参加</w:t>
      </w:r>
      <w:r>
        <w:rPr>
          <w:rFonts w:ascii="方正仿宋_GBK" w:hAnsi="仿宋" w:eastAsia="方正仿宋_GBK"/>
          <w:color w:val="000000" w:themeColor="text1"/>
          <w:szCs w:val="28"/>
          <w:highlight w:val="none"/>
          <w14:textFill>
            <w14:solidFill>
              <w14:schemeClr w14:val="tx1"/>
            </w14:solidFill>
          </w14:textFill>
        </w:rPr>
        <w:t>______</w:t>
      </w:r>
      <w:r>
        <w:rPr>
          <w:rFonts w:hint="eastAsia" w:ascii="方正仿宋_GBK" w:hAnsi="仿宋" w:eastAsia="方正仿宋_GBK"/>
          <w:color w:val="000000" w:themeColor="text1"/>
          <w:szCs w:val="28"/>
          <w:highlight w:val="none"/>
          <w14:textFill>
            <w14:solidFill>
              <w14:schemeClr w14:val="tx1"/>
            </w14:solidFill>
          </w14:textFill>
        </w:rPr>
        <w:t>单位的</w:t>
      </w:r>
      <w:r>
        <w:rPr>
          <w:rFonts w:ascii="方正仿宋_GBK" w:hAnsi="仿宋" w:eastAsia="方正仿宋_GBK"/>
          <w:color w:val="000000" w:themeColor="text1"/>
          <w:szCs w:val="28"/>
          <w:highlight w:val="none"/>
          <w14:textFill>
            <w14:solidFill>
              <w14:schemeClr w14:val="tx1"/>
            </w14:solidFill>
          </w14:textFill>
        </w:rPr>
        <w:t>______</w:t>
      </w:r>
      <w:r>
        <w:rPr>
          <w:rFonts w:hint="eastAsia" w:ascii="方正仿宋_GBK" w:hAnsi="仿宋" w:eastAsia="方正仿宋_GBK"/>
          <w:color w:val="000000" w:themeColor="text1"/>
          <w:szCs w:val="28"/>
          <w:highlight w:val="none"/>
          <w14:textFill>
            <w14:solidFill>
              <w14:schemeClr w14:val="tx1"/>
            </w14:solidFill>
          </w14:textFill>
        </w:rPr>
        <w:t>项目采购活动提供本单位制造的货物（由本单位承担工程</w:t>
      </w:r>
      <w:r>
        <w:rPr>
          <w:rFonts w:ascii="方正仿宋_GBK" w:hAnsi="仿宋" w:eastAsia="方正仿宋_GBK"/>
          <w:color w:val="000000" w:themeColor="text1"/>
          <w:szCs w:val="28"/>
          <w:highlight w:val="none"/>
          <w14:textFill>
            <w14:solidFill>
              <w14:schemeClr w14:val="tx1"/>
            </w14:solidFill>
          </w14:textFill>
        </w:rPr>
        <w:t>/</w:t>
      </w:r>
      <w:r>
        <w:rPr>
          <w:rFonts w:hint="eastAsia" w:ascii="方正仿宋_GBK" w:hAnsi="仿宋" w:eastAsia="方正仿宋_GBK"/>
          <w:color w:val="000000" w:themeColor="text1"/>
          <w:szCs w:val="28"/>
          <w:highlight w:val="none"/>
          <w14:textFill>
            <w14:solidFill>
              <w14:schemeClr w14:val="tx1"/>
            </w14:solidFill>
          </w14:textFill>
        </w:rPr>
        <w:t>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本单位对上述声明的真实性负责。如有虚假，将依法承担相应责任。</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供应商名称（盖章）：</w:t>
      </w:r>
    </w:p>
    <w:p>
      <w:pPr>
        <w:tabs>
          <w:tab w:val="left" w:pos="6300"/>
        </w:tabs>
        <w:snapToGrid w:val="0"/>
        <w:spacing w:line="560" w:lineRule="exact"/>
        <w:ind w:firstLine="570"/>
        <w:jc w:val="lef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日期：</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br w:type="page"/>
      </w:r>
      <w:r>
        <w:rPr>
          <w:rFonts w:hint="eastAsia" w:ascii="方正仿宋_GBK" w:hAnsi="仿宋" w:eastAsia="方正仿宋_GBK"/>
          <w:color w:val="000000" w:themeColor="text1"/>
          <w:szCs w:val="28"/>
          <w:highlight w:val="none"/>
          <w14:textFill>
            <w14:solidFill>
              <w14:schemeClr w14:val="tx1"/>
            </w14:solidFill>
          </w14:textFill>
        </w:rPr>
        <w:t>（二）其他与项目有关的资料（自附）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（结束）</w:t>
      </w:r>
    </w:p>
    <w:sectPr>
      <w:headerReference r:id="rId16" w:type="default"/>
      <w:pgSz w:w="11907" w:h="16840"/>
      <w:pgMar w:top="1134" w:right="1191" w:bottom="1134" w:left="1304" w:header="851" w:footer="992" w:gutter="0"/>
      <w:pgNumType w:fmt="numberInDash"/>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0E450D-1AC8-4B58-803C-9BE559DF669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8C95009-01A7-4E88-96B2-5C6EDD44D390}"/>
  </w:font>
  <w:font w:name="PMingLiU">
    <w:altName w:val="Microsoft JhengHei UI"/>
    <w:panose1 w:val="02010601000101010101"/>
    <w:charset w:val="88"/>
    <w:family w:val="auto"/>
    <w:pitch w:val="default"/>
    <w:sig w:usb0="00000000" w:usb1="00000000" w:usb2="00000010" w:usb3="00000000" w:csb0="00100000" w:csb1="00000000"/>
  </w:font>
  <w:font w:name="仿宋_GB2312">
    <w:altName w:val="仿宋"/>
    <w:panose1 w:val="00000000000000000000"/>
    <w:charset w:val="86"/>
    <w:family w:val="modern"/>
    <w:pitch w:val="default"/>
    <w:sig w:usb0="00000000" w:usb1="00000000" w:usb2="00000010" w:usb3="00000000" w:csb0="00040000" w:csb1="00000000"/>
    <w:embedRegular r:id="rId3" w:fontKey="{1DC88113-08A6-4829-91FC-733B1B5DE5E8}"/>
  </w:font>
  <w:font w:name="Verdana">
    <w:panose1 w:val="020B0604030504040204"/>
    <w:charset w:val="00"/>
    <w:family w:val="swiss"/>
    <w:pitch w:val="default"/>
    <w:sig w:usb0="A00006FF" w:usb1="4000205B" w:usb2="0000001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embedRegular r:id="rId4" w:fontKey="{B212DA92-764E-4979-B681-AA847292C3C6}"/>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5" w:fontKey="{93E3C6EE-4EA9-4139-9009-3512629C7A9D}"/>
  </w:font>
  <w:font w:name="方正小标宋简体">
    <w:altName w:val="宋体"/>
    <w:panose1 w:val="00000000000000000000"/>
    <w:charset w:val="86"/>
    <w:family w:val="script"/>
    <w:pitch w:val="default"/>
    <w:sig w:usb0="00000000" w:usb1="00000000" w:usb2="00000010" w:usb3="00000000" w:csb0="00040000" w:csb1="00000000"/>
    <w:embedRegular r:id="rId6" w:fontKey="{5692EB1F-D90C-441B-A3F5-300987D44683}"/>
  </w:font>
  <w:font w:name="楷体">
    <w:panose1 w:val="02010609060101010101"/>
    <w:charset w:val="86"/>
    <w:family w:val="modern"/>
    <w:pitch w:val="default"/>
    <w:sig w:usb0="800002BF" w:usb1="38CF7CFA" w:usb2="00000016" w:usb3="00000000" w:csb0="00040001" w:csb1="00000000"/>
    <w:embedRegular r:id="rId7" w:fontKey="{82782DAD-184C-408F-AE33-2452E71D200D}"/>
  </w:font>
  <w:font w:name="Wingdings 2">
    <w:panose1 w:val="05020102010507070707"/>
    <w:charset w:val="02"/>
    <w:family w:val="roman"/>
    <w:pitch w:val="default"/>
    <w:sig w:usb0="00000000" w:usb1="00000000" w:usb2="00000000" w:usb3="00000000" w:csb0="80000000" w:csb1="00000000"/>
    <w:embedRegular r:id="rId8" w:fontKey="{FC530E3B-F9DE-4E76-9834-05B0C7A6B7E9}"/>
  </w:font>
  <w:font w:name="方正黑体_GBK">
    <w:altName w:val="微软雅黑"/>
    <w:panose1 w:val="00000000000000000000"/>
    <w:charset w:val="86"/>
    <w:family w:val="script"/>
    <w:pitch w:val="default"/>
    <w:sig w:usb0="00000000" w:usb1="00000000" w:usb2="00000010" w:usb3="00000000" w:csb0="00040000" w:csb1="00000000"/>
    <w:embedRegular r:id="rId9" w:fontKey="{F5FEEA6B-9533-48D6-8E3A-49F3CB5FDB4C}"/>
  </w:font>
  <w:font w:name="方正小标宋_GBK">
    <w:altName w:val="微软雅黑"/>
    <w:panose1 w:val="00000000000000000000"/>
    <w:charset w:val="86"/>
    <w:family w:val="script"/>
    <w:pitch w:val="default"/>
    <w:sig w:usb0="00000000" w:usb1="00000000" w:usb2="00000010" w:usb3="00000000" w:csb0="00040000" w:csb1="00000000"/>
    <w:embedRegular r:id="rId10" w:fontKey="{77AA2110-6653-43AE-A3D3-37A323DF8E14}"/>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0"/>
      </w:rPr>
    </w:pPr>
    <w:r>
      <w:rPr>
        <w:rStyle w:val="60"/>
      </w:rPr>
      <w:fldChar w:fldCharType="begin"/>
    </w:r>
    <w:r>
      <w:rPr>
        <w:rStyle w:val="60"/>
      </w:rPr>
      <w:instrText xml:space="preserve">PAGE  </w:instrText>
    </w:r>
    <w:r>
      <w:rPr>
        <w:rStyle w:val="60"/>
      </w:rPr>
      <w:fldChar w:fldCharType="separate"/>
    </w:r>
    <w:r>
      <w:rPr>
        <w:rStyle w:val="60"/>
      </w:rPr>
      <w:t>- 1 -</w:t>
    </w:r>
    <w:r>
      <w:rPr>
        <w:rStyle w:val="60"/>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r>
      <w:rPr>
        <w:rStyle w:val="60"/>
      </w:rPr>
      <w:fldChar w:fldCharType="begin"/>
    </w:r>
    <w:r>
      <w:rPr>
        <w:rStyle w:val="60"/>
      </w:rPr>
      <w:instrText xml:space="preserve">PAGE  </w:instrText>
    </w:r>
    <w:r>
      <w:rPr>
        <w:rStyle w:val="60"/>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p>
  <w:p>
    <w:pPr>
      <w:pStyle w:val="35"/>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0"/>
        <w:sz w:val="21"/>
        <w:szCs w:val="21"/>
      </w:rPr>
    </w:pPr>
    <w:r>
      <w:rPr>
        <w:rStyle w:val="60"/>
        <w:sz w:val="21"/>
        <w:szCs w:val="21"/>
      </w:rPr>
      <w:fldChar w:fldCharType="begin"/>
    </w:r>
    <w:r>
      <w:rPr>
        <w:rStyle w:val="60"/>
        <w:sz w:val="21"/>
        <w:szCs w:val="21"/>
      </w:rPr>
      <w:instrText xml:space="preserve">PAGE  </w:instrText>
    </w:r>
    <w:r>
      <w:rPr>
        <w:rStyle w:val="60"/>
        <w:sz w:val="21"/>
        <w:szCs w:val="21"/>
      </w:rPr>
      <w:fldChar w:fldCharType="separate"/>
    </w:r>
    <w:r>
      <w:rPr>
        <w:rStyle w:val="60"/>
        <w:sz w:val="21"/>
        <w:szCs w:val="21"/>
      </w:rPr>
      <w:t>- 21 -</w:t>
    </w:r>
    <w:r>
      <w:rPr>
        <w:rStyle w:val="60"/>
        <w:sz w:val="21"/>
        <w:szCs w:val="21"/>
      </w:rP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r>
      <w:rPr>
        <w:rStyle w:val="60"/>
      </w:rPr>
      <w:fldChar w:fldCharType="begin"/>
    </w:r>
    <w:r>
      <w:rPr>
        <w:rStyle w:val="60"/>
      </w:rPr>
      <w:instrText xml:space="preserve">PAGE  </w:instrText>
    </w:r>
    <w:r>
      <w:rPr>
        <w:rStyle w:val="60"/>
      </w:rP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p>
  <w:p>
    <w:pPr>
      <w:pStyle w:val="35"/>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sz w:val="21"/>
        <w:szCs w:val="21"/>
      </w:rPr>
    </w:pPr>
    <w:r>
      <w:rPr>
        <w:rStyle w:val="60"/>
        <w:sz w:val="21"/>
        <w:szCs w:val="21"/>
      </w:rPr>
      <w:fldChar w:fldCharType="begin"/>
    </w:r>
    <w:r>
      <w:rPr>
        <w:rStyle w:val="60"/>
        <w:sz w:val="21"/>
        <w:szCs w:val="21"/>
      </w:rPr>
      <w:instrText xml:space="preserve"> PAGE </w:instrText>
    </w:r>
    <w:r>
      <w:rPr>
        <w:rStyle w:val="60"/>
        <w:sz w:val="21"/>
        <w:szCs w:val="21"/>
      </w:rPr>
      <w:fldChar w:fldCharType="separate"/>
    </w:r>
    <w:r>
      <w:rPr>
        <w:rStyle w:val="60"/>
        <w:sz w:val="21"/>
        <w:szCs w:val="21"/>
      </w:rPr>
      <w:t>- 32 -</w:t>
    </w:r>
    <w:r>
      <w:rPr>
        <w:rStyle w:val="60"/>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rPr>
    </w:pPr>
    <w:r>
      <w:rPr>
        <w:rFonts w:hint="eastAsia" w:ascii="方正仿宋_GBK" w:eastAsia="方正仿宋_GBK"/>
        <w:sz w:val="21"/>
      </w:rPr>
      <w:t>重庆医科大学单一来源采购文件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E9270B"/>
    <w:multiLevelType w:val="multilevel"/>
    <w:tmpl w:val="4DE9270B"/>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7AE0ED38"/>
    <w:multiLevelType w:val="singleLevel"/>
    <w:tmpl w:val="7AE0ED3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OTAyMzZkZjE2MTdhZjFhODQ1YTRmNTUxNTFhMTcifQ=="/>
  </w:docVars>
  <w:rsids>
    <w:rsidRoot w:val="00172A27"/>
    <w:rsid w:val="0000022B"/>
    <w:rsid w:val="0000182E"/>
    <w:rsid w:val="00002646"/>
    <w:rsid w:val="00002EAF"/>
    <w:rsid w:val="000040DE"/>
    <w:rsid w:val="00005A02"/>
    <w:rsid w:val="00006994"/>
    <w:rsid w:val="00015A2E"/>
    <w:rsid w:val="00015AED"/>
    <w:rsid w:val="00016B79"/>
    <w:rsid w:val="00020580"/>
    <w:rsid w:val="00021C15"/>
    <w:rsid w:val="00026AFF"/>
    <w:rsid w:val="00027AF7"/>
    <w:rsid w:val="00027E2E"/>
    <w:rsid w:val="00033C8A"/>
    <w:rsid w:val="0003541A"/>
    <w:rsid w:val="000358F8"/>
    <w:rsid w:val="0003632F"/>
    <w:rsid w:val="00036537"/>
    <w:rsid w:val="00037364"/>
    <w:rsid w:val="00042156"/>
    <w:rsid w:val="00043C9B"/>
    <w:rsid w:val="000446C0"/>
    <w:rsid w:val="0005298B"/>
    <w:rsid w:val="00054308"/>
    <w:rsid w:val="0005456D"/>
    <w:rsid w:val="000549FF"/>
    <w:rsid w:val="0005579D"/>
    <w:rsid w:val="000576E1"/>
    <w:rsid w:val="000608A2"/>
    <w:rsid w:val="00063981"/>
    <w:rsid w:val="00064FA3"/>
    <w:rsid w:val="00067E3F"/>
    <w:rsid w:val="0007090D"/>
    <w:rsid w:val="00071638"/>
    <w:rsid w:val="000727E3"/>
    <w:rsid w:val="00075B41"/>
    <w:rsid w:val="00077C0A"/>
    <w:rsid w:val="000802AC"/>
    <w:rsid w:val="00091B1C"/>
    <w:rsid w:val="00092CF5"/>
    <w:rsid w:val="000938CD"/>
    <w:rsid w:val="000946B8"/>
    <w:rsid w:val="00096E0E"/>
    <w:rsid w:val="000A164E"/>
    <w:rsid w:val="000A1FC4"/>
    <w:rsid w:val="000A557B"/>
    <w:rsid w:val="000A6134"/>
    <w:rsid w:val="000A677F"/>
    <w:rsid w:val="000B3BD8"/>
    <w:rsid w:val="000B42F4"/>
    <w:rsid w:val="000B711E"/>
    <w:rsid w:val="000B7377"/>
    <w:rsid w:val="000B7F54"/>
    <w:rsid w:val="000C04DB"/>
    <w:rsid w:val="000C2F0B"/>
    <w:rsid w:val="000C34DA"/>
    <w:rsid w:val="000C5B30"/>
    <w:rsid w:val="000C7441"/>
    <w:rsid w:val="000D077F"/>
    <w:rsid w:val="000D205B"/>
    <w:rsid w:val="000D23F5"/>
    <w:rsid w:val="000D40BA"/>
    <w:rsid w:val="000E0B28"/>
    <w:rsid w:val="000E1FD5"/>
    <w:rsid w:val="000E27FA"/>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566C"/>
    <w:rsid w:val="001363B2"/>
    <w:rsid w:val="0013641F"/>
    <w:rsid w:val="001376CB"/>
    <w:rsid w:val="001378A9"/>
    <w:rsid w:val="001401FF"/>
    <w:rsid w:val="001408A4"/>
    <w:rsid w:val="00140C83"/>
    <w:rsid w:val="00140E25"/>
    <w:rsid w:val="00147FB4"/>
    <w:rsid w:val="0015011C"/>
    <w:rsid w:val="00150429"/>
    <w:rsid w:val="00152C54"/>
    <w:rsid w:val="0015351E"/>
    <w:rsid w:val="0015411E"/>
    <w:rsid w:val="0016035A"/>
    <w:rsid w:val="001605C7"/>
    <w:rsid w:val="0016303B"/>
    <w:rsid w:val="00165086"/>
    <w:rsid w:val="00165C17"/>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4F50"/>
    <w:rsid w:val="001A505E"/>
    <w:rsid w:val="001A6DCC"/>
    <w:rsid w:val="001A78C2"/>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04E1"/>
    <w:rsid w:val="001F1AF7"/>
    <w:rsid w:val="001F1CA8"/>
    <w:rsid w:val="001F32CC"/>
    <w:rsid w:val="001F48D9"/>
    <w:rsid w:val="001F4964"/>
    <w:rsid w:val="001F525A"/>
    <w:rsid w:val="001F7063"/>
    <w:rsid w:val="00200186"/>
    <w:rsid w:val="0020068F"/>
    <w:rsid w:val="002017A4"/>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122E"/>
    <w:rsid w:val="00232BFC"/>
    <w:rsid w:val="00235F8F"/>
    <w:rsid w:val="00237759"/>
    <w:rsid w:val="00240F13"/>
    <w:rsid w:val="00244757"/>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320E"/>
    <w:rsid w:val="002735FB"/>
    <w:rsid w:val="002746B1"/>
    <w:rsid w:val="00276503"/>
    <w:rsid w:val="00276A3F"/>
    <w:rsid w:val="002803FD"/>
    <w:rsid w:val="00280E8A"/>
    <w:rsid w:val="00283A40"/>
    <w:rsid w:val="00283B57"/>
    <w:rsid w:val="00285164"/>
    <w:rsid w:val="00285D78"/>
    <w:rsid w:val="0028635A"/>
    <w:rsid w:val="00291967"/>
    <w:rsid w:val="00295381"/>
    <w:rsid w:val="002A40D6"/>
    <w:rsid w:val="002A4956"/>
    <w:rsid w:val="002A5652"/>
    <w:rsid w:val="002A6710"/>
    <w:rsid w:val="002A7622"/>
    <w:rsid w:val="002B0450"/>
    <w:rsid w:val="002B17DF"/>
    <w:rsid w:val="002B3C24"/>
    <w:rsid w:val="002B47A4"/>
    <w:rsid w:val="002B77C9"/>
    <w:rsid w:val="002B7904"/>
    <w:rsid w:val="002C062A"/>
    <w:rsid w:val="002C2507"/>
    <w:rsid w:val="002C2E26"/>
    <w:rsid w:val="002C2E6E"/>
    <w:rsid w:val="002C3528"/>
    <w:rsid w:val="002C6051"/>
    <w:rsid w:val="002D5FEE"/>
    <w:rsid w:val="002E632A"/>
    <w:rsid w:val="002E7EAA"/>
    <w:rsid w:val="002F021D"/>
    <w:rsid w:val="002F1B06"/>
    <w:rsid w:val="002F26FF"/>
    <w:rsid w:val="002F3DE3"/>
    <w:rsid w:val="002F600B"/>
    <w:rsid w:val="002F632E"/>
    <w:rsid w:val="002F6FAF"/>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0267"/>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99A"/>
    <w:rsid w:val="00371D2F"/>
    <w:rsid w:val="00372D5B"/>
    <w:rsid w:val="00375E03"/>
    <w:rsid w:val="0038344F"/>
    <w:rsid w:val="00384161"/>
    <w:rsid w:val="003841E8"/>
    <w:rsid w:val="003849B7"/>
    <w:rsid w:val="0038633C"/>
    <w:rsid w:val="0038662A"/>
    <w:rsid w:val="00386E15"/>
    <w:rsid w:val="00387610"/>
    <w:rsid w:val="003973D3"/>
    <w:rsid w:val="003A02DC"/>
    <w:rsid w:val="003A0892"/>
    <w:rsid w:val="003A449E"/>
    <w:rsid w:val="003A4841"/>
    <w:rsid w:val="003A501C"/>
    <w:rsid w:val="003A514C"/>
    <w:rsid w:val="003A57CB"/>
    <w:rsid w:val="003A57F1"/>
    <w:rsid w:val="003A71F3"/>
    <w:rsid w:val="003B19F5"/>
    <w:rsid w:val="003B7309"/>
    <w:rsid w:val="003B7B71"/>
    <w:rsid w:val="003C0A38"/>
    <w:rsid w:val="003C0B33"/>
    <w:rsid w:val="003C2F4C"/>
    <w:rsid w:val="003C2FDC"/>
    <w:rsid w:val="003C3A20"/>
    <w:rsid w:val="003C4B29"/>
    <w:rsid w:val="003C66A3"/>
    <w:rsid w:val="003D0E0A"/>
    <w:rsid w:val="003D1569"/>
    <w:rsid w:val="003D4376"/>
    <w:rsid w:val="003D54DD"/>
    <w:rsid w:val="003D5AE1"/>
    <w:rsid w:val="003E1F8A"/>
    <w:rsid w:val="003E49C4"/>
    <w:rsid w:val="003E5E67"/>
    <w:rsid w:val="003F6E9F"/>
    <w:rsid w:val="003F7BA4"/>
    <w:rsid w:val="00400F68"/>
    <w:rsid w:val="00402066"/>
    <w:rsid w:val="00402B32"/>
    <w:rsid w:val="00405DA8"/>
    <w:rsid w:val="004060ED"/>
    <w:rsid w:val="00406A10"/>
    <w:rsid w:val="004079FF"/>
    <w:rsid w:val="004105E0"/>
    <w:rsid w:val="00410C93"/>
    <w:rsid w:val="00411B4A"/>
    <w:rsid w:val="00412680"/>
    <w:rsid w:val="00416638"/>
    <w:rsid w:val="004167CD"/>
    <w:rsid w:val="00421C73"/>
    <w:rsid w:val="00425EDA"/>
    <w:rsid w:val="0043290D"/>
    <w:rsid w:val="004353BF"/>
    <w:rsid w:val="00437B1E"/>
    <w:rsid w:val="004400CA"/>
    <w:rsid w:val="004455F8"/>
    <w:rsid w:val="004467CA"/>
    <w:rsid w:val="004474F3"/>
    <w:rsid w:val="004515DA"/>
    <w:rsid w:val="00452DF8"/>
    <w:rsid w:val="00453AFE"/>
    <w:rsid w:val="00453CEA"/>
    <w:rsid w:val="004543A5"/>
    <w:rsid w:val="00455457"/>
    <w:rsid w:val="00457A75"/>
    <w:rsid w:val="00460E0B"/>
    <w:rsid w:val="00462245"/>
    <w:rsid w:val="00462878"/>
    <w:rsid w:val="00462A6E"/>
    <w:rsid w:val="0046417B"/>
    <w:rsid w:val="004657EA"/>
    <w:rsid w:val="00472447"/>
    <w:rsid w:val="00473377"/>
    <w:rsid w:val="00475EFD"/>
    <w:rsid w:val="00477405"/>
    <w:rsid w:val="00481A49"/>
    <w:rsid w:val="00484C3B"/>
    <w:rsid w:val="004868BD"/>
    <w:rsid w:val="00486F3A"/>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18DA"/>
    <w:rsid w:val="00502B2F"/>
    <w:rsid w:val="00505F40"/>
    <w:rsid w:val="00507372"/>
    <w:rsid w:val="005075A3"/>
    <w:rsid w:val="00512D00"/>
    <w:rsid w:val="00513266"/>
    <w:rsid w:val="0051348A"/>
    <w:rsid w:val="00514179"/>
    <w:rsid w:val="005170E4"/>
    <w:rsid w:val="00522621"/>
    <w:rsid w:val="00524D8A"/>
    <w:rsid w:val="005320C1"/>
    <w:rsid w:val="00536484"/>
    <w:rsid w:val="005365B7"/>
    <w:rsid w:val="00540672"/>
    <w:rsid w:val="005454A1"/>
    <w:rsid w:val="005460D5"/>
    <w:rsid w:val="00547AFF"/>
    <w:rsid w:val="005522A6"/>
    <w:rsid w:val="00552CBA"/>
    <w:rsid w:val="0055688B"/>
    <w:rsid w:val="00556AA7"/>
    <w:rsid w:val="005573AE"/>
    <w:rsid w:val="0056050C"/>
    <w:rsid w:val="00562860"/>
    <w:rsid w:val="0056298A"/>
    <w:rsid w:val="00566A85"/>
    <w:rsid w:val="00571368"/>
    <w:rsid w:val="00572414"/>
    <w:rsid w:val="00573AE3"/>
    <w:rsid w:val="00576F8B"/>
    <w:rsid w:val="00581B74"/>
    <w:rsid w:val="005822FE"/>
    <w:rsid w:val="005902D9"/>
    <w:rsid w:val="00590A54"/>
    <w:rsid w:val="00590B75"/>
    <w:rsid w:val="00590CE0"/>
    <w:rsid w:val="0059244D"/>
    <w:rsid w:val="00596AB7"/>
    <w:rsid w:val="005A1459"/>
    <w:rsid w:val="005A1EA7"/>
    <w:rsid w:val="005A22D3"/>
    <w:rsid w:val="005A47DA"/>
    <w:rsid w:val="005A7D38"/>
    <w:rsid w:val="005B0724"/>
    <w:rsid w:val="005B1E46"/>
    <w:rsid w:val="005B7775"/>
    <w:rsid w:val="005C0014"/>
    <w:rsid w:val="005C0D33"/>
    <w:rsid w:val="005C119A"/>
    <w:rsid w:val="005C2CCD"/>
    <w:rsid w:val="005C42AC"/>
    <w:rsid w:val="005C4F84"/>
    <w:rsid w:val="005C5383"/>
    <w:rsid w:val="005D12E2"/>
    <w:rsid w:val="005D1B47"/>
    <w:rsid w:val="005D253F"/>
    <w:rsid w:val="005D4BB7"/>
    <w:rsid w:val="005D703E"/>
    <w:rsid w:val="005D7A31"/>
    <w:rsid w:val="005E0919"/>
    <w:rsid w:val="005E370D"/>
    <w:rsid w:val="005E397B"/>
    <w:rsid w:val="005E620C"/>
    <w:rsid w:val="005E6B55"/>
    <w:rsid w:val="005E7E9D"/>
    <w:rsid w:val="005F2617"/>
    <w:rsid w:val="005F773E"/>
    <w:rsid w:val="005F7F2B"/>
    <w:rsid w:val="00600775"/>
    <w:rsid w:val="00603842"/>
    <w:rsid w:val="0060543A"/>
    <w:rsid w:val="00607B7D"/>
    <w:rsid w:val="00610C5F"/>
    <w:rsid w:val="0061164C"/>
    <w:rsid w:val="006117B3"/>
    <w:rsid w:val="00613410"/>
    <w:rsid w:val="00615434"/>
    <w:rsid w:val="0061717E"/>
    <w:rsid w:val="00617986"/>
    <w:rsid w:val="00617AA4"/>
    <w:rsid w:val="00617D2D"/>
    <w:rsid w:val="006249E2"/>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33E2"/>
    <w:rsid w:val="006A3E19"/>
    <w:rsid w:val="006A4743"/>
    <w:rsid w:val="006A4811"/>
    <w:rsid w:val="006A55C3"/>
    <w:rsid w:val="006A58DF"/>
    <w:rsid w:val="006B0048"/>
    <w:rsid w:val="006B17C8"/>
    <w:rsid w:val="006B5E7E"/>
    <w:rsid w:val="006B61FE"/>
    <w:rsid w:val="006B700E"/>
    <w:rsid w:val="006B72DE"/>
    <w:rsid w:val="006C3744"/>
    <w:rsid w:val="006C503B"/>
    <w:rsid w:val="006C5FC1"/>
    <w:rsid w:val="006D17FF"/>
    <w:rsid w:val="006D44E1"/>
    <w:rsid w:val="006D552C"/>
    <w:rsid w:val="006E21FA"/>
    <w:rsid w:val="006E4C57"/>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50A8"/>
    <w:rsid w:val="0071653B"/>
    <w:rsid w:val="0071711C"/>
    <w:rsid w:val="007207A9"/>
    <w:rsid w:val="00721F54"/>
    <w:rsid w:val="00724F97"/>
    <w:rsid w:val="00726088"/>
    <w:rsid w:val="0072665C"/>
    <w:rsid w:val="007279DB"/>
    <w:rsid w:val="00730B6A"/>
    <w:rsid w:val="00730BFB"/>
    <w:rsid w:val="00731622"/>
    <w:rsid w:val="00732C58"/>
    <w:rsid w:val="00734C8D"/>
    <w:rsid w:val="00734FD3"/>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3389"/>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1B5A"/>
    <w:rsid w:val="007D3CA6"/>
    <w:rsid w:val="007D72B8"/>
    <w:rsid w:val="007E0D9F"/>
    <w:rsid w:val="007E298C"/>
    <w:rsid w:val="007E3989"/>
    <w:rsid w:val="007E472A"/>
    <w:rsid w:val="007F2295"/>
    <w:rsid w:val="007F3CCE"/>
    <w:rsid w:val="007F5B22"/>
    <w:rsid w:val="007F5C55"/>
    <w:rsid w:val="007F6A65"/>
    <w:rsid w:val="008041D4"/>
    <w:rsid w:val="00806D8C"/>
    <w:rsid w:val="008072F5"/>
    <w:rsid w:val="008077E5"/>
    <w:rsid w:val="00807EE7"/>
    <w:rsid w:val="008109A2"/>
    <w:rsid w:val="0081156A"/>
    <w:rsid w:val="00814FFD"/>
    <w:rsid w:val="008216EA"/>
    <w:rsid w:val="008223CA"/>
    <w:rsid w:val="00822DBB"/>
    <w:rsid w:val="00827398"/>
    <w:rsid w:val="00830B6F"/>
    <w:rsid w:val="00831BEC"/>
    <w:rsid w:val="00832559"/>
    <w:rsid w:val="00833110"/>
    <w:rsid w:val="00836A3D"/>
    <w:rsid w:val="0083770E"/>
    <w:rsid w:val="008402BC"/>
    <w:rsid w:val="008409FC"/>
    <w:rsid w:val="00841FC8"/>
    <w:rsid w:val="00842974"/>
    <w:rsid w:val="0084353E"/>
    <w:rsid w:val="00851805"/>
    <w:rsid w:val="00853516"/>
    <w:rsid w:val="00853FE4"/>
    <w:rsid w:val="00854BF8"/>
    <w:rsid w:val="0085550A"/>
    <w:rsid w:val="0085669D"/>
    <w:rsid w:val="00857B00"/>
    <w:rsid w:val="008616EF"/>
    <w:rsid w:val="00863C25"/>
    <w:rsid w:val="008658CE"/>
    <w:rsid w:val="008705BC"/>
    <w:rsid w:val="00871150"/>
    <w:rsid w:val="00873A89"/>
    <w:rsid w:val="00875A42"/>
    <w:rsid w:val="00876B51"/>
    <w:rsid w:val="008772F3"/>
    <w:rsid w:val="008778AB"/>
    <w:rsid w:val="008822CE"/>
    <w:rsid w:val="00883BD5"/>
    <w:rsid w:val="00884647"/>
    <w:rsid w:val="008876B1"/>
    <w:rsid w:val="008904A8"/>
    <w:rsid w:val="00891344"/>
    <w:rsid w:val="00891347"/>
    <w:rsid w:val="00894593"/>
    <w:rsid w:val="008A2EFF"/>
    <w:rsid w:val="008A47F3"/>
    <w:rsid w:val="008A48FC"/>
    <w:rsid w:val="008A54BE"/>
    <w:rsid w:val="008A724D"/>
    <w:rsid w:val="008A7BD2"/>
    <w:rsid w:val="008B12E9"/>
    <w:rsid w:val="008B626E"/>
    <w:rsid w:val="008B63A1"/>
    <w:rsid w:val="008C28C6"/>
    <w:rsid w:val="008C3708"/>
    <w:rsid w:val="008C3801"/>
    <w:rsid w:val="008C510F"/>
    <w:rsid w:val="008D3076"/>
    <w:rsid w:val="008D4DD3"/>
    <w:rsid w:val="008D5813"/>
    <w:rsid w:val="008D6DB8"/>
    <w:rsid w:val="008E0E94"/>
    <w:rsid w:val="008E39CA"/>
    <w:rsid w:val="008E538C"/>
    <w:rsid w:val="008E66B8"/>
    <w:rsid w:val="008F1988"/>
    <w:rsid w:val="008F1D27"/>
    <w:rsid w:val="008F25DB"/>
    <w:rsid w:val="008F285F"/>
    <w:rsid w:val="008F2AD5"/>
    <w:rsid w:val="008F2D73"/>
    <w:rsid w:val="008F5462"/>
    <w:rsid w:val="008F6252"/>
    <w:rsid w:val="008F770B"/>
    <w:rsid w:val="009008C1"/>
    <w:rsid w:val="00901D6E"/>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19A9"/>
    <w:rsid w:val="00943FB2"/>
    <w:rsid w:val="00944DDD"/>
    <w:rsid w:val="009518C5"/>
    <w:rsid w:val="0095327E"/>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013E"/>
    <w:rsid w:val="009818F4"/>
    <w:rsid w:val="00983B43"/>
    <w:rsid w:val="00985574"/>
    <w:rsid w:val="0099180F"/>
    <w:rsid w:val="009935C9"/>
    <w:rsid w:val="009946D0"/>
    <w:rsid w:val="00995DAF"/>
    <w:rsid w:val="00996D2C"/>
    <w:rsid w:val="009A048A"/>
    <w:rsid w:val="009A070C"/>
    <w:rsid w:val="009A2367"/>
    <w:rsid w:val="009A49C0"/>
    <w:rsid w:val="009A5685"/>
    <w:rsid w:val="009A6BDE"/>
    <w:rsid w:val="009B086C"/>
    <w:rsid w:val="009B0DC8"/>
    <w:rsid w:val="009B64FB"/>
    <w:rsid w:val="009B76CC"/>
    <w:rsid w:val="009C032D"/>
    <w:rsid w:val="009C2830"/>
    <w:rsid w:val="009C3034"/>
    <w:rsid w:val="009C40F0"/>
    <w:rsid w:val="009C4958"/>
    <w:rsid w:val="009C5946"/>
    <w:rsid w:val="009C7CAC"/>
    <w:rsid w:val="009D01D6"/>
    <w:rsid w:val="009D2934"/>
    <w:rsid w:val="009D29F0"/>
    <w:rsid w:val="009D3530"/>
    <w:rsid w:val="009D6931"/>
    <w:rsid w:val="009E57E8"/>
    <w:rsid w:val="009E6227"/>
    <w:rsid w:val="009E737D"/>
    <w:rsid w:val="009E749B"/>
    <w:rsid w:val="009F4390"/>
    <w:rsid w:val="009F5335"/>
    <w:rsid w:val="00A0291F"/>
    <w:rsid w:val="00A0308E"/>
    <w:rsid w:val="00A03977"/>
    <w:rsid w:val="00A050D4"/>
    <w:rsid w:val="00A06324"/>
    <w:rsid w:val="00A06A56"/>
    <w:rsid w:val="00A16C2A"/>
    <w:rsid w:val="00A21050"/>
    <w:rsid w:val="00A24ECD"/>
    <w:rsid w:val="00A26FF7"/>
    <w:rsid w:val="00A2753B"/>
    <w:rsid w:val="00A30B50"/>
    <w:rsid w:val="00A3107D"/>
    <w:rsid w:val="00A32377"/>
    <w:rsid w:val="00A330D4"/>
    <w:rsid w:val="00A35338"/>
    <w:rsid w:val="00A43482"/>
    <w:rsid w:val="00A445DC"/>
    <w:rsid w:val="00A44BEA"/>
    <w:rsid w:val="00A52666"/>
    <w:rsid w:val="00A52AEA"/>
    <w:rsid w:val="00A541FA"/>
    <w:rsid w:val="00A553F3"/>
    <w:rsid w:val="00A575D9"/>
    <w:rsid w:val="00A57A7E"/>
    <w:rsid w:val="00A60C8A"/>
    <w:rsid w:val="00A61E81"/>
    <w:rsid w:val="00A63E95"/>
    <w:rsid w:val="00A64C1A"/>
    <w:rsid w:val="00A66DEB"/>
    <w:rsid w:val="00A67DFB"/>
    <w:rsid w:val="00A711C6"/>
    <w:rsid w:val="00A712B9"/>
    <w:rsid w:val="00A71BFA"/>
    <w:rsid w:val="00A7324C"/>
    <w:rsid w:val="00A7339B"/>
    <w:rsid w:val="00A7358D"/>
    <w:rsid w:val="00A7593D"/>
    <w:rsid w:val="00A75ABC"/>
    <w:rsid w:val="00A81879"/>
    <w:rsid w:val="00A837D7"/>
    <w:rsid w:val="00A84863"/>
    <w:rsid w:val="00A9131A"/>
    <w:rsid w:val="00A91739"/>
    <w:rsid w:val="00A92C51"/>
    <w:rsid w:val="00A930D0"/>
    <w:rsid w:val="00A95B77"/>
    <w:rsid w:val="00A95D95"/>
    <w:rsid w:val="00A977EC"/>
    <w:rsid w:val="00AA24F6"/>
    <w:rsid w:val="00AA3FD1"/>
    <w:rsid w:val="00AA4288"/>
    <w:rsid w:val="00AA4D0E"/>
    <w:rsid w:val="00AA5374"/>
    <w:rsid w:val="00AA6978"/>
    <w:rsid w:val="00AA6E07"/>
    <w:rsid w:val="00AB0701"/>
    <w:rsid w:val="00AB3AB4"/>
    <w:rsid w:val="00AB5D3A"/>
    <w:rsid w:val="00AB5ED3"/>
    <w:rsid w:val="00AB6B0C"/>
    <w:rsid w:val="00AB70CD"/>
    <w:rsid w:val="00AB78AC"/>
    <w:rsid w:val="00AC2047"/>
    <w:rsid w:val="00AC28C5"/>
    <w:rsid w:val="00AC2F9D"/>
    <w:rsid w:val="00AC485C"/>
    <w:rsid w:val="00AC48B3"/>
    <w:rsid w:val="00AC4AA6"/>
    <w:rsid w:val="00AC6BCD"/>
    <w:rsid w:val="00AC7AC9"/>
    <w:rsid w:val="00AD23EF"/>
    <w:rsid w:val="00AD2504"/>
    <w:rsid w:val="00AD361A"/>
    <w:rsid w:val="00AD678F"/>
    <w:rsid w:val="00AD699C"/>
    <w:rsid w:val="00AD6A95"/>
    <w:rsid w:val="00AE1920"/>
    <w:rsid w:val="00AE2244"/>
    <w:rsid w:val="00AE301E"/>
    <w:rsid w:val="00AE362A"/>
    <w:rsid w:val="00AE6CDD"/>
    <w:rsid w:val="00AF01B3"/>
    <w:rsid w:val="00AF0F13"/>
    <w:rsid w:val="00AF3270"/>
    <w:rsid w:val="00AF3B4A"/>
    <w:rsid w:val="00AF3FA3"/>
    <w:rsid w:val="00AF65E5"/>
    <w:rsid w:val="00AF6BED"/>
    <w:rsid w:val="00AF6EA3"/>
    <w:rsid w:val="00AF7992"/>
    <w:rsid w:val="00B00AB3"/>
    <w:rsid w:val="00B00B4D"/>
    <w:rsid w:val="00B00E70"/>
    <w:rsid w:val="00B04833"/>
    <w:rsid w:val="00B0498C"/>
    <w:rsid w:val="00B04AB7"/>
    <w:rsid w:val="00B073C8"/>
    <w:rsid w:val="00B117CF"/>
    <w:rsid w:val="00B11E6F"/>
    <w:rsid w:val="00B14C52"/>
    <w:rsid w:val="00B14E7A"/>
    <w:rsid w:val="00B200AA"/>
    <w:rsid w:val="00B21225"/>
    <w:rsid w:val="00B21731"/>
    <w:rsid w:val="00B225F1"/>
    <w:rsid w:val="00B22A7A"/>
    <w:rsid w:val="00B22DC5"/>
    <w:rsid w:val="00B3072B"/>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0A4A"/>
    <w:rsid w:val="00B71C3A"/>
    <w:rsid w:val="00B7267B"/>
    <w:rsid w:val="00B7373B"/>
    <w:rsid w:val="00B75449"/>
    <w:rsid w:val="00B7610A"/>
    <w:rsid w:val="00B808B4"/>
    <w:rsid w:val="00B8181C"/>
    <w:rsid w:val="00B823F6"/>
    <w:rsid w:val="00B82A0B"/>
    <w:rsid w:val="00B90210"/>
    <w:rsid w:val="00B92D33"/>
    <w:rsid w:val="00B9322B"/>
    <w:rsid w:val="00B93463"/>
    <w:rsid w:val="00B93D5C"/>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2247"/>
    <w:rsid w:val="00C06F92"/>
    <w:rsid w:val="00C075F4"/>
    <w:rsid w:val="00C106A3"/>
    <w:rsid w:val="00C1090C"/>
    <w:rsid w:val="00C11C45"/>
    <w:rsid w:val="00C23C73"/>
    <w:rsid w:val="00C240C8"/>
    <w:rsid w:val="00C26513"/>
    <w:rsid w:val="00C30A55"/>
    <w:rsid w:val="00C34627"/>
    <w:rsid w:val="00C34BA7"/>
    <w:rsid w:val="00C37F72"/>
    <w:rsid w:val="00C417C3"/>
    <w:rsid w:val="00C420C1"/>
    <w:rsid w:val="00C4525F"/>
    <w:rsid w:val="00C45963"/>
    <w:rsid w:val="00C472B8"/>
    <w:rsid w:val="00C477E6"/>
    <w:rsid w:val="00C53124"/>
    <w:rsid w:val="00C53B2E"/>
    <w:rsid w:val="00C53FFD"/>
    <w:rsid w:val="00C55080"/>
    <w:rsid w:val="00C6035F"/>
    <w:rsid w:val="00C6160A"/>
    <w:rsid w:val="00C646F8"/>
    <w:rsid w:val="00C65570"/>
    <w:rsid w:val="00C65940"/>
    <w:rsid w:val="00C70A84"/>
    <w:rsid w:val="00C716FB"/>
    <w:rsid w:val="00C71CBF"/>
    <w:rsid w:val="00C727AF"/>
    <w:rsid w:val="00C73C60"/>
    <w:rsid w:val="00C7506D"/>
    <w:rsid w:val="00C75B76"/>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A5844"/>
    <w:rsid w:val="00CA7415"/>
    <w:rsid w:val="00CB1740"/>
    <w:rsid w:val="00CB265C"/>
    <w:rsid w:val="00CB39E0"/>
    <w:rsid w:val="00CB4D59"/>
    <w:rsid w:val="00CB7A07"/>
    <w:rsid w:val="00CC010B"/>
    <w:rsid w:val="00CC296F"/>
    <w:rsid w:val="00CC457C"/>
    <w:rsid w:val="00CC59BB"/>
    <w:rsid w:val="00CD635D"/>
    <w:rsid w:val="00CD7CED"/>
    <w:rsid w:val="00CE04C7"/>
    <w:rsid w:val="00CE41F7"/>
    <w:rsid w:val="00CE452B"/>
    <w:rsid w:val="00CE5156"/>
    <w:rsid w:val="00CE63B1"/>
    <w:rsid w:val="00CE63D4"/>
    <w:rsid w:val="00CF156B"/>
    <w:rsid w:val="00CF1E02"/>
    <w:rsid w:val="00CF2D68"/>
    <w:rsid w:val="00CF329B"/>
    <w:rsid w:val="00CF5856"/>
    <w:rsid w:val="00CF597A"/>
    <w:rsid w:val="00D009B0"/>
    <w:rsid w:val="00D032D5"/>
    <w:rsid w:val="00D032DB"/>
    <w:rsid w:val="00D03884"/>
    <w:rsid w:val="00D05BAA"/>
    <w:rsid w:val="00D07FB9"/>
    <w:rsid w:val="00D121B8"/>
    <w:rsid w:val="00D13B7A"/>
    <w:rsid w:val="00D14F14"/>
    <w:rsid w:val="00D1675A"/>
    <w:rsid w:val="00D21328"/>
    <w:rsid w:val="00D2286D"/>
    <w:rsid w:val="00D22C4B"/>
    <w:rsid w:val="00D230C7"/>
    <w:rsid w:val="00D23E7D"/>
    <w:rsid w:val="00D2405F"/>
    <w:rsid w:val="00D30C7F"/>
    <w:rsid w:val="00D32EEC"/>
    <w:rsid w:val="00D33E13"/>
    <w:rsid w:val="00D35D2A"/>
    <w:rsid w:val="00D379AB"/>
    <w:rsid w:val="00D37EF0"/>
    <w:rsid w:val="00D41BA9"/>
    <w:rsid w:val="00D42FBC"/>
    <w:rsid w:val="00D4365D"/>
    <w:rsid w:val="00D456F3"/>
    <w:rsid w:val="00D46946"/>
    <w:rsid w:val="00D50350"/>
    <w:rsid w:val="00D51EC5"/>
    <w:rsid w:val="00D52376"/>
    <w:rsid w:val="00D526E0"/>
    <w:rsid w:val="00D57ACB"/>
    <w:rsid w:val="00D57B9E"/>
    <w:rsid w:val="00D612C2"/>
    <w:rsid w:val="00D64080"/>
    <w:rsid w:val="00D66A2D"/>
    <w:rsid w:val="00D704B9"/>
    <w:rsid w:val="00D74230"/>
    <w:rsid w:val="00D745E0"/>
    <w:rsid w:val="00D74CF9"/>
    <w:rsid w:val="00D76AA3"/>
    <w:rsid w:val="00D80604"/>
    <w:rsid w:val="00D842C5"/>
    <w:rsid w:val="00D84D2F"/>
    <w:rsid w:val="00D858F8"/>
    <w:rsid w:val="00D86212"/>
    <w:rsid w:val="00D87229"/>
    <w:rsid w:val="00D914FE"/>
    <w:rsid w:val="00D91F5D"/>
    <w:rsid w:val="00D9460E"/>
    <w:rsid w:val="00D95411"/>
    <w:rsid w:val="00D96EDA"/>
    <w:rsid w:val="00DA086B"/>
    <w:rsid w:val="00DA0B92"/>
    <w:rsid w:val="00DA1D16"/>
    <w:rsid w:val="00DA565F"/>
    <w:rsid w:val="00DA5B2E"/>
    <w:rsid w:val="00DA5E46"/>
    <w:rsid w:val="00DA7E05"/>
    <w:rsid w:val="00DB1007"/>
    <w:rsid w:val="00DB14B2"/>
    <w:rsid w:val="00DB4794"/>
    <w:rsid w:val="00DB4BDE"/>
    <w:rsid w:val="00DB5C3E"/>
    <w:rsid w:val="00DB628E"/>
    <w:rsid w:val="00DB75B0"/>
    <w:rsid w:val="00DC0A93"/>
    <w:rsid w:val="00DD1761"/>
    <w:rsid w:val="00DD7326"/>
    <w:rsid w:val="00DE1E3E"/>
    <w:rsid w:val="00DE7ABF"/>
    <w:rsid w:val="00DF0C84"/>
    <w:rsid w:val="00DF3046"/>
    <w:rsid w:val="00DF348B"/>
    <w:rsid w:val="00DF782C"/>
    <w:rsid w:val="00E00A17"/>
    <w:rsid w:val="00E023D0"/>
    <w:rsid w:val="00E02BE3"/>
    <w:rsid w:val="00E030A0"/>
    <w:rsid w:val="00E06DC7"/>
    <w:rsid w:val="00E124E3"/>
    <w:rsid w:val="00E12907"/>
    <w:rsid w:val="00E13E8F"/>
    <w:rsid w:val="00E14812"/>
    <w:rsid w:val="00E14F74"/>
    <w:rsid w:val="00E15DDE"/>
    <w:rsid w:val="00E16AB4"/>
    <w:rsid w:val="00E2339E"/>
    <w:rsid w:val="00E308E8"/>
    <w:rsid w:val="00E3245B"/>
    <w:rsid w:val="00E3707B"/>
    <w:rsid w:val="00E37B2C"/>
    <w:rsid w:val="00E4024B"/>
    <w:rsid w:val="00E414C7"/>
    <w:rsid w:val="00E44049"/>
    <w:rsid w:val="00E4710C"/>
    <w:rsid w:val="00E475F1"/>
    <w:rsid w:val="00E503C6"/>
    <w:rsid w:val="00E50685"/>
    <w:rsid w:val="00E55E4C"/>
    <w:rsid w:val="00E563CD"/>
    <w:rsid w:val="00E564C0"/>
    <w:rsid w:val="00E570D9"/>
    <w:rsid w:val="00E57F6B"/>
    <w:rsid w:val="00E6083B"/>
    <w:rsid w:val="00E6212D"/>
    <w:rsid w:val="00E6236B"/>
    <w:rsid w:val="00E67A2C"/>
    <w:rsid w:val="00E707DE"/>
    <w:rsid w:val="00E71934"/>
    <w:rsid w:val="00E7342C"/>
    <w:rsid w:val="00E742D4"/>
    <w:rsid w:val="00E75F51"/>
    <w:rsid w:val="00E75FA3"/>
    <w:rsid w:val="00E76943"/>
    <w:rsid w:val="00E81555"/>
    <w:rsid w:val="00E81B99"/>
    <w:rsid w:val="00E86A66"/>
    <w:rsid w:val="00E87CB0"/>
    <w:rsid w:val="00EA010E"/>
    <w:rsid w:val="00EB0E2D"/>
    <w:rsid w:val="00EB0F9E"/>
    <w:rsid w:val="00EB0FD0"/>
    <w:rsid w:val="00EB13E2"/>
    <w:rsid w:val="00EB1E33"/>
    <w:rsid w:val="00EB2F99"/>
    <w:rsid w:val="00EB3D1F"/>
    <w:rsid w:val="00EB458D"/>
    <w:rsid w:val="00EB4C01"/>
    <w:rsid w:val="00EB619E"/>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0944"/>
    <w:rsid w:val="00EF447B"/>
    <w:rsid w:val="00EF62F0"/>
    <w:rsid w:val="00EF733D"/>
    <w:rsid w:val="00F02899"/>
    <w:rsid w:val="00F06D97"/>
    <w:rsid w:val="00F11A47"/>
    <w:rsid w:val="00F134B1"/>
    <w:rsid w:val="00F13738"/>
    <w:rsid w:val="00F169C3"/>
    <w:rsid w:val="00F20FF1"/>
    <w:rsid w:val="00F25205"/>
    <w:rsid w:val="00F271E4"/>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2469"/>
    <w:rsid w:val="00F538D9"/>
    <w:rsid w:val="00F547B1"/>
    <w:rsid w:val="00F5531F"/>
    <w:rsid w:val="00F56399"/>
    <w:rsid w:val="00F56D6E"/>
    <w:rsid w:val="00F57B07"/>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257A"/>
    <w:rsid w:val="00F95676"/>
    <w:rsid w:val="00F95696"/>
    <w:rsid w:val="00FA0238"/>
    <w:rsid w:val="00FA0979"/>
    <w:rsid w:val="00FA3531"/>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A039D"/>
    <w:rsid w:val="03CF1BDF"/>
    <w:rsid w:val="03D43E6B"/>
    <w:rsid w:val="04192F2D"/>
    <w:rsid w:val="04232897"/>
    <w:rsid w:val="04372F34"/>
    <w:rsid w:val="043A7135"/>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229F3"/>
    <w:rsid w:val="07A45649"/>
    <w:rsid w:val="07AA664A"/>
    <w:rsid w:val="07AE48F9"/>
    <w:rsid w:val="07C319EF"/>
    <w:rsid w:val="07C76818"/>
    <w:rsid w:val="0807479B"/>
    <w:rsid w:val="080F2A78"/>
    <w:rsid w:val="08692164"/>
    <w:rsid w:val="0872404C"/>
    <w:rsid w:val="08B52C33"/>
    <w:rsid w:val="08C165E7"/>
    <w:rsid w:val="08C95DA1"/>
    <w:rsid w:val="08D572C1"/>
    <w:rsid w:val="08E510DE"/>
    <w:rsid w:val="08FF7CC3"/>
    <w:rsid w:val="0944018A"/>
    <w:rsid w:val="09520EFD"/>
    <w:rsid w:val="09885115"/>
    <w:rsid w:val="099B6B0C"/>
    <w:rsid w:val="09AF6CB3"/>
    <w:rsid w:val="09B92303"/>
    <w:rsid w:val="09D006AC"/>
    <w:rsid w:val="09D93CA9"/>
    <w:rsid w:val="0A344626"/>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C954FA"/>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B61AAE"/>
    <w:rsid w:val="0ECB05FB"/>
    <w:rsid w:val="0ED15CD9"/>
    <w:rsid w:val="0F2D6BFB"/>
    <w:rsid w:val="0F2F0918"/>
    <w:rsid w:val="0F636044"/>
    <w:rsid w:val="0F67709F"/>
    <w:rsid w:val="0F7846DB"/>
    <w:rsid w:val="0F7C4872"/>
    <w:rsid w:val="0F9E7ABF"/>
    <w:rsid w:val="0FAD1963"/>
    <w:rsid w:val="0FCE469A"/>
    <w:rsid w:val="0FEC4DEA"/>
    <w:rsid w:val="0FFC147A"/>
    <w:rsid w:val="104F21BA"/>
    <w:rsid w:val="105902D8"/>
    <w:rsid w:val="106931D0"/>
    <w:rsid w:val="10825EE2"/>
    <w:rsid w:val="108261F0"/>
    <w:rsid w:val="1087214F"/>
    <w:rsid w:val="109B58DE"/>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E753A6"/>
    <w:rsid w:val="15F41434"/>
    <w:rsid w:val="16055A19"/>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7341C6"/>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98587F"/>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8F2C61"/>
    <w:rsid w:val="1B9C2D1B"/>
    <w:rsid w:val="1BEC395B"/>
    <w:rsid w:val="1C060B83"/>
    <w:rsid w:val="1C294764"/>
    <w:rsid w:val="1C4A502D"/>
    <w:rsid w:val="1C6E1D37"/>
    <w:rsid w:val="1C702871"/>
    <w:rsid w:val="1C765853"/>
    <w:rsid w:val="1CA1614F"/>
    <w:rsid w:val="1CA317D4"/>
    <w:rsid w:val="1D335E75"/>
    <w:rsid w:val="1D532BBD"/>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EC45B21"/>
    <w:rsid w:val="1F162DBE"/>
    <w:rsid w:val="1F241322"/>
    <w:rsid w:val="1F3E402E"/>
    <w:rsid w:val="1F6E4F18"/>
    <w:rsid w:val="1F870B40"/>
    <w:rsid w:val="201C27C0"/>
    <w:rsid w:val="2079572D"/>
    <w:rsid w:val="208402F7"/>
    <w:rsid w:val="20B61E4D"/>
    <w:rsid w:val="20D35D78"/>
    <w:rsid w:val="21321F1B"/>
    <w:rsid w:val="213D35E2"/>
    <w:rsid w:val="213D6312"/>
    <w:rsid w:val="2141571A"/>
    <w:rsid w:val="217E5C96"/>
    <w:rsid w:val="21FB0745"/>
    <w:rsid w:val="2203275D"/>
    <w:rsid w:val="22160D89"/>
    <w:rsid w:val="22460687"/>
    <w:rsid w:val="22701375"/>
    <w:rsid w:val="228931FD"/>
    <w:rsid w:val="22BC38C0"/>
    <w:rsid w:val="22D07D85"/>
    <w:rsid w:val="23092F8F"/>
    <w:rsid w:val="230D1CD2"/>
    <w:rsid w:val="23194350"/>
    <w:rsid w:val="23445482"/>
    <w:rsid w:val="23797C55"/>
    <w:rsid w:val="23847EF8"/>
    <w:rsid w:val="239E2570"/>
    <w:rsid w:val="23D64FBD"/>
    <w:rsid w:val="23F521B7"/>
    <w:rsid w:val="24136DFB"/>
    <w:rsid w:val="24137869"/>
    <w:rsid w:val="24166B48"/>
    <w:rsid w:val="242D11DE"/>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BD2623"/>
    <w:rsid w:val="27C4091D"/>
    <w:rsid w:val="27D81D2D"/>
    <w:rsid w:val="27DA2EEC"/>
    <w:rsid w:val="27DB43E6"/>
    <w:rsid w:val="280E1C87"/>
    <w:rsid w:val="28173E13"/>
    <w:rsid w:val="28512A38"/>
    <w:rsid w:val="286E5FE0"/>
    <w:rsid w:val="286F14C3"/>
    <w:rsid w:val="28934F64"/>
    <w:rsid w:val="28A53B98"/>
    <w:rsid w:val="28B11B76"/>
    <w:rsid w:val="28C179AA"/>
    <w:rsid w:val="28F25563"/>
    <w:rsid w:val="29576D3C"/>
    <w:rsid w:val="296653B4"/>
    <w:rsid w:val="297B7F78"/>
    <w:rsid w:val="297F1690"/>
    <w:rsid w:val="29904341"/>
    <w:rsid w:val="29EF167C"/>
    <w:rsid w:val="2A9D0C90"/>
    <w:rsid w:val="2AAA7A67"/>
    <w:rsid w:val="2ABF1770"/>
    <w:rsid w:val="2ACA41EE"/>
    <w:rsid w:val="2AD645B3"/>
    <w:rsid w:val="2AE55EB3"/>
    <w:rsid w:val="2AF24BD8"/>
    <w:rsid w:val="2AFC2AE6"/>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6F7476"/>
    <w:rsid w:val="2E794C8D"/>
    <w:rsid w:val="2EA341AA"/>
    <w:rsid w:val="2ED83EA8"/>
    <w:rsid w:val="2EEC1F7C"/>
    <w:rsid w:val="2EF36D23"/>
    <w:rsid w:val="2F4128F5"/>
    <w:rsid w:val="2F57706B"/>
    <w:rsid w:val="2F815BD9"/>
    <w:rsid w:val="2F8C6E2B"/>
    <w:rsid w:val="2F906765"/>
    <w:rsid w:val="2FAC6072"/>
    <w:rsid w:val="2FB80233"/>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320247"/>
    <w:rsid w:val="3242092B"/>
    <w:rsid w:val="32436963"/>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1C0798"/>
    <w:rsid w:val="375A649C"/>
    <w:rsid w:val="37602666"/>
    <w:rsid w:val="37A646C0"/>
    <w:rsid w:val="37B27E2F"/>
    <w:rsid w:val="37BA3CF6"/>
    <w:rsid w:val="37CC3806"/>
    <w:rsid w:val="382839D3"/>
    <w:rsid w:val="38304D5D"/>
    <w:rsid w:val="383A7E70"/>
    <w:rsid w:val="38466A97"/>
    <w:rsid w:val="38581F27"/>
    <w:rsid w:val="38866501"/>
    <w:rsid w:val="38A85780"/>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6427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0A4993"/>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DE20BF"/>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CC36A0"/>
    <w:rsid w:val="48CD17D0"/>
    <w:rsid w:val="48DE2F8F"/>
    <w:rsid w:val="48FF7A08"/>
    <w:rsid w:val="4906551A"/>
    <w:rsid w:val="49082A5D"/>
    <w:rsid w:val="491C643E"/>
    <w:rsid w:val="496776D9"/>
    <w:rsid w:val="49682003"/>
    <w:rsid w:val="497C3A9B"/>
    <w:rsid w:val="498B5DDB"/>
    <w:rsid w:val="49BB4F73"/>
    <w:rsid w:val="4A316C77"/>
    <w:rsid w:val="4A3C6604"/>
    <w:rsid w:val="4A460E14"/>
    <w:rsid w:val="4AAF2D97"/>
    <w:rsid w:val="4AB6357D"/>
    <w:rsid w:val="4ADC6C01"/>
    <w:rsid w:val="4AEF2A8D"/>
    <w:rsid w:val="4B25054C"/>
    <w:rsid w:val="4B4B2CC5"/>
    <w:rsid w:val="4BC02D61"/>
    <w:rsid w:val="4BE3352B"/>
    <w:rsid w:val="4BE87EFB"/>
    <w:rsid w:val="4C1E1A78"/>
    <w:rsid w:val="4C2174FF"/>
    <w:rsid w:val="4C2329AA"/>
    <w:rsid w:val="4C3518E2"/>
    <w:rsid w:val="4C5658C8"/>
    <w:rsid w:val="4C827F29"/>
    <w:rsid w:val="4CCA2518"/>
    <w:rsid w:val="4CD55BBD"/>
    <w:rsid w:val="4D240F97"/>
    <w:rsid w:val="4D416F0A"/>
    <w:rsid w:val="4D5F1C23"/>
    <w:rsid w:val="4D654F3D"/>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06261"/>
    <w:rsid w:val="50D672D1"/>
    <w:rsid w:val="513564DA"/>
    <w:rsid w:val="51517251"/>
    <w:rsid w:val="516B7E7C"/>
    <w:rsid w:val="51726357"/>
    <w:rsid w:val="51B740FC"/>
    <w:rsid w:val="51BA1464"/>
    <w:rsid w:val="51BB25F2"/>
    <w:rsid w:val="51BE3EE9"/>
    <w:rsid w:val="51CB6B4A"/>
    <w:rsid w:val="51D00E44"/>
    <w:rsid w:val="51EF0F78"/>
    <w:rsid w:val="51F36C09"/>
    <w:rsid w:val="52212249"/>
    <w:rsid w:val="522263B5"/>
    <w:rsid w:val="52287AE7"/>
    <w:rsid w:val="52394E68"/>
    <w:rsid w:val="52457134"/>
    <w:rsid w:val="5275059E"/>
    <w:rsid w:val="52826544"/>
    <w:rsid w:val="5298518D"/>
    <w:rsid w:val="52A03CC7"/>
    <w:rsid w:val="52A85FEF"/>
    <w:rsid w:val="52B550D9"/>
    <w:rsid w:val="53016BDE"/>
    <w:rsid w:val="531C6AF2"/>
    <w:rsid w:val="534965B9"/>
    <w:rsid w:val="53910651"/>
    <w:rsid w:val="53922C91"/>
    <w:rsid w:val="53B35D44"/>
    <w:rsid w:val="53BE29B9"/>
    <w:rsid w:val="53C060E0"/>
    <w:rsid w:val="53D0549C"/>
    <w:rsid w:val="53F85276"/>
    <w:rsid w:val="540F53DB"/>
    <w:rsid w:val="5428286E"/>
    <w:rsid w:val="54496C8E"/>
    <w:rsid w:val="545C6AF1"/>
    <w:rsid w:val="5463310B"/>
    <w:rsid w:val="54721CD5"/>
    <w:rsid w:val="54B216A2"/>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776C9"/>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A77AC9"/>
    <w:rsid w:val="5AD82661"/>
    <w:rsid w:val="5B145680"/>
    <w:rsid w:val="5B2B436C"/>
    <w:rsid w:val="5B3A0574"/>
    <w:rsid w:val="5B512A7D"/>
    <w:rsid w:val="5B513A04"/>
    <w:rsid w:val="5B74609C"/>
    <w:rsid w:val="5B8C20EF"/>
    <w:rsid w:val="5BA0529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061262"/>
    <w:rsid w:val="5F1F61E7"/>
    <w:rsid w:val="5F3952C4"/>
    <w:rsid w:val="5F433287"/>
    <w:rsid w:val="5F4646CC"/>
    <w:rsid w:val="5F6A76D4"/>
    <w:rsid w:val="5F856F33"/>
    <w:rsid w:val="5FC26661"/>
    <w:rsid w:val="5FDB2465"/>
    <w:rsid w:val="5FE91007"/>
    <w:rsid w:val="604C40AD"/>
    <w:rsid w:val="60532490"/>
    <w:rsid w:val="60670929"/>
    <w:rsid w:val="607C32FC"/>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95351"/>
    <w:rsid w:val="640F5431"/>
    <w:rsid w:val="64193CD0"/>
    <w:rsid w:val="64195186"/>
    <w:rsid w:val="641D2EFD"/>
    <w:rsid w:val="6423743B"/>
    <w:rsid w:val="6448538C"/>
    <w:rsid w:val="644E665C"/>
    <w:rsid w:val="64527B45"/>
    <w:rsid w:val="646467D2"/>
    <w:rsid w:val="64775838"/>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721EE8"/>
    <w:rsid w:val="69864A8E"/>
    <w:rsid w:val="69B20260"/>
    <w:rsid w:val="69BB1FDC"/>
    <w:rsid w:val="69D916C2"/>
    <w:rsid w:val="6A164547"/>
    <w:rsid w:val="6A1E6150"/>
    <w:rsid w:val="6A227D76"/>
    <w:rsid w:val="6A4B4C70"/>
    <w:rsid w:val="6A64003C"/>
    <w:rsid w:val="6A643711"/>
    <w:rsid w:val="6A856E03"/>
    <w:rsid w:val="6AB6329A"/>
    <w:rsid w:val="6ABA55F7"/>
    <w:rsid w:val="6ACD5AD0"/>
    <w:rsid w:val="6ADA242B"/>
    <w:rsid w:val="6AE20CB8"/>
    <w:rsid w:val="6AFF46A8"/>
    <w:rsid w:val="6B1765A5"/>
    <w:rsid w:val="6B2111D2"/>
    <w:rsid w:val="6B390F75"/>
    <w:rsid w:val="6B655A6E"/>
    <w:rsid w:val="6B697F76"/>
    <w:rsid w:val="6BAA51E1"/>
    <w:rsid w:val="6BB140BD"/>
    <w:rsid w:val="6BD727DC"/>
    <w:rsid w:val="6BEA13C0"/>
    <w:rsid w:val="6BF37700"/>
    <w:rsid w:val="6C0C784B"/>
    <w:rsid w:val="6C0E4D78"/>
    <w:rsid w:val="6C3C1C06"/>
    <w:rsid w:val="6CA20189"/>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756"/>
    <w:rsid w:val="7036571F"/>
    <w:rsid w:val="703D6EF4"/>
    <w:rsid w:val="7091272F"/>
    <w:rsid w:val="70AF4754"/>
    <w:rsid w:val="70C229C4"/>
    <w:rsid w:val="70CD5D7C"/>
    <w:rsid w:val="70D372A7"/>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5859AD"/>
    <w:rsid w:val="73766428"/>
    <w:rsid w:val="737A1EA8"/>
    <w:rsid w:val="73982B23"/>
    <w:rsid w:val="73A11424"/>
    <w:rsid w:val="73A90B1E"/>
    <w:rsid w:val="73AA2B9B"/>
    <w:rsid w:val="73C44C10"/>
    <w:rsid w:val="73CC3CE8"/>
    <w:rsid w:val="73D566B7"/>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DE4B6E"/>
    <w:rsid w:val="76FF19B7"/>
    <w:rsid w:val="77145C2B"/>
    <w:rsid w:val="774946B8"/>
    <w:rsid w:val="77545B5E"/>
    <w:rsid w:val="776610EB"/>
    <w:rsid w:val="776F0802"/>
    <w:rsid w:val="77787354"/>
    <w:rsid w:val="778E0603"/>
    <w:rsid w:val="77991989"/>
    <w:rsid w:val="77A21243"/>
    <w:rsid w:val="77A37944"/>
    <w:rsid w:val="780B36D9"/>
    <w:rsid w:val="78342EC8"/>
    <w:rsid w:val="78383C9D"/>
    <w:rsid w:val="787156B1"/>
    <w:rsid w:val="787A26B8"/>
    <w:rsid w:val="787A39B3"/>
    <w:rsid w:val="787D458F"/>
    <w:rsid w:val="78874953"/>
    <w:rsid w:val="789E5CA1"/>
    <w:rsid w:val="78A33258"/>
    <w:rsid w:val="78D8063A"/>
    <w:rsid w:val="79142376"/>
    <w:rsid w:val="791A4C41"/>
    <w:rsid w:val="797F0A67"/>
    <w:rsid w:val="799025D1"/>
    <w:rsid w:val="799302D4"/>
    <w:rsid w:val="79935E09"/>
    <w:rsid w:val="79A9773D"/>
    <w:rsid w:val="79AE474E"/>
    <w:rsid w:val="79EE0E28"/>
    <w:rsid w:val="7A2B4E79"/>
    <w:rsid w:val="7A322852"/>
    <w:rsid w:val="7A9A3F86"/>
    <w:rsid w:val="7AB22AAE"/>
    <w:rsid w:val="7AE40754"/>
    <w:rsid w:val="7AF535A1"/>
    <w:rsid w:val="7AF63B3F"/>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EE22F44"/>
    <w:rsid w:val="7F0551BF"/>
    <w:rsid w:val="7F777FA6"/>
    <w:rsid w:val="7F7913B6"/>
    <w:rsid w:val="7FA1158C"/>
    <w:rsid w:val="7FA9750A"/>
    <w:rsid w:val="7FE96A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67"/>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8"/>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semiHidden/>
    <w:qFormat/>
    <w:uiPriority w:val="0"/>
    <w:pPr>
      <w:ind w:left="2520" w:leftChars="1200"/>
    </w:pPr>
  </w:style>
  <w:style w:type="paragraph" w:styleId="13">
    <w:name w:val="List Number 2"/>
    <w:basedOn w:val="1"/>
    <w:qFormat/>
    <w:uiPriority w:val="0"/>
    <w:pPr>
      <w:tabs>
        <w:tab w:val="left" w:pos="780"/>
      </w:tabs>
      <w:spacing w:line="360" w:lineRule="auto"/>
      <w:ind w:left="425" w:hanging="425"/>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semiHidden/>
    <w:qFormat/>
    <w:uiPriority w:val="0"/>
    <w:pPr>
      <w:shd w:val="clear" w:color="auto" w:fill="000080"/>
    </w:pPr>
  </w:style>
  <w:style w:type="paragraph" w:styleId="18">
    <w:name w:val="toa heading"/>
    <w:basedOn w:val="1"/>
    <w:next w:val="1"/>
    <w:semiHidden/>
    <w:qFormat/>
    <w:uiPriority w:val="0"/>
    <w:pPr>
      <w:spacing w:before="120"/>
    </w:pPr>
    <w:rPr>
      <w:rFonts w:ascii="Arial" w:hAnsi="Arial"/>
      <w:sz w:val="24"/>
    </w:rPr>
  </w:style>
  <w:style w:type="paragraph" w:styleId="19">
    <w:name w:val="annotation text"/>
    <w:basedOn w:val="1"/>
    <w:link w:val="69"/>
    <w:semiHidden/>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tabs>
        <w:tab w:val="left" w:pos="1200"/>
      </w:tabs>
      <w:adjustRightInd w:val="0"/>
      <w:snapToGrid w:val="0"/>
      <w:spacing w:line="360" w:lineRule="auto"/>
      <w:ind w:left="1200" w:hanging="360"/>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70"/>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tabs>
        <w:tab w:val="left" w:pos="780"/>
      </w:tabs>
      <w:adjustRightInd w:val="0"/>
      <w:snapToGrid w:val="0"/>
      <w:spacing w:line="360" w:lineRule="auto"/>
      <w:ind w:left="780" w:hanging="360"/>
    </w:pPr>
    <w:rPr>
      <w:sz w:val="24"/>
    </w:rPr>
  </w:style>
  <w:style w:type="paragraph" w:styleId="28">
    <w:name w:val="toc 5"/>
    <w:basedOn w:val="1"/>
    <w:next w:val="1"/>
    <w:semiHidden/>
    <w:qFormat/>
    <w:uiPriority w:val="0"/>
    <w:pPr>
      <w:ind w:left="1680" w:leftChars="800"/>
    </w:pPr>
  </w:style>
  <w:style w:type="paragraph" w:styleId="29">
    <w:name w:val="toc 3"/>
    <w:basedOn w:val="1"/>
    <w:next w:val="1"/>
    <w:semiHidden/>
    <w:qFormat/>
    <w:uiPriority w:val="0"/>
    <w:pPr>
      <w:ind w:left="840" w:leftChars="400"/>
    </w:pPr>
  </w:style>
  <w:style w:type="paragraph" w:styleId="30">
    <w:name w:val="Plain Text"/>
    <w:basedOn w:val="1"/>
    <w:link w:val="71"/>
    <w:qFormat/>
    <w:uiPriority w:val="0"/>
    <w:rPr>
      <w:rFonts w:ascii="宋体" w:hAnsi="Courier New"/>
      <w:sz w:val="21"/>
    </w:rPr>
  </w:style>
  <w:style w:type="paragraph" w:styleId="31">
    <w:name w:val="toc 8"/>
    <w:basedOn w:val="1"/>
    <w:next w:val="1"/>
    <w:semiHidden/>
    <w:qFormat/>
    <w:uiPriority w:val="0"/>
    <w:pPr>
      <w:ind w:left="2940" w:leftChars="1400"/>
    </w:pPr>
  </w:style>
  <w:style w:type="paragraph" w:styleId="32">
    <w:name w:val="Date"/>
    <w:basedOn w:val="1"/>
    <w:next w:val="1"/>
    <w:link w:val="72"/>
    <w:qFormat/>
    <w:uiPriority w:val="0"/>
  </w:style>
  <w:style w:type="paragraph" w:styleId="33">
    <w:name w:val="Body Text Indent 2"/>
    <w:basedOn w:val="1"/>
    <w:link w:val="73"/>
    <w:qFormat/>
    <w:uiPriority w:val="0"/>
    <w:pPr>
      <w:snapToGrid w:val="0"/>
      <w:spacing w:line="560" w:lineRule="atLeast"/>
      <w:ind w:firstLine="540"/>
    </w:pPr>
  </w:style>
  <w:style w:type="paragraph" w:styleId="34">
    <w:name w:val="Balloon Text"/>
    <w:basedOn w:val="1"/>
    <w:semiHidden/>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semiHidden/>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semiHidden/>
    <w:qFormat/>
    <w:uiPriority w:val="0"/>
    <w:pPr>
      <w:ind w:left="1260" w:leftChars="600"/>
    </w:pPr>
  </w:style>
  <w:style w:type="paragraph" w:styleId="40">
    <w:name w:val="footnote text"/>
    <w:basedOn w:val="1"/>
    <w:link w:val="74"/>
    <w:semiHidden/>
    <w:qFormat/>
    <w:uiPriority w:val="0"/>
    <w:pPr>
      <w:spacing w:line="360" w:lineRule="auto"/>
    </w:pPr>
    <w:rPr>
      <w:sz w:val="18"/>
    </w:rPr>
  </w:style>
  <w:style w:type="paragraph" w:styleId="41">
    <w:name w:val="toc 6"/>
    <w:basedOn w:val="1"/>
    <w:next w:val="1"/>
    <w:semiHidden/>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semiHidden/>
    <w:qFormat/>
    <w:uiPriority w:val="0"/>
    <w:pPr>
      <w:tabs>
        <w:tab w:val="right" w:leader="dot" w:pos="8640"/>
      </w:tabs>
      <w:spacing w:line="360" w:lineRule="auto"/>
      <w:ind w:left="400" w:hanging="400"/>
    </w:pPr>
    <w:rPr>
      <w:sz w:val="24"/>
    </w:rPr>
  </w:style>
  <w:style w:type="paragraph" w:styleId="45">
    <w:name w:val="toc 2"/>
    <w:basedOn w:val="1"/>
    <w:next w:val="1"/>
    <w:semiHidden/>
    <w:qFormat/>
    <w:uiPriority w:val="0"/>
    <w:pPr>
      <w:ind w:left="420" w:leftChars="200"/>
    </w:pPr>
  </w:style>
  <w:style w:type="paragraph" w:styleId="46">
    <w:name w:val="toc 9"/>
    <w:basedOn w:val="1"/>
    <w:next w:val="1"/>
    <w:semiHidden/>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semiHidden/>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5"/>
    <w:semiHidden/>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3"/>
    <w:link w:val="76"/>
    <w:qFormat/>
    <w:uiPriority w:val="0"/>
    <w:pPr>
      <w:spacing w:after="120" w:line="240" w:lineRule="auto"/>
      <w:ind w:left="420" w:leftChars="200" w:firstLine="420" w:firstLineChars="200"/>
    </w:pPr>
  </w:style>
  <w:style w:type="character" w:styleId="59">
    <w:name w:val="Strong"/>
    <w:qFormat/>
    <w:uiPriority w:val="0"/>
    <w:rPr>
      <w:b/>
    </w:rPr>
  </w:style>
  <w:style w:type="character" w:styleId="60">
    <w:name w:val="page number"/>
    <w:qFormat/>
    <w:uiPriority w:val="0"/>
    <w:rPr>
      <w:rFonts w:cs="Times New Roman"/>
    </w:rPr>
  </w:style>
  <w:style w:type="character" w:styleId="61">
    <w:name w:val="FollowedHyperlink"/>
    <w:qFormat/>
    <w:uiPriority w:val="0"/>
    <w:rPr>
      <w:color w:val="800080"/>
      <w:u w:val="single"/>
    </w:rPr>
  </w:style>
  <w:style w:type="character" w:styleId="62">
    <w:name w:val="Emphasis"/>
    <w:qFormat/>
    <w:uiPriority w:val="0"/>
    <w:rPr>
      <w:i/>
    </w:rPr>
  </w:style>
  <w:style w:type="character" w:styleId="63">
    <w:name w:val="Hyperlink"/>
    <w:qFormat/>
    <w:uiPriority w:val="0"/>
    <w:rPr>
      <w:color w:val="0000FF"/>
      <w:u w:val="single"/>
    </w:rPr>
  </w:style>
  <w:style w:type="character" w:styleId="64">
    <w:name w:val="annotation reference"/>
    <w:semiHidden/>
    <w:qFormat/>
    <w:uiPriority w:val="0"/>
    <w:rPr>
      <w:sz w:val="21"/>
    </w:rPr>
  </w:style>
  <w:style w:type="character" w:styleId="65">
    <w:name w:val="footnote reference"/>
    <w:semiHidden/>
    <w:qFormat/>
    <w:uiPriority w:val="0"/>
    <w:rPr>
      <w:position w:val="6"/>
      <w:sz w:val="14"/>
      <w:vertAlign w:val="superscript"/>
    </w:rPr>
  </w:style>
  <w:style w:type="paragraph" w:customStyle="1" w:styleId="66">
    <w:name w:val="_Style 242"/>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67">
    <w:name w:val="标题 2 Char"/>
    <w:link w:val="3"/>
    <w:qFormat/>
    <w:locked/>
    <w:uiPriority w:val="0"/>
    <w:rPr>
      <w:rFonts w:ascii="Arial" w:hAnsi="Arial" w:eastAsia="黑体"/>
      <w:b/>
      <w:kern w:val="2"/>
      <w:sz w:val="32"/>
    </w:rPr>
  </w:style>
  <w:style w:type="character" w:customStyle="1" w:styleId="68">
    <w:name w:val="标题 3 Char"/>
    <w:link w:val="4"/>
    <w:qFormat/>
    <w:locked/>
    <w:uiPriority w:val="0"/>
    <w:rPr>
      <w:rFonts w:eastAsia="宋体"/>
      <w:b/>
      <w:kern w:val="2"/>
      <w:sz w:val="32"/>
      <w:lang w:val="en-US" w:eastAsia="zh-CN"/>
    </w:rPr>
  </w:style>
  <w:style w:type="character" w:customStyle="1" w:styleId="69">
    <w:name w:val="批注文字 Char"/>
    <w:link w:val="19"/>
    <w:qFormat/>
    <w:locked/>
    <w:uiPriority w:val="0"/>
    <w:rPr>
      <w:sz w:val="24"/>
    </w:rPr>
  </w:style>
  <w:style w:type="character" w:customStyle="1" w:styleId="70">
    <w:name w:val="正文文本缩进 Char"/>
    <w:link w:val="23"/>
    <w:qFormat/>
    <w:locked/>
    <w:uiPriority w:val="0"/>
    <w:rPr>
      <w:kern w:val="2"/>
      <w:sz w:val="44"/>
    </w:rPr>
  </w:style>
  <w:style w:type="character" w:customStyle="1" w:styleId="71">
    <w:name w:val="纯文本 Char"/>
    <w:link w:val="30"/>
    <w:qFormat/>
    <w:locked/>
    <w:uiPriority w:val="0"/>
    <w:rPr>
      <w:rFonts w:ascii="宋体" w:hAnsi="Courier New"/>
      <w:kern w:val="2"/>
      <w:sz w:val="21"/>
    </w:rPr>
  </w:style>
  <w:style w:type="character" w:customStyle="1" w:styleId="72">
    <w:name w:val="日期 Char"/>
    <w:link w:val="32"/>
    <w:qFormat/>
    <w:locked/>
    <w:uiPriority w:val="0"/>
    <w:rPr>
      <w:kern w:val="2"/>
      <w:sz w:val="28"/>
    </w:rPr>
  </w:style>
  <w:style w:type="character" w:customStyle="1" w:styleId="73">
    <w:name w:val="正文文本缩进 2 Char"/>
    <w:link w:val="33"/>
    <w:qFormat/>
    <w:locked/>
    <w:uiPriority w:val="0"/>
    <w:rPr>
      <w:kern w:val="2"/>
      <w:sz w:val="28"/>
    </w:rPr>
  </w:style>
  <w:style w:type="character" w:customStyle="1" w:styleId="74">
    <w:name w:val="脚注文本 Char"/>
    <w:link w:val="40"/>
    <w:qFormat/>
    <w:locked/>
    <w:uiPriority w:val="0"/>
    <w:rPr>
      <w:kern w:val="2"/>
      <w:sz w:val="18"/>
    </w:rPr>
  </w:style>
  <w:style w:type="character" w:customStyle="1" w:styleId="75">
    <w:name w:val="批注主题 Char"/>
    <w:link w:val="54"/>
    <w:qFormat/>
    <w:locked/>
    <w:uiPriority w:val="0"/>
    <w:rPr>
      <w:rFonts w:cs="Times New Roman"/>
      <w:sz w:val="24"/>
    </w:rPr>
  </w:style>
  <w:style w:type="character" w:customStyle="1" w:styleId="76">
    <w:name w:val="正文首行缩进 2 Char"/>
    <w:link w:val="56"/>
    <w:qFormat/>
    <w:locked/>
    <w:uiPriority w:val="0"/>
    <w:rPr>
      <w:rFonts w:cs="Times New Roman"/>
      <w:kern w:val="2"/>
      <w:sz w:val="44"/>
    </w:rPr>
  </w:style>
  <w:style w:type="character" w:customStyle="1" w:styleId="77">
    <w:name w:val="Char Char2"/>
    <w:qFormat/>
    <w:uiPriority w:val="0"/>
    <w:rPr>
      <w:rFonts w:eastAsia="宋体"/>
      <w:kern w:val="2"/>
      <w:sz w:val="18"/>
      <w:lang w:val="en-US" w:eastAsia="zh-CN"/>
    </w:rPr>
  </w:style>
  <w:style w:type="character" w:customStyle="1" w:styleId="78">
    <w:name w:val="Char Char11"/>
    <w:qFormat/>
    <w:uiPriority w:val="0"/>
    <w:rPr>
      <w:rFonts w:ascii="宋体"/>
      <w:kern w:val="2"/>
      <w:sz w:val="28"/>
    </w:rPr>
  </w:style>
  <w:style w:type="character" w:customStyle="1" w:styleId="79">
    <w:name w:val="title_emph1"/>
    <w:qFormat/>
    <w:uiPriority w:val="0"/>
    <w:rPr>
      <w:rFonts w:ascii="Arial" w:hAnsi="Arial"/>
      <w:b/>
      <w:sz w:val="20"/>
    </w:rPr>
  </w:style>
  <w:style w:type="character" w:customStyle="1" w:styleId="80">
    <w:name w:val="Char Char3"/>
    <w:qFormat/>
    <w:uiPriority w:val="0"/>
    <w:rPr>
      <w:rFonts w:eastAsia="宋体"/>
      <w:kern w:val="2"/>
      <w:sz w:val="18"/>
      <w:lang w:val="en-US" w:eastAsia="zh-CN"/>
    </w:rPr>
  </w:style>
  <w:style w:type="character" w:customStyle="1" w:styleId="81">
    <w:name w:val="Char Char7"/>
    <w:qFormat/>
    <w:uiPriority w:val="0"/>
    <w:rPr>
      <w:rFonts w:ascii="宋体" w:hAnsi="宋体" w:eastAsia="宋体"/>
      <w:kern w:val="2"/>
      <w:sz w:val="28"/>
    </w:rPr>
  </w:style>
  <w:style w:type="character" w:customStyle="1" w:styleId="82">
    <w:name w:val="H2 Char"/>
    <w:qFormat/>
    <w:uiPriority w:val="0"/>
    <w:rPr>
      <w:rFonts w:ascii="Arial" w:hAnsi="Arial" w:eastAsia="宋体"/>
      <w:kern w:val="2"/>
      <w:sz w:val="28"/>
      <w:lang w:val="en-US" w:eastAsia="zh-CN"/>
    </w:rPr>
  </w:style>
  <w:style w:type="character" w:customStyle="1" w:styleId="83">
    <w:name w:val="content-white1"/>
    <w:qFormat/>
    <w:uiPriority w:val="0"/>
    <w:rPr>
      <w:color w:val="auto"/>
      <w:sz w:val="18"/>
      <w:u w:val="none"/>
    </w:rPr>
  </w:style>
  <w:style w:type="character" w:customStyle="1" w:styleId="84">
    <w:name w:val="Char Char"/>
    <w:qFormat/>
    <w:uiPriority w:val="0"/>
    <w:rPr>
      <w:rFonts w:ascii="宋体" w:hAnsi="宋体" w:eastAsia="宋体"/>
      <w:kern w:val="2"/>
      <w:sz w:val="24"/>
      <w:lang w:val="en-US" w:eastAsia="zh-CN"/>
    </w:rPr>
  </w:style>
  <w:style w:type="character" w:customStyle="1" w:styleId="85">
    <w:name w:val="top-det1"/>
    <w:qFormat/>
    <w:uiPriority w:val="0"/>
    <w:rPr>
      <w:b/>
      <w:color w:val="000000"/>
    </w:rPr>
  </w:style>
  <w:style w:type="character" w:customStyle="1" w:styleId="86">
    <w:name w:val="样式 宋体"/>
    <w:qFormat/>
    <w:uiPriority w:val="0"/>
    <w:rPr>
      <w:rFonts w:ascii="宋体" w:hAnsi="宋体" w:eastAsia="宋体"/>
      <w:sz w:val="28"/>
    </w:rPr>
  </w:style>
  <w:style w:type="character" w:customStyle="1" w:styleId="87">
    <w:name w:val="Table Text Char1 Char"/>
    <w:qFormat/>
    <w:uiPriority w:val="0"/>
    <w:rPr>
      <w:rFonts w:ascii="Arial" w:hAnsi="Arial"/>
      <w:kern w:val="2"/>
      <w:sz w:val="18"/>
      <w:lang w:val="en-US" w:eastAsia="zh-CN"/>
    </w:rPr>
  </w:style>
  <w:style w:type="character" w:customStyle="1" w:styleId="88">
    <w:name w:val="Char Char6"/>
    <w:qFormat/>
    <w:uiPriority w:val="0"/>
    <w:rPr>
      <w:rFonts w:ascii="仿宋_GB2312" w:eastAsia="仿宋_GB2312"/>
      <w:kern w:val="2"/>
      <w:sz w:val="32"/>
    </w:rPr>
  </w:style>
  <w:style w:type="character" w:customStyle="1" w:styleId="89">
    <w:name w:val="crowed11"/>
    <w:qFormat/>
    <w:uiPriority w:val="0"/>
    <w:rPr>
      <w:sz w:val="24"/>
    </w:rPr>
  </w:style>
  <w:style w:type="character" w:customStyle="1" w:styleId="90">
    <w:name w:val="Table Text Char Char Char Char"/>
    <w:link w:val="91"/>
    <w:qFormat/>
    <w:locked/>
    <w:uiPriority w:val="0"/>
    <w:rPr>
      <w:rFonts w:ascii="Arial" w:hAnsi="Arial"/>
      <w:kern w:val="2"/>
      <w:sz w:val="18"/>
      <w:lang w:val="en-US" w:eastAsia="zh-CN"/>
    </w:rPr>
  </w:style>
  <w:style w:type="paragraph" w:customStyle="1" w:styleId="91">
    <w:name w:val="Table Text Char Char Char"/>
    <w:link w:val="90"/>
    <w:qFormat/>
    <w:uiPriority w:val="0"/>
    <w:pPr>
      <w:snapToGrid w:val="0"/>
      <w:spacing w:before="80" w:after="80"/>
    </w:pPr>
    <w:rPr>
      <w:rFonts w:ascii="Arial" w:hAnsi="Arial" w:eastAsia="宋体" w:cs="Times New Roman"/>
      <w:kern w:val="2"/>
      <w:sz w:val="18"/>
      <w:lang w:val="en-US" w:eastAsia="zh-CN" w:bidi="ar-SA"/>
    </w:rPr>
  </w:style>
  <w:style w:type="character" w:customStyle="1" w:styleId="92">
    <w:name w:val="v151"/>
    <w:qFormat/>
    <w:uiPriority w:val="0"/>
    <w:rPr>
      <w:sz w:val="18"/>
    </w:rPr>
  </w:style>
  <w:style w:type="character" w:customStyle="1" w:styleId="93">
    <w:name w:val="正文 + 三号 Char"/>
    <w:qFormat/>
    <w:uiPriority w:val="0"/>
    <w:rPr>
      <w:rFonts w:eastAsia="宋体"/>
      <w:kern w:val="2"/>
      <w:sz w:val="21"/>
      <w:lang w:val="en-US" w:eastAsia="zh-CN"/>
    </w:rPr>
  </w:style>
  <w:style w:type="character" w:customStyle="1" w:styleId="94">
    <w:name w:val="font1"/>
    <w:qFormat/>
    <w:uiPriority w:val="0"/>
    <w:rPr>
      <w:color w:val="000000"/>
      <w:sz w:val="18"/>
    </w:rPr>
  </w:style>
  <w:style w:type="character" w:customStyle="1" w:styleId="95">
    <w:name w:val="未命名11"/>
    <w:qFormat/>
    <w:uiPriority w:val="0"/>
    <w:rPr>
      <w:color w:val="77FFFF"/>
      <w:sz w:val="24"/>
    </w:rPr>
  </w:style>
  <w:style w:type="character" w:customStyle="1" w:styleId="96">
    <w:name w:val="小 Char"/>
    <w:qFormat/>
    <w:uiPriority w:val="0"/>
    <w:rPr>
      <w:rFonts w:ascii="宋体" w:hAnsi="Courier New" w:eastAsia="宋体"/>
      <w:kern w:val="2"/>
      <w:sz w:val="21"/>
      <w:lang w:val="en-US" w:eastAsia="zh-CN"/>
    </w:rPr>
  </w:style>
  <w:style w:type="character" w:customStyle="1" w:styleId="97">
    <w:name w:val="Table Heading Char Char"/>
    <w:qFormat/>
    <w:uiPriority w:val="0"/>
    <w:rPr>
      <w:rFonts w:ascii="Arial" w:hAnsi="Arial" w:eastAsia="黑体"/>
      <w:kern w:val="2"/>
      <w:sz w:val="18"/>
      <w:lang w:val="en-US" w:eastAsia="zh-CN"/>
    </w:rPr>
  </w:style>
  <w:style w:type="character" w:customStyle="1" w:styleId="98">
    <w:name w:val="标书正文:  0.74 厘米 Char1"/>
    <w:qFormat/>
    <w:uiPriority w:val="0"/>
    <w:rPr>
      <w:rFonts w:eastAsia="宋体"/>
      <w:kern w:val="2"/>
      <w:sz w:val="24"/>
      <w:lang w:val="en-US" w:eastAsia="zh-CN"/>
    </w:rPr>
  </w:style>
  <w:style w:type="character" w:customStyle="1" w:styleId="99">
    <w:name w:val="Char Char4"/>
    <w:qFormat/>
    <w:uiPriority w:val="0"/>
    <w:rPr>
      <w:rFonts w:eastAsia="宋体"/>
      <w:b/>
      <w:kern w:val="2"/>
      <w:sz w:val="21"/>
      <w:lang w:val="en-US" w:eastAsia="zh-CN"/>
    </w:rPr>
  </w:style>
  <w:style w:type="character" w:customStyle="1" w:styleId="100">
    <w:name w:val="Char Char5"/>
    <w:qFormat/>
    <w:uiPriority w:val="0"/>
    <w:rPr>
      <w:rFonts w:ascii="Arial" w:hAnsi="Arial" w:eastAsia="宋体"/>
      <w:b/>
      <w:smallCaps/>
      <w:kern w:val="28"/>
      <w:sz w:val="36"/>
      <w:lang w:val="en-US" w:eastAsia="en-US"/>
    </w:rPr>
  </w:style>
  <w:style w:type="character" w:customStyle="1" w:styleId="101">
    <w:name w:val="文字 Char"/>
    <w:link w:val="102"/>
    <w:qFormat/>
    <w:locked/>
    <w:uiPriority w:val="0"/>
    <w:rPr>
      <w:rFonts w:ascii="宋体"/>
      <w:kern w:val="2"/>
      <w:sz w:val="28"/>
    </w:rPr>
  </w:style>
  <w:style w:type="paragraph" w:customStyle="1" w:styleId="102">
    <w:name w:val="文字"/>
    <w:basedOn w:val="1"/>
    <w:link w:val="101"/>
    <w:qFormat/>
    <w:uiPriority w:val="0"/>
    <w:pPr>
      <w:tabs>
        <w:tab w:val="left" w:pos="8520"/>
      </w:tabs>
      <w:spacing w:line="312" w:lineRule="auto"/>
      <w:ind w:right="-210" w:firstLine="556"/>
    </w:pPr>
    <w:rPr>
      <w:rFonts w:ascii="宋体"/>
    </w:rPr>
  </w:style>
  <w:style w:type="character" w:customStyle="1" w:styleId="103">
    <w:name w:val="Table Text Char"/>
    <w:link w:val="104"/>
    <w:qFormat/>
    <w:locked/>
    <w:uiPriority w:val="0"/>
    <w:rPr>
      <w:rFonts w:ascii="Arial" w:hAnsi="Arial"/>
      <w:kern w:val="2"/>
      <w:sz w:val="18"/>
      <w:lang w:val="en-US" w:eastAsia="zh-CN"/>
    </w:rPr>
  </w:style>
  <w:style w:type="paragraph" w:customStyle="1" w:styleId="104">
    <w:name w:val="Table Text"/>
    <w:link w:val="103"/>
    <w:qFormat/>
    <w:uiPriority w:val="0"/>
    <w:pPr>
      <w:snapToGrid w:val="0"/>
      <w:spacing w:before="80" w:after="80"/>
    </w:pPr>
    <w:rPr>
      <w:rFonts w:ascii="Arial" w:hAnsi="Arial" w:eastAsia="宋体" w:cs="Times New Roman"/>
      <w:kern w:val="2"/>
      <w:sz w:val="18"/>
      <w:lang w:val="en-US" w:eastAsia="zh-CN" w:bidi="ar-SA"/>
    </w:rPr>
  </w:style>
  <w:style w:type="paragraph" w:customStyle="1" w:styleId="10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06">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07">
    <w:name w:val="编号正文"/>
    <w:basedOn w:val="108"/>
    <w:qFormat/>
    <w:uiPriority w:val="0"/>
    <w:pPr>
      <w:snapToGrid/>
      <w:spacing w:line="360" w:lineRule="auto"/>
      <w:ind w:left="1407" w:hanging="1047"/>
      <w:jc w:val="left"/>
    </w:pPr>
    <w:rPr>
      <w:rFonts w:eastAsia="仿宋_GB2312"/>
    </w:rPr>
  </w:style>
  <w:style w:type="paragraph" w:customStyle="1" w:styleId="10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9">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10">
    <w:name w:val="样式 首行缩进:  0.74 厘米"/>
    <w:basedOn w:val="1"/>
    <w:qFormat/>
    <w:uiPriority w:val="0"/>
    <w:pPr>
      <w:spacing w:line="360" w:lineRule="auto"/>
      <w:ind w:firstLine="420"/>
    </w:pPr>
    <w:rPr>
      <w:sz w:val="24"/>
    </w:rPr>
  </w:style>
  <w:style w:type="paragraph" w:customStyle="1" w:styleId="111">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1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3">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14">
    <w:name w:val="Char Char Char"/>
    <w:basedOn w:val="1"/>
    <w:qFormat/>
    <w:uiPriority w:val="0"/>
    <w:rPr>
      <w:rFonts w:ascii="Tahoma" w:hAnsi="Tahoma"/>
      <w:sz w:val="24"/>
    </w:rPr>
  </w:style>
  <w:style w:type="paragraph" w:customStyle="1" w:styleId="115">
    <w:name w:val="正文文本缩进 21"/>
    <w:basedOn w:val="1"/>
    <w:qFormat/>
    <w:uiPriority w:val="0"/>
    <w:pPr>
      <w:adjustRightInd w:val="0"/>
      <w:spacing w:before="120"/>
      <w:ind w:firstLine="420"/>
      <w:textAlignment w:val="baseline"/>
    </w:pPr>
    <w:rPr>
      <w:sz w:val="24"/>
    </w:rPr>
  </w:style>
  <w:style w:type="paragraph" w:customStyle="1" w:styleId="116">
    <w:name w:val="标准正文"/>
    <w:basedOn w:val="23"/>
    <w:qFormat/>
    <w:uiPriority w:val="0"/>
    <w:pPr>
      <w:spacing w:before="60" w:after="60" w:line="360" w:lineRule="auto"/>
      <w:ind w:left="0" w:firstLine="482"/>
    </w:pPr>
    <w:rPr>
      <w:rFonts w:ascii="Arial" w:hAnsi="Arial"/>
      <w:sz w:val="24"/>
    </w:rPr>
  </w:style>
  <w:style w:type="paragraph" w:customStyle="1" w:styleId="117">
    <w:name w:val="Title - Revision"/>
    <w:basedOn w:val="53"/>
    <w:qFormat/>
    <w:uiPriority w:val="0"/>
    <w:pPr>
      <w:spacing w:before="720"/>
    </w:pPr>
  </w:style>
  <w:style w:type="paragraph" w:customStyle="1" w:styleId="118">
    <w:name w:val="样式 宋体 五号 行距: 单倍行距"/>
    <w:basedOn w:val="1"/>
    <w:qFormat/>
    <w:uiPriority w:val="0"/>
    <w:pPr>
      <w:adjustRightInd w:val="0"/>
      <w:jc w:val="left"/>
    </w:pPr>
    <w:rPr>
      <w:rFonts w:ascii="宋体" w:hAnsi="宋体"/>
      <w:kern w:val="0"/>
      <w:sz w:val="21"/>
    </w:rPr>
  </w:style>
  <w:style w:type="paragraph" w:customStyle="1" w:styleId="119">
    <w:name w:val="首行缩进 1"/>
    <w:basedOn w:val="1"/>
    <w:qFormat/>
    <w:uiPriority w:val="0"/>
    <w:pPr>
      <w:spacing w:after="120" w:line="360" w:lineRule="auto"/>
      <w:ind w:firstLine="200" w:firstLineChars="200"/>
    </w:pPr>
    <w:rPr>
      <w:sz w:val="24"/>
    </w:rPr>
  </w:style>
  <w:style w:type="paragraph" w:customStyle="1" w:styleId="120">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1">
    <w:name w:val="Char"/>
    <w:basedOn w:val="1"/>
    <w:qFormat/>
    <w:uiPriority w:val="0"/>
    <w:pPr>
      <w:spacing w:line="240" w:lineRule="atLeast"/>
      <w:ind w:left="420" w:firstLine="420"/>
    </w:pPr>
    <w:rPr>
      <w:kern w:val="0"/>
      <w:sz w:val="21"/>
    </w:rPr>
  </w:style>
  <w:style w:type="paragraph" w:customStyle="1" w:styleId="12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4">
    <w:name w:val="正文4"/>
    <w:basedOn w:val="1"/>
    <w:qFormat/>
    <w:uiPriority w:val="0"/>
    <w:pPr>
      <w:tabs>
        <w:tab w:val="left" w:pos="1275"/>
      </w:tabs>
      <w:spacing w:before="60" w:after="60" w:line="360" w:lineRule="auto"/>
      <w:ind w:left="820" w:leftChars="400" w:hanging="705"/>
    </w:pPr>
    <w:rPr>
      <w:sz w:val="24"/>
    </w:rPr>
  </w:style>
  <w:style w:type="paragraph" w:customStyle="1" w:styleId="12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2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27">
    <w:name w:val="摘要"/>
    <w:basedOn w:val="1"/>
    <w:next w:val="3"/>
    <w:qFormat/>
    <w:uiPriority w:val="0"/>
    <w:pPr>
      <w:spacing w:line="360" w:lineRule="auto"/>
    </w:pPr>
    <w:rPr>
      <w:rFonts w:eastAsia="黑体"/>
      <w:sz w:val="20"/>
    </w:rPr>
  </w:style>
  <w:style w:type="paragraph" w:customStyle="1" w:styleId="12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29">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13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31">
    <w:name w:val="表头样式"/>
    <w:basedOn w:val="1"/>
    <w:qFormat/>
    <w:uiPriority w:val="0"/>
    <w:pPr>
      <w:autoSpaceDE w:val="0"/>
      <w:autoSpaceDN w:val="0"/>
      <w:adjustRightInd w:val="0"/>
      <w:spacing w:line="360" w:lineRule="auto"/>
      <w:jc w:val="left"/>
    </w:pPr>
    <w:rPr>
      <w:b/>
      <w:kern w:val="0"/>
      <w:sz w:val="21"/>
    </w:rPr>
  </w:style>
  <w:style w:type="paragraph" w:customStyle="1" w:styleId="132">
    <w:name w:val="一级条标题"/>
    <w:basedOn w:val="133"/>
    <w:next w:val="112"/>
    <w:qFormat/>
    <w:uiPriority w:val="0"/>
    <w:pPr>
      <w:spacing w:beforeLines="0" w:afterLines="0"/>
      <w:ind w:left="525"/>
      <w:outlineLvl w:val="2"/>
    </w:pPr>
    <w:rPr>
      <w:sz w:val="21"/>
    </w:rPr>
  </w:style>
  <w:style w:type="paragraph" w:customStyle="1" w:styleId="133">
    <w:name w:val="章标题"/>
    <w:next w:val="1"/>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34">
    <w:name w:val="默认段落字体 Para Char Char Char Char Char Char Char"/>
    <w:basedOn w:val="1"/>
    <w:qFormat/>
    <w:uiPriority w:val="0"/>
    <w:rPr>
      <w:rFonts w:ascii="Tahoma" w:hAnsi="Tahoma"/>
      <w:sz w:val="24"/>
    </w:rPr>
  </w:style>
  <w:style w:type="paragraph" w:customStyle="1" w:styleId="135">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6">
    <w:name w:val="Note"/>
    <w:basedOn w:val="1"/>
    <w:qFormat/>
    <w:uiPriority w:val="0"/>
    <w:pPr>
      <w:pBdr>
        <w:top w:val="single" w:color="auto" w:sz="12" w:space="3"/>
        <w:bottom w:val="single" w:color="auto" w:sz="12" w:space="3"/>
      </w:pBdr>
      <w:spacing w:line="360" w:lineRule="auto"/>
    </w:pPr>
    <w:rPr>
      <w:sz w:val="24"/>
    </w:rPr>
  </w:style>
  <w:style w:type="paragraph" w:customStyle="1" w:styleId="137">
    <w:name w:val="表格内文字"/>
    <w:basedOn w:val="30"/>
    <w:qFormat/>
    <w:uiPriority w:val="0"/>
    <w:pPr>
      <w:adjustRightInd w:val="0"/>
    </w:pPr>
    <w:rPr>
      <w:color w:val="000000"/>
      <w:lang w:val="en-GB"/>
    </w:rPr>
  </w:style>
  <w:style w:type="paragraph" w:customStyle="1" w:styleId="138">
    <w:name w:val="简单回函地址"/>
    <w:basedOn w:val="1"/>
    <w:qFormat/>
    <w:uiPriority w:val="0"/>
    <w:pPr>
      <w:adjustRightInd w:val="0"/>
      <w:snapToGrid w:val="0"/>
      <w:spacing w:line="360" w:lineRule="auto"/>
    </w:pPr>
    <w:rPr>
      <w:sz w:val="24"/>
    </w:rPr>
  </w:style>
  <w:style w:type="paragraph" w:customStyle="1" w:styleId="139">
    <w:name w:val="段落正文"/>
    <w:basedOn w:val="1"/>
    <w:qFormat/>
    <w:uiPriority w:val="0"/>
    <w:pPr>
      <w:spacing w:beforeLines="50" w:line="360" w:lineRule="auto"/>
      <w:ind w:firstLine="200" w:firstLineChars="200"/>
    </w:pPr>
    <w:rPr>
      <w:spacing w:val="2"/>
      <w:sz w:val="24"/>
    </w:rPr>
  </w:style>
  <w:style w:type="paragraph" w:customStyle="1" w:styleId="140">
    <w:name w:val="1.正文"/>
    <w:basedOn w:val="1"/>
    <w:qFormat/>
    <w:uiPriority w:val="0"/>
    <w:pPr>
      <w:spacing w:line="360" w:lineRule="auto"/>
      <w:ind w:left="540" w:leftChars="225" w:firstLine="540" w:firstLineChars="225"/>
    </w:pPr>
    <w:rPr>
      <w:sz w:val="24"/>
    </w:rPr>
  </w:style>
  <w:style w:type="paragraph" w:customStyle="1" w:styleId="141">
    <w:name w:val="Char1"/>
    <w:basedOn w:val="1"/>
    <w:qFormat/>
    <w:uiPriority w:val="0"/>
    <w:rPr>
      <w:sz w:val="21"/>
    </w:rPr>
  </w:style>
  <w:style w:type="paragraph" w:customStyle="1" w:styleId="142">
    <w:name w:val="正文字缩2字"/>
    <w:basedOn w:val="1"/>
    <w:qFormat/>
    <w:uiPriority w:val="0"/>
    <w:pPr>
      <w:spacing w:before="60" w:after="60" w:line="360" w:lineRule="auto"/>
      <w:ind w:left="200" w:leftChars="200" w:firstLine="200" w:firstLineChars="200"/>
    </w:pPr>
    <w:rPr>
      <w:sz w:val="24"/>
    </w:rPr>
  </w:style>
  <w:style w:type="paragraph" w:customStyle="1" w:styleId="143">
    <w:name w:val="标题无"/>
    <w:basedOn w:val="1"/>
    <w:qFormat/>
    <w:uiPriority w:val="0"/>
    <w:pPr>
      <w:spacing w:line="360" w:lineRule="auto"/>
    </w:pPr>
    <w:rPr>
      <w:sz w:val="24"/>
    </w:rPr>
  </w:style>
  <w:style w:type="paragraph" w:customStyle="1" w:styleId="144">
    <w:name w:val="Char Char 字元 字元 字元 Char Char Char Char"/>
    <w:basedOn w:val="1"/>
    <w:qFormat/>
    <w:uiPriority w:val="0"/>
    <w:pPr>
      <w:adjustRightInd w:val="0"/>
      <w:spacing w:line="360" w:lineRule="auto"/>
    </w:pPr>
    <w:rPr>
      <w:kern w:val="0"/>
      <w:sz w:val="24"/>
    </w:rPr>
  </w:style>
  <w:style w:type="paragraph" w:customStyle="1" w:styleId="145">
    <w:name w:val="Char Char14 Char Char"/>
    <w:basedOn w:val="1"/>
    <w:qFormat/>
    <w:uiPriority w:val="0"/>
    <w:rPr>
      <w:sz w:val="21"/>
      <w:szCs w:val="24"/>
    </w:rPr>
  </w:style>
  <w:style w:type="paragraph" w:customStyle="1" w:styleId="146">
    <w:name w:val="Char Char Char Char Char Char Char"/>
    <w:basedOn w:val="1"/>
    <w:qFormat/>
    <w:uiPriority w:val="0"/>
    <w:rPr>
      <w:rFonts w:ascii="Tahoma" w:hAnsi="Tahoma"/>
      <w:sz w:val="24"/>
    </w:rPr>
  </w:style>
  <w:style w:type="paragraph" w:customStyle="1" w:styleId="147">
    <w:name w:val="修订1"/>
    <w:qFormat/>
    <w:uiPriority w:val="0"/>
    <w:rPr>
      <w:rFonts w:ascii="Times New Roman" w:hAnsi="Times New Roman" w:eastAsia="宋体" w:cs="Times New Roman"/>
      <w:kern w:val="2"/>
      <w:sz w:val="21"/>
      <w:lang w:val="en-US" w:eastAsia="zh-CN" w:bidi="ar-SA"/>
    </w:rPr>
  </w:style>
  <w:style w:type="paragraph" w:customStyle="1" w:styleId="14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49">
    <w:name w:val="È¡ÀÊ¡ÎÄ¡À¾"/>
    <w:basedOn w:val="1"/>
    <w:qFormat/>
    <w:uiPriority w:val="0"/>
    <w:pPr>
      <w:widowControl/>
      <w:overflowPunct w:val="0"/>
      <w:autoSpaceDE w:val="0"/>
      <w:autoSpaceDN w:val="0"/>
      <w:adjustRightInd w:val="0"/>
      <w:jc w:val="left"/>
      <w:textAlignment w:val="baseline"/>
    </w:pPr>
    <w:rPr>
      <w:kern w:val="0"/>
      <w:sz w:val="24"/>
    </w:rPr>
  </w:style>
  <w:style w:type="paragraph" w:customStyle="1" w:styleId="150">
    <w:name w:val="样式 正文缩进正文（首行缩进两字）表正文正文非缩进特点标题4段1 + 首行缩进:  2 字符"/>
    <w:basedOn w:val="15"/>
    <w:qFormat/>
    <w:uiPriority w:val="0"/>
    <w:pPr>
      <w:ind w:firstLine="480" w:firstLineChars="200"/>
    </w:pPr>
  </w:style>
  <w:style w:type="paragraph" w:customStyle="1" w:styleId="151">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52">
    <w:name w:val="二级列表"/>
    <w:basedOn w:val="139"/>
    <w:next w:val="139"/>
    <w:qFormat/>
    <w:uiPriority w:val="0"/>
    <w:pPr>
      <w:tabs>
        <w:tab w:val="left" w:pos="2120"/>
      </w:tabs>
      <w:ind w:firstLine="0" w:firstLineChars="0"/>
    </w:pPr>
    <w:rPr>
      <w:b/>
    </w:rPr>
  </w:style>
  <w:style w:type="paragraph" w:customStyle="1" w:styleId="153">
    <w:name w:val="样式 行距: 1.5 倍行距1"/>
    <w:basedOn w:val="1"/>
    <w:qFormat/>
    <w:uiPriority w:val="0"/>
    <w:pPr>
      <w:snapToGrid w:val="0"/>
    </w:pPr>
    <w:rPr>
      <w:sz w:val="21"/>
    </w:rPr>
  </w:style>
  <w:style w:type="paragraph" w:customStyle="1" w:styleId="154">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55">
    <w:name w:val="表文字"/>
    <w:qFormat/>
    <w:uiPriority w:val="0"/>
    <w:rPr>
      <w:rFonts w:ascii="宋体" w:hAnsi="Times New Roman" w:eastAsia="宋体" w:cs="Times New Roman"/>
      <w:kern w:val="2"/>
      <w:lang w:val="en-US" w:eastAsia="zh-CN" w:bidi="ar-SA"/>
    </w:rPr>
  </w:style>
  <w:style w:type="paragraph" w:customStyle="1" w:styleId="156">
    <w:name w:val="文章正文"/>
    <w:basedOn w:val="1"/>
    <w:qFormat/>
    <w:uiPriority w:val="0"/>
    <w:pPr>
      <w:ind w:firstLine="560" w:firstLineChars="200"/>
    </w:pPr>
    <w:rPr>
      <w:rFonts w:ascii="仿宋_GB2312" w:hAnsi="宋体" w:eastAsia="仿宋_GB2312"/>
      <w:color w:val="000000"/>
    </w:rPr>
  </w:style>
  <w:style w:type="paragraph" w:customStyle="1" w:styleId="157">
    <w:name w:val="列表项目"/>
    <w:basedOn w:val="1"/>
    <w:qFormat/>
    <w:uiPriority w:val="0"/>
    <w:pPr>
      <w:tabs>
        <w:tab w:val="left" w:pos="420"/>
      </w:tabs>
      <w:spacing w:line="288" w:lineRule="auto"/>
      <w:ind w:left="840" w:leftChars="200" w:hanging="420" w:hangingChars="200"/>
    </w:pPr>
    <w:rPr>
      <w:sz w:val="21"/>
    </w:rPr>
  </w:style>
  <w:style w:type="paragraph" w:customStyle="1" w:styleId="158">
    <w:name w:val="Item List"/>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59">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6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1">
    <w:name w:val="正文表格"/>
    <w:basedOn w:val="1"/>
    <w:qFormat/>
    <w:uiPriority w:val="0"/>
    <w:pPr>
      <w:adjustRightInd w:val="0"/>
      <w:spacing w:before="40" w:after="40"/>
    </w:pPr>
    <w:rPr>
      <w:sz w:val="24"/>
    </w:rPr>
  </w:style>
  <w:style w:type="paragraph" w:customStyle="1" w:styleId="162">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63">
    <w:name w:val="内容标题"/>
    <w:basedOn w:val="17"/>
    <w:qFormat/>
    <w:uiPriority w:val="0"/>
    <w:rPr>
      <w:rFonts w:ascii="Tahoma" w:hAnsi="Tahoma"/>
      <w:sz w:val="24"/>
    </w:rPr>
  </w:style>
  <w:style w:type="paragraph" w:customStyle="1" w:styleId="164">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65">
    <w:name w:val="Style Heading 3h3Heading 3 - oldLevel 3 HeadH3level_3PIM 3se..."/>
    <w:basedOn w:val="4"/>
    <w:qFormat/>
    <w:uiPriority w:val="0"/>
    <w:pPr>
      <w:tabs>
        <w:tab w:val="left" w:pos="709"/>
        <w:tab w:val="left" w:pos="1620"/>
      </w:tabs>
      <w:ind w:left="1620" w:hanging="360"/>
    </w:pPr>
  </w:style>
  <w:style w:type="paragraph" w:customStyle="1" w:styleId="166">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7">
    <w:name w:val="可研正文"/>
    <w:basedOn w:val="22"/>
    <w:qFormat/>
    <w:uiPriority w:val="0"/>
    <w:pPr>
      <w:adjustRightInd w:val="0"/>
      <w:snapToGrid w:val="0"/>
      <w:spacing w:line="440" w:lineRule="exact"/>
      <w:ind w:firstLine="567"/>
    </w:pPr>
    <w:rPr>
      <w:sz w:val="28"/>
    </w:rPr>
  </w:style>
  <w:style w:type="paragraph" w:customStyle="1" w:styleId="168">
    <w:name w:val="样式2"/>
    <w:basedOn w:val="5"/>
    <w:qFormat/>
    <w:uiPriority w:val="0"/>
    <w:pPr>
      <w:tabs>
        <w:tab w:val="left" w:pos="720"/>
      </w:tabs>
      <w:spacing w:before="560" w:line="400" w:lineRule="exact"/>
      <w:ind w:left="420" w:hanging="420"/>
      <w:jc w:val="center"/>
      <w:outlineLvl w:val="0"/>
    </w:pPr>
    <w:rPr>
      <w:b w:val="0"/>
      <w:sz w:val="44"/>
    </w:rPr>
  </w:style>
  <w:style w:type="paragraph" w:customStyle="1" w:styleId="169">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70">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1">
    <w:name w:val="图例"/>
    <w:basedOn w:val="1"/>
    <w:qFormat/>
    <w:uiPriority w:val="0"/>
    <w:pPr>
      <w:spacing w:before="120" w:after="120" w:line="360" w:lineRule="auto"/>
      <w:jc w:val="center"/>
    </w:pPr>
    <w:rPr>
      <w:rFonts w:eastAsia="仿宋_GB2312"/>
      <w:b/>
      <w:sz w:val="24"/>
    </w:rPr>
  </w:style>
  <w:style w:type="paragraph" w:customStyle="1" w:styleId="172">
    <w:name w:val="1"/>
    <w:basedOn w:val="1"/>
    <w:next w:val="30"/>
    <w:qFormat/>
    <w:uiPriority w:val="0"/>
    <w:rPr>
      <w:rFonts w:ascii="宋体" w:hAnsi="Courier New"/>
      <w:sz w:val="21"/>
    </w:rPr>
  </w:style>
  <w:style w:type="paragraph" w:customStyle="1" w:styleId="173">
    <w:name w:val="附录3"/>
    <w:basedOn w:val="1"/>
    <w:next w:val="1"/>
    <w:qFormat/>
    <w:uiPriority w:val="0"/>
    <w:pPr>
      <w:tabs>
        <w:tab w:val="left" w:pos="851"/>
      </w:tabs>
      <w:ind w:left="425" w:hanging="425"/>
      <w:outlineLvl w:val="2"/>
    </w:pPr>
    <w:rPr>
      <w:rFonts w:eastAsia="黑体"/>
      <w:b/>
      <w:sz w:val="32"/>
    </w:rPr>
  </w:style>
  <w:style w:type="paragraph" w:customStyle="1" w:styleId="174">
    <w:name w:val="表头"/>
    <w:basedOn w:val="175"/>
    <w:qFormat/>
    <w:uiPriority w:val="0"/>
    <w:pPr>
      <w:jc w:val="center"/>
    </w:pPr>
    <w:rPr>
      <w:b/>
      <w:bCs/>
    </w:rPr>
  </w:style>
  <w:style w:type="paragraph" w:customStyle="1" w:styleId="175">
    <w:name w:val="表格正文"/>
    <w:basedOn w:val="1"/>
    <w:qFormat/>
    <w:uiPriority w:val="0"/>
    <w:rPr>
      <w:rFonts w:ascii="Calibri" w:hAnsi="Calibri" w:eastAsia="仿宋" w:cs="宋体"/>
      <w:sz w:val="24"/>
    </w:rPr>
  </w:style>
  <w:style w:type="paragraph" w:customStyle="1" w:styleId="176">
    <w:name w:val="Item Step in Table"/>
    <w:qFormat/>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177">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8">
    <w:name w:val="正文（首行不缩进）"/>
    <w:basedOn w:val="1"/>
    <w:qFormat/>
    <w:uiPriority w:val="0"/>
    <w:pPr>
      <w:autoSpaceDE w:val="0"/>
      <w:autoSpaceDN w:val="0"/>
      <w:adjustRightInd w:val="0"/>
      <w:spacing w:line="360" w:lineRule="auto"/>
      <w:jc w:val="left"/>
    </w:pPr>
    <w:rPr>
      <w:kern w:val="0"/>
      <w:sz w:val="21"/>
    </w:rPr>
  </w:style>
  <w:style w:type="paragraph" w:customStyle="1" w:styleId="179">
    <w:name w:val="首行缩进"/>
    <w:basedOn w:val="1"/>
    <w:qFormat/>
    <w:uiPriority w:val="0"/>
    <w:pPr>
      <w:tabs>
        <w:tab w:val="left" w:pos="540"/>
      </w:tabs>
      <w:spacing w:line="360" w:lineRule="auto"/>
      <w:ind w:left="540"/>
    </w:pPr>
    <w:rPr>
      <w:rFonts w:eastAsia="仿宋_GB2312"/>
    </w:rPr>
  </w:style>
  <w:style w:type="paragraph" w:customStyle="1" w:styleId="180">
    <w:name w:val="文本1"/>
    <w:basedOn w:val="1"/>
    <w:qFormat/>
    <w:uiPriority w:val="0"/>
    <w:pPr>
      <w:adjustRightInd w:val="0"/>
      <w:spacing w:line="312" w:lineRule="atLeast"/>
      <w:jc w:val="center"/>
      <w:textAlignment w:val="baseline"/>
    </w:pPr>
    <w:rPr>
      <w:kern w:val="0"/>
      <w:sz w:val="18"/>
    </w:rPr>
  </w:style>
  <w:style w:type="paragraph" w:customStyle="1" w:styleId="181">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2">
    <w:name w:val="Char1 Char Char Char"/>
    <w:basedOn w:val="1"/>
    <w:qFormat/>
    <w:uiPriority w:val="0"/>
    <w:rPr>
      <w:rFonts w:ascii="Tahoma" w:hAnsi="Tahoma"/>
      <w:sz w:val="24"/>
    </w:rPr>
  </w:style>
  <w:style w:type="paragraph" w:customStyle="1" w:styleId="183">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84">
    <w:name w:val="关键词"/>
    <w:basedOn w:val="1"/>
    <w:next w:val="1"/>
    <w:qFormat/>
    <w:uiPriority w:val="0"/>
    <w:pPr>
      <w:spacing w:line="360" w:lineRule="auto"/>
    </w:pPr>
    <w:rPr>
      <w:rFonts w:eastAsia="黑体"/>
      <w:sz w:val="20"/>
    </w:rPr>
  </w:style>
  <w:style w:type="paragraph" w:customStyle="1" w:styleId="185">
    <w:name w:val="IN Feature"/>
    <w:next w:val="120"/>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86">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8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88">
    <w:name w:val="Char Char Char Char Char Char Char1"/>
    <w:basedOn w:val="17"/>
    <w:qFormat/>
    <w:uiPriority w:val="0"/>
    <w:rPr>
      <w:rFonts w:ascii="宋体" w:hAnsi="Tahoma"/>
    </w:rPr>
  </w:style>
  <w:style w:type="paragraph" w:customStyle="1" w:styleId="189">
    <w:name w:val="正文文本 21"/>
    <w:basedOn w:val="1"/>
    <w:qFormat/>
    <w:uiPriority w:val="0"/>
    <w:pPr>
      <w:adjustRightInd w:val="0"/>
      <w:spacing w:before="120" w:line="360" w:lineRule="auto"/>
      <w:ind w:firstLine="480"/>
      <w:textAlignment w:val="baseline"/>
    </w:pPr>
    <w:rPr>
      <w:sz w:val="24"/>
    </w:rPr>
  </w:style>
  <w:style w:type="paragraph" w:customStyle="1" w:styleId="19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1">
    <w:name w:val="Title - Date"/>
    <w:basedOn w:val="53"/>
    <w:next w:val="1"/>
    <w:qFormat/>
    <w:uiPriority w:val="0"/>
    <w:pPr>
      <w:spacing w:before="240" w:after="720"/>
    </w:pPr>
    <w:rPr>
      <w:sz w:val="28"/>
    </w:rPr>
  </w:style>
  <w:style w:type="paragraph" w:customStyle="1" w:styleId="192">
    <w:name w:val="表格文本"/>
    <w:qFormat/>
    <w:uiPriority w:val="0"/>
    <w:pPr>
      <w:tabs>
        <w:tab w:val="decimal" w:pos="0"/>
      </w:tabs>
    </w:pPr>
    <w:rPr>
      <w:rFonts w:ascii="Arial" w:hAnsi="Arial" w:eastAsia="宋体" w:cs="Times New Roman"/>
      <w:sz w:val="21"/>
      <w:lang w:val="en-US" w:eastAsia="zh-CN" w:bidi="ar-SA"/>
    </w:rPr>
  </w:style>
  <w:style w:type="paragraph" w:customStyle="1" w:styleId="193">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4">
    <w:name w:val="Char Char Char Char Char Char Char Char Char Char Char Char Char Char Char Char"/>
    <w:basedOn w:val="1"/>
    <w:qFormat/>
    <w:uiPriority w:val="0"/>
    <w:pPr>
      <w:tabs>
        <w:tab w:val="left" w:pos="360"/>
      </w:tabs>
    </w:pPr>
    <w:rPr>
      <w:sz w:val="24"/>
    </w:rPr>
  </w:style>
  <w:style w:type="paragraph" w:customStyle="1" w:styleId="195">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96">
    <w:name w:val="默认段落字体 Para Char Char Char Char Char Char Char Char Char1 Char Char Char Char"/>
    <w:basedOn w:val="1"/>
    <w:qFormat/>
    <w:uiPriority w:val="0"/>
    <w:rPr>
      <w:rFonts w:ascii="Tahoma" w:hAnsi="Tahoma"/>
      <w:sz w:val="24"/>
    </w:rPr>
  </w:style>
  <w:style w:type="paragraph" w:customStyle="1" w:styleId="197">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8">
    <w:name w:val="Char Char Char Char Char"/>
    <w:basedOn w:val="1"/>
    <w:qFormat/>
    <w:uiPriority w:val="0"/>
    <w:pPr>
      <w:tabs>
        <w:tab w:val="left" w:pos="425"/>
      </w:tabs>
      <w:ind w:left="1620" w:hanging="360"/>
    </w:pPr>
    <w:rPr>
      <w:rFonts w:ascii="Tahoma" w:hAnsi="Tahoma"/>
      <w:sz w:val="24"/>
    </w:rPr>
  </w:style>
  <w:style w:type="paragraph" w:customStyle="1" w:styleId="199">
    <w:name w:val="Char1 Char Char Char1"/>
    <w:basedOn w:val="1"/>
    <w:qFormat/>
    <w:uiPriority w:val="0"/>
    <w:rPr>
      <w:rFonts w:ascii="Tahoma" w:hAnsi="Tahoma"/>
      <w:sz w:val="30"/>
    </w:rPr>
  </w:style>
  <w:style w:type="paragraph" w:customStyle="1" w:styleId="200">
    <w:name w:val="正文 + 三号"/>
    <w:basedOn w:val="1"/>
    <w:qFormat/>
    <w:uiPriority w:val="0"/>
    <w:rPr>
      <w:sz w:val="21"/>
    </w:rPr>
  </w:style>
  <w:style w:type="paragraph" w:customStyle="1" w:styleId="201">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02">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03">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04">
    <w:name w:val="Char Char1 Char"/>
    <w:basedOn w:val="1"/>
    <w:qFormat/>
    <w:uiPriority w:val="0"/>
    <w:rPr>
      <w:rFonts w:ascii="Tahoma" w:hAnsi="Tahoma"/>
      <w:sz w:val="24"/>
      <w:szCs w:val="24"/>
    </w:rPr>
  </w:style>
  <w:style w:type="paragraph" w:customStyle="1" w:styleId="205">
    <w:name w:val="样式 样式 首行缩进:  2 字符 + 首行缩进:  2 字符"/>
    <w:basedOn w:val="1"/>
    <w:qFormat/>
    <w:uiPriority w:val="0"/>
    <w:pPr>
      <w:spacing w:line="360" w:lineRule="auto"/>
      <w:ind w:firstLine="480" w:firstLineChars="200"/>
    </w:pPr>
    <w:rPr>
      <w:sz w:val="24"/>
    </w:rPr>
  </w:style>
  <w:style w:type="paragraph" w:customStyle="1" w:styleId="206">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207">
    <w:name w:val="Table Contents"/>
    <w:basedOn w:val="22"/>
    <w:qFormat/>
    <w:uiPriority w:val="0"/>
    <w:pPr>
      <w:suppressAutoHyphens/>
      <w:jc w:val="left"/>
    </w:pPr>
    <w:rPr>
      <w:rFonts w:ascii="Times New Roman" w:eastAsia="宋体"/>
      <w:kern w:val="0"/>
      <w:sz w:val="24"/>
    </w:rPr>
  </w:style>
  <w:style w:type="paragraph" w:customStyle="1" w:styleId="208">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09">
    <w:name w:val="样式1xz"/>
    <w:basedOn w:val="1"/>
    <w:qFormat/>
    <w:uiPriority w:val="0"/>
    <w:pPr>
      <w:tabs>
        <w:tab w:val="left" w:pos="1050"/>
        <w:tab w:val="right" w:leader="dot" w:pos="8296"/>
      </w:tabs>
    </w:pPr>
    <w:rPr>
      <w:caps/>
      <w:spacing w:val="20"/>
      <w:sz w:val="24"/>
    </w:rPr>
  </w:style>
  <w:style w:type="paragraph" w:customStyle="1" w:styleId="210">
    <w:name w:val="样式1"/>
    <w:basedOn w:val="5"/>
    <w:qFormat/>
    <w:uiPriority w:val="0"/>
    <w:pPr>
      <w:tabs>
        <w:tab w:val="left" w:pos="720"/>
      </w:tabs>
      <w:spacing w:before="500" w:after="260" w:line="560" w:lineRule="atLeast"/>
      <w:ind w:left="420" w:hanging="420"/>
    </w:pPr>
  </w:style>
  <w:style w:type="paragraph" w:customStyle="1" w:styleId="21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图片文字"/>
    <w:basedOn w:val="1"/>
    <w:qFormat/>
    <w:uiPriority w:val="0"/>
    <w:pPr>
      <w:spacing w:line="240" w:lineRule="atLeast"/>
      <w:jc w:val="center"/>
    </w:pPr>
    <w:rPr>
      <w:sz w:val="21"/>
    </w:rPr>
  </w:style>
  <w:style w:type="paragraph" w:customStyle="1" w:styleId="213">
    <w:name w:val="af"/>
    <w:basedOn w:val="1"/>
    <w:qFormat/>
    <w:uiPriority w:val="0"/>
    <w:pPr>
      <w:widowControl/>
      <w:spacing w:line="300" w:lineRule="atLeast"/>
      <w:jc w:val="left"/>
    </w:pPr>
    <w:rPr>
      <w:rFonts w:ascii="宋体" w:hAnsi="宋体"/>
      <w:kern w:val="0"/>
      <w:sz w:val="18"/>
    </w:rPr>
  </w:style>
  <w:style w:type="paragraph" w:customStyle="1" w:styleId="214">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5">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216">
    <w:name w:val="表头文本"/>
    <w:qFormat/>
    <w:uiPriority w:val="0"/>
    <w:pPr>
      <w:jc w:val="center"/>
    </w:pPr>
    <w:rPr>
      <w:rFonts w:ascii="Arial" w:hAnsi="Arial" w:eastAsia="宋体" w:cs="Times New Roman"/>
      <w:b/>
      <w:sz w:val="21"/>
      <w:lang w:val="en-US" w:eastAsia="zh-CN" w:bidi="ar-SA"/>
    </w:rPr>
  </w:style>
  <w:style w:type="paragraph" w:customStyle="1" w:styleId="217">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18">
    <w:name w:val="二级条标题"/>
    <w:basedOn w:val="132"/>
    <w:next w:val="112"/>
    <w:qFormat/>
    <w:uiPriority w:val="0"/>
    <w:pPr>
      <w:ind w:left="840"/>
      <w:outlineLvl w:val="3"/>
    </w:pPr>
  </w:style>
  <w:style w:type="paragraph" w:customStyle="1" w:styleId="219">
    <w:name w:val="正文1"/>
    <w:basedOn w:val="1"/>
    <w:qFormat/>
    <w:uiPriority w:val="0"/>
    <w:pPr>
      <w:spacing w:line="300" w:lineRule="auto"/>
      <w:ind w:firstLine="200" w:firstLineChars="200"/>
    </w:pPr>
    <w:rPr>
      <w:sz w:val="24"/>
    </w:rPr>
  </w:style>
  <w:style w:type="paragraph" w:customStyle="1" w:styleId="220">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21">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222">
    <w:name w:val="样式 标题 6第五层条 + 三号 段前: 0.5 行"/>
    <w:basedOn w:val="7"/>
    <w:qFormat/>
    <w:uiPriority w:val="0"/>
    <w:pPr>
      <w:widowControl/>
      <w:adjustRightInd/>
      <w:snapToGrid/>
      <w:spacing w:beforeLines="50"/>
      <w:jc w:val="left"/>
    </w:pPr>
    <w:rPr>
      <w:kern w:val="24"/>
      <w:sz w:val="28"/>
    </w:rPr>
  </w:style>
  <w:style w:type="paragraph" w:customStyle="1" w:styleId="223">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4">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25">
    <w:name w:val="Char2"/>
    <w:basedOn w:val="1"/>
    <w:qFormat/>
    <w:uiPriority w:val="0"/>
    <w:pPr>
      <w:spacing w:line="240" w:lineRule="atLeast"/>
      <w:ind w:left="420" w:firstLine="420"/>
    </w:pPr>
    <w:rPr>
      <w:kern w:val="0"/>
      <w:sz w:val="21"/>
    </w:rPr>
  </w:style>
  <w:style w:type="paragraph" w:customStyle="1" w:styleId="226">
    <w:name w:val="没有缩进（为图形使用）"/>
    <w:basedOn w:val="1"/>
    <w:qFormat/>
    <w:uiPriority w:val="0"/>
    <w:pPr>
      <w:spacing w:before="120" w:after="120" w:line="360" w:lineRule="auto"/>
    </w:pPr>
    <w:rPr>
      <w:sz w:val="24"/>
    </w:rPr>
  </w:style>
  <w:style w:type="paragraph" w:customStyle="1" w:styleId="22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28">
    <w:name w:val="00"/>
    <w:basedOn w:val="1"/>
    <w:qFormat/>
    <w:uiPriority w:val="0"/>
    <w:pPr>
      <w:autoSpaceDE w:val="0"/>
      <w:autoSpaceDN w:val="0"/>
      <w:adjustRightInd w:val="0"/>
      <w:jc w:val="left"/>
    </w:pPr>
    <w:rPr>
      <w:rFonts w:ascii="黑体" w:eastAsia="黑体"/>
      <w:b/>
      <w:kern w:val="0"/>
      <w:sz w:val="20"/>
    </w:rPr>
  </w:style>
  <w:style w:type="paragraph" w:customStyle="1" w:styleId="229">
    <w:name w:val="Char2 Char Char Char Char Char Char"/>
    <w:basedOn w:val="1"/>
    <w:qFormat/>
    <w:uiPriority w:val="0"/>
    <w:rPr>
      <w:rFonts w:ascii="仿宋_GB2312"/>
      <w:b/>
      <w:sz w:val="30"/>
    </w:rPr>
  </w:style>
  <w:style w:type="paragraph" w:customStyle="1" w:styleId="230">
    <w:name w:val="表号"/>
    <w:basedOn w:val="1"/>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231">
    <w:name w:val="标题3——2"/>
    <w:basedOn w:val="4"/>
    <w:next w:val="55"/>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32">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b/>
      <w:sz w:val="24"/>
    </w:rPr>
  </w:style>
  <w:style w:type="paragraph" w:customStyle="1" w:styleId="233">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34">
    <w:name w:val="标书正文:  0.74 厘米"/>
    <w:basedOn w:val="1"/>
    <w:qFormat/>
    <w:uiPriority w:val="0"/>
    <w:pPr>
      <w:snapToGrid w:val="0"/>
      <w:spacing w:line="360" w:lineRule="auto"/>
      <w:ind w:firstLine="420"/>
    </w:pPr>
    <w:rPr>
      <w:sz w:val="24"/>
    </w:rPr>
  </w:style>
  <w:style w:type="paragraph" w:customStyle="1" w:styleId="235">
    <w:name w:val="文本框样式1"/>
    <w:basedOn w:val="1"/>
    <w:qFormat/>
    <w:uiPriority w:val="0"/>
    <w:pPr>
      <w:adjustRightInd w:val="0"/>
      <w:snapToGrid w:val="0"/>
      <w:spacing w:before="60" w:line="180" w:lineRule="exact"/>
      <w:jc w:val="center"/>
    </w:pPr>
    <w:rPr>
      <w:sz w:val="21"/>
    </w:rPr>
  </w:style>
  <w:style w:type="paragraph" w:customStyle="1" w:styleId="236">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37">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238">
    <w:name w:val="样式4"/>
    <w:basedOn w:val="5"/>
    <w:qFormat/>
    <w:uiPriority w:val="0"/>
    <w:pPr>
      <w:adjustRightInd w:val="0"/>
      <w:snapToGrid w:val="0"/>
    </w:pPr>
  </w:style>
  <w:style w:type="paragraph" w:customStyle="1" w:styleId="239">
    <w:name w:val="列出段落1"/>
    <w:basedOn w:val="1"/>
    <w:qFormat/>
    <w:uiPriority w:val="0"/>
    <w:pPr>
      <w:ind w:firstLine="420" w:firstLineChars="200"/>
    </w:pPr>
  </w:style>
  <w:style w:type="character" w:customStyle="1" w:styleId="240">
    <w:name w:val="日期 字符"/>
    <w:qFormat/>
    <w:uiPriority w:val="0"/>
    <w:rPr>
      <w:rFonts w:ascii="Times New Roman" w:hAnsi="Times New Roman" w:eastAsia="宋体"/>
      <w:sz w:val="20"/>
    </w:rPr>
  </w:style>
  <w:style w:type="paragraph" w:customStyle="1" w:styleId="241">
    <w:name w:val="List Paragraph1"/>
    <w:basedOn w:val="1"/>
    <w:qFormat/>
    <w:uiPriority w:val="0"/>
    <w:pPr>
      <w:ind w:firstLine="420" w:firstLineChars="200"/>
    </w:pPr>
    <w:rPr>
      <w:rFonts w:ascii="Calibri" w:hAnsi="Calibri" w:cs="Calibri"/>
      <w:sz w:val="21"/>
      <w:szCs w:val="21"/>
    </w:rPr>
  </w:style>
  <w:style w:type="paragraph" w:customStyle="1" w:styleId="242">
    <w:name w:val="正文文本缩进 22"/>
    <w:basedOn w:val="1"/>
    <w:qFormat/>
    <w:uiPriority w:val="0"/>
    <w:pPr>
      <w:snapToGrid w:val="0"/>
      <w:spacing w:line="560" w:lineRule="atLeast"/>
      <w:ind w:firstLine="54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MicroWin10.com</Company>
  <Pages>56</Pages>
  <Words>24225</Words>
  <Characters>25278</Characters>
  <Lines>47</Lines>
  <Paragraphs>65</Paragraphs>
  <TotalTime>10</TotalTime>
  <ScaleCrop>false</ScaleCrop>
  <LinksUpToDate>false</LinksUpToDate>
  <CharactersWithSpaces>25503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2023-06-01T08:33:00Z</dcterms:created>
  <dc:creator>罗成</dc:creator>
  <cp:lastModifiedBy>奥利佛</cp:lastModifiedBy>
  <cp:lastPrinted>2022-10-31T09:40:00Z</cp:lastPrinted>
  <dcterms:modified xsi:type="dcterms:W3CDTF">2023-07-10T01:42:48Z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11FA8B82124041C885EA4B388FF9F8E1_13</vt:lpwstr>
  </property>
</Properties>
</file>