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Theme="minorEastAsia" w:hAnsiTheme="minorEastAsia" w:eastAsiaTheme="minorEastAsia"/>
          <w:color w:val="auto"/>
          <w:sz w:val="44"/>
          <w:szCs w:val="44"/>
          <w:highlight w:val="none"/>
        </w:rPr>
      </w:pPr>
      <w:r>
        <w:rPr>
          <w:rFonts w:hint="eastAsia" w:asciiTheme="minorEastAsia" w:hAnsiTheme="minorEastAsia" w:eastAsiaTheme="minorEastAsia"/>
          <w:color w:val="auto"/>
          <w:sz w:val="44"/>
          <w:szCs w:val="44"/>
          <w:highlight w:val="none"/>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0" t="0" r="9525" b="6350"/>
            <wp:wrapSquare wrapText="bothSides"/>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pic:cNvPicPr>
                      <a:picLocks noChangeAspect="1"/>
                    </pic:cNvPicPr>
                  </pic:nvPicPr>
                  <pic:blipFill>
                    <a:blip r:embed="rId19"/>
                    <a:stretch>
                      <a:fillRect/>
                    </a:stretch>
                  </pic:blipFill>
                  <pic:spPr>
                    <a:xfrm>
                      <a:off x="0" y="0"/>
                      <a:ext cx="2352675" cy="755650"/>
                    </a:xfrm>
                    <a:prstGeom prst="rect">
                      <a:avLst/>
                    </a:prstGeom>
                    <a:noFill/>
                    <a:ln>
                      <a:noFill/>
                    </a:ln>
                  </pic:spPr>
                </pic:pic>
              </a:graphicData>
            </a:graphic>
          </wp:anchor>
        </w:drawing>
      </w:r>
    </w:p>
    <w:p>
      <w:pPr>
        <w:spacing w:line="760" w:lineRule="exact"/>
        <w:jc w:val="center"/>
        <w:rPr>
          <w:rFonts w:asciiTheme="minorEastAsia" w:hAnsiTheme="minorEastAsia" w:eastAsiaTheme="minorEastAsia"/>
          <w:color w:val="auto"/>
          <w:sz w:val="44"/>
          <w:szCs w:val="44"/>
          <w:highlight w:val="none"/>
        </w:rPr>
      </w:pPr>
    </w:p>
    <w:p>
      <w:pPr>
        <w:spacing w:line="760" w:lineRule="exact"/>
        <w:jc w:val="center"/>
        <w:rPr>
          <w:rFonts w:asciiTheme="minorEastAsia" w:hAnsiTheme="minorEastAsia" w:eastAsiaTheme="minorEastAsia"/>
          <w:color w:val="auto"/>
          <w:sz w:val="44"/>
          <w:szCs w:val="44"/>
          <w:highlight w:val="none"/>
        </w:rPr>
      </w:pPr>
    </w:p>
    <w:p>
      <w:pPr>
        <w:spacing w:line="760" w:lineRule="exact"/>
        <w:jc w:val="center"/>
        <w:rPr>
          <w:rFonts w:asciiTheme="minorEastAsia" w:hAnsiTheme="minorEastAsia" w:eastAsiaTheme="minorEastAsia"/>
          <w:color w:val="auto"/>
          <w:sz w:val="44"/>
          <w:szCs w:val="44"/>
          <w:highlight w:val="none"/>
        </w:rPr>
      </w:pPr>
    </w:p>
    <w:p>
      <w:pPr>
        <w:spacing w:line="760" w:lineRule="exact"/>
        <w:jc w:val="center"/>
        <w:rPr>
          <w:rFonts w:asciiTheme="minorEastAsia" w:hAnsiTheme="minorEastAsia" w:eastAsiaTheme="minorEastAsia"/>
          <w:color w:val="auto"/>
          <w:sz w:val="72"/>
          <w:szCs w:val="72"/>
          <w:highlight w:val="none"/>
        </w:rPr>
      </w:pPr>
      <w:r>
        <w:rPr>
          <w:rFonts w:hint="eastAsia" w:asciiTheme="minorEastAsia" w:hAnsiTheme="minorEastAsia" w:eastAsiaTheme="minorEastAsia"/>
          <w:color w:val="auto"/>
          <w:sz w:val="72"/>
          <w:szCs w:val="72"/>
          <w:highlight w:val="none"/>
        </w:rPr>
        <w:t>重庆医科大学</w:t>
      </w:r>
    </w:p>
    <w:p>
      <w:pPr>
        <w:spacing w:line="760" w:lineRule="exact"/>
        <w:jc w:val="center"/>
        <w:outlineLvl w:val="0"/>
        <w:rPr>
          <w:rFonts w:asciiTheme="minorEastAsia" w:hAnsiTheme="minorEastAsia" w:eastAsiaTheme="minorEastAsia"/>
          <w:color w:val="auto"/>
          <w:sz w:val="72"/>
          <w:szCs w:val="72"/>
          <w:highlight w:val="none"/>
        </w:rPr>
      </w:pPr>
    </w:p>
    <w:p>
      <w:pPr>
        <w:spacing w:line="760" w:lineRule="exact"/>
        <w:jc w:val="center"/>
        <w:outlineLvl w:val="0"/>
        <w:rPr>
          <w:rFonts w:asciiTheme="minorEastAsia" w:hAnsiTheme="minorEastAsia" w:eastAsiaTheme="minorEastAsia"/>
          <w:color w:val="auto"/>
          <w:sz w:val="72"/>
          <w:szCs w:val="72"/>
          <w:highlight w:val="none"/>
        </w:rPr>
      </w:pPr>
      <w:r>
        <w:rPr>
          <w:rFonts w:hint="eastAsia" w:asciiTheme="minorEastAsia" w:hAnsiTheme="minorEastAsia" w:eastAsiaTheme="minorEastAsia"/>
          <w:color w:val="auto"/>
          <w:sz w:val="72"/>
          <w:szCs w:val="72"/>
          <w:highlight w:val="none"/>
        </w:rPr>
        <w:t>竞争性磋商文件</w:t>
      </w:r>
    </w:p>
    <w:p>
      <w:pPr>
        <w:spacing w:line="760" w:lineRule="exact"/>
        <w:rPr>
          <w:rFonts w:asciiTheme="minorEastAsia" w:hAnsiTheme="minorEastAsia" w:eastAsiaTheme="minorEastAsia"/>
          <w:color w:val="auto"/>
          <w:spacing w:val="80"/>
          <w:sz w:val="44"/>
          <w:szCs w:val="44"/>
          <w:highlight w:val="none"/>
        </w:rPr>
      </w:pPr>
    </w:p>
    <w:p>
      <w:pPr>
        <w:spacing w:line="760" w:lineRule="exact"/>
        <w:rPr>
          <w:rFonts w:hint="eastAsia" w:asciiTheme="minorEastAsia" w:hAnsiTheme="minorEastAsia" w:eastAsiaTheme="minorEastAsia"/>
          <w:color w:val="auto"/>
          <w:sz w:val="44"/>
          <w:szCs w:val="44"/>
          <w:highlight w:val="none"/>
        </w:rPr>
      </w:pPr>
    </w:p>
    <w:p>
      <w:pPr>
        <w:spacing w:line="760" w:lineRule="exact"/>
        <w:ind w:firstLine="1760" w:firstLineChars="400"/>
        <w:jc w:val="both"/>
        <w:rPr>
          <w:rFonts w:hint="eastAsia" w:asciiTheme="minorEastAsia" w:hAnsiTheme="minorEastAsia" w:eastAsiaTheme="minorEastAsia"/>
          <w:color w:val="auto"/>
          <w:sz w:val="44"/>
          <w:szCs w:val="44"/>
          <w:highlight w:val="none"/>
        </w:rPr>
      </w:pPr>
      <w:r>
        <w:rPr>
          <w:rFonts w:hint="eastAsia" w:asciiTheme="minorEastAsia" w:hAnsiTheme="minorEastAsia" w:eastAsiaTheme="minorEastAsia"/>
          <w:color w:val="auto"/>
          <w:sz w:val="44"/>
          <w:szCs w:val="44"/>
          <w:highlight w:val="none"/>
        </w:rPr>
        <w:t>采购计划编号：JCCS202306080015</w:t>
      </w:r>
    </w:p>
    <w:p>
      <w:pPr>
        <w:spacing w:line="760" w:lineRule="exact"/>
        <w:jc w:val="center"/>
        <w:rPr>
          <w:rFonts w:asciiTheme="minorEastAsia" w:hAnsiTheme="minorEastAsia" w:eastAsiaTheme="minorEastAsia"/>
          <w:color w:val="auto"/>
          <w:sz w:val="44"/>
          <w:szCs w:val="44"/>
          <w:highlight w:val="none"/>
        </w:rPr>
      </w:pPr>
      <w:r>
        <w:rPr>
          <w:rFonts w:hint="eastAsia" w:asciiTheme="minorEastAsia" w:hAnsiTheme="minorEastAsia" w:eastAsiaTheme="minorEastAsia"/>
          <w:color w:val="auto"/>
          <w:sz w:val="44"/>
          <w:szCs w:val="44"/>
          <w:highlight w:val="none"/>
          <w:lang w:val="en-US" w:eastAsia="zh-CN"/>
        </w:rPr>
        <w:t xml:space="preserve">        </w:t>
      </w:r>
      <w:r>
        <w:rPr>
          <w:rFonts w:hint="eastAsia" w:asciiTheme="minorEastAsia" w:hAnsiTheme="minorEastAsia" w:eastAsiaTheme="minorEastAsia"/>
          <w:color w:val="auto"/>
          <w:sz w:val="44"/>
          <w:szCs w:val="44"/>
          <w:highlight w:val="none"/>
        </w:rPr>
        <w:t>采购项目名称:重庆医科大学基于知识图谱的《生理学》线上互动课程资源建设</w:t>
      </w:r>
    </w:p>
    <w:p>
      <w:pPr>
        <w:spacing w:line="760" w:lineRule="exact"/>
        <w:jc w:val="center"/>
        <w:rPr>
          <w:rFonts w:asciiTheme="minorEastAsia" w:hAnsiTheme="minorEastAsia" w:eastAsiaTheme="minorEastAsia"/>
          <w:color w:val="auto"/>
          <w:sz w:val="44"/>
          <w:szCs w:val="44"/>
          <w:highlight w:val="none"/>
        </w:rPr>
      </w:pPr>
    </w:p>
    <w:p>
      <w:pPr>
        <w:spacing w:line="760" w:lineRule="exact"/>
        <w:jc w:val="center"/>
        <w:rPr>
          <w:rFonts w:hint="eastAsia" w:asciiTheme="minorEastAsia" w:hAnsiTheme="minorEastAsia" w:eastAsiaTheme="minorEastAsia"/>
          <w:color w:val="auto"/>
          <w:sz w:val="32"/>
          <w:szCs w:val="32"/>
          <w:highlight w:val="none"/>
        </w:rPr>
      </w:pPr>
    </w:p>
    <w:p>
      <w:pPr>
        <w:spacing w:line="760" w:lineRule="exact"/>
        <w:jc w:val="center"/>
        <w:rPr>
          <w:rFonts w:hint="eastAsia" w:asciiTheme="minorEastAsia" w:hAnsiTheme="minorEastAsia" w:eastAsiaTheme="minorEastAsia"/>
          <w:color w:val="auto"/>
          <w:sz w:val="32"/>
          <w:szCs w:val="32"/>
          <w:highlight w:val="none"/>
        </w:rPr>
      </w:pPr>
    </w:p>
    <w:p>
      <w:pPr>
        <w:spacing w:line="760" w:lineRule="exact"/>
        <w:jc w:val="center"/>
        <w:rPr>
          <w:rFonts w:hint="eastAsia"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采购人：重庆医科大学</w:t>
      </w:r>
    </w:p>
    <w:p>
      <w:pPr>
        <w:spacing w:line="760" w:lineRule="exact"/>
        <w:jc w:val="center"/>
        <w:rPr>
          <w:rFonts w:asciiTheme="minorEastAsia" w:hAnsiTheme="minorEastAsia" w:eastAsiaTheme="minorEastAsia"/>
          <w:color w:val="auto"/>
          <w:sz w:val="44"/>
          <w:szCs w:val="44"/>
          <w:highlight w:val="none"/>
        </w:rPr>
        <w:sectPr>
          <w:headerReference r:id="rId4" w:type="first"/>
          <w:footerReference r:id="rId7" w:type="first"/>
          <w:headerReference r:id="rId3" w:type="default"/>
          <w:footerReference r:id="rId5" w:type="default"/>
          <w:footerReference r:id="rId6" w:type="even"/>
          <w:pgSz w:w="11907" w:h="16840"/>
          <w:pgMar w:top="1134" w:right="992" w:bottom="1134" w:left="1304" w:header="851" w:footer="992" w:gutter="0"/>
          <w:pgNumType w:fmt="numberInDash" w:start="0"/>
          <w:cols w:space="720" w:num="1"/>
          <w:titlePg/>
          <w:docGrid w:linePitch="380" w:charSpace="-5735"/>
        </w:sectPr>
      </w:pPr>
      <w:r>
        <w:rPr>
          <w:rFonts w:hint="eastAsia" w:asciiTheme="minorEastAsia" w:hAnsiTheme="minorEastAsia" w:eastAsiaTheme="minorEastAsia"/>
          <w:color w:val="auto"/>
          <w:sz w:val="32"/>
          <w:szCs w:val="32"/>
          <w:highlight w:val="none"/>
        </w:rPr>
        <w:t>二〇二</w:t>
      </w:r>
      <w:r>
        <w:rPr>
          <w:rFonts w:hint="eastAsia" w:asciiTheme="minorEastAsia" w:hAnsiTheme="minorEastAsia" w:eastAsiaTheme="minorEastAsia"/>
          <w:color w:val="auto"/>
          <w:sz w:val="32"/>
          <w:szCs w:val="32"/>
          <w:highlight w:val="none"/>
          <w:lang w:val="en-US" w:eastAsia="zh-CN"/>
        </w:rPr>
        <w:t>三</w:t>
      </w:r>
      <w:r>
        <w:rPr>
          <w:rFonts w:hint="eastAsia" w:asciiTheme="minorEastAsia" w:hAnsiTheme="minorEastAsia" w:eastAsiaTheme="minorEastAsia"/>
          <w:color w:val="auto"/>
          <w:sz w:val="32"/>
          <w:szCs w:val="32"/>
          <w:highlight w:val="none"/>
        </w:rPr>
        <w:t>年</w:t>
      </w:r>
      <w:r>
        <w:rPr>
          <w:rFonts w:hint="eastAsia" w:asciiTheme="minorEastAsia" w:hAnsiTheme="minorEastAsia" w:eastAsiaTheme="minorEastAsia"/>
          <w:color w:val="auto"/>
          <w:sz w:val="32"/>
          <w:szCs w:val="32"/>
          <w:highlight w:val="none"/>
          <w:lang w:val="en-US" w:eastAsia="zh-CN"/>
        </w:rPr>
        <w:t>七</w:t>
      </w:r>
      <w:r>
        <w:rPr>
          <w:rFonts w:hint="eastAsia" w:asciiTheme="minorEastAsia" w:hAnsiTheme="minorEastAsia" w:eastAsiaTheme="minorEastAsia"/>
          <w:color w:val="auto"/>
          <w:sz w:val="32"/>
          <w:szCs w:val="32"/>
          <w:highlight w:val="none"/>
        </w:rPr>
        <w:t>月</w:t>
      </w:r>
    </w:p>
    <w:p>
      <w:pPr>
        <w:spacing w:line="3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目   录</w:t>
      </w:r>
    </w:p>
    <w:p>
      <w:pPr>
        <w:pStyle w:val="45"/>
        <w:tabs>
          <w:tab w:val="right" w:leader="dot" w:pos="9402"/>
        </w:tabs>
        <w:ind w:left="560"/>
        <w:rPr>
          <w:rFonts w:hint="default" w:asciiTheme="minorEastAsia" w:hAnsiTheme="minorEastAsia" w:eastAsiaTheme="minorEastAsia"/>
          <w:color w:val="auto"/>
          <w:sz w:val="21"/>
          <w:szCs w:val="22"/>
          <w:highlight w:val="none"/>
          <w:lang w:val="en-US"/>
        </w:rPr>
      </w:pPr>
      <w:r>
        <w:rPr>
          <w:rFonts w:hint="eastAsia" w:asciiTheme="minorEastAsia" w:hAnsiTheme="minorEastAsia" w:eastAsiaTheme="minorEastAsia"/>
          <w:color w:val="auto"/>
          <w:sz w:val="24"/>
          <w:szCs w:val="24"/>
          <w:highlight w:val="none"/>
        </w:rPr>
        <w:fldChar w:fldCharType="begin"/>
      </w:r>
      <w:r>
        <w:rPr>
          <w:rFonts w:hint="eastAsia" w:asciiTheme="minorEastAsia" w:hAnsiTheme="minorEastAsia" w:eastAsiaTheme="minorEastAsia"/>
          <w:color w:val="auto"/>
          <w:sz w:val="24"/>
          <w:szCs w:val="24"/>
          <w:highlight w:val="none"/>
        </w:rPr>
        <w:instrText xml:space="preserve"> TOC \o "1-3" \h \z </w:instrText>
      </w:r>
      <w:r>
        <w:rPr>
          <w:rFonts w:hint="eastAsia" w:asciiTheme="minorEastAsia" w:hAnsiTheme="minorEastAsia" w:eastAsiaTheme="minorEastAsia"/>
          <w:color w:val="auto"/>
          <w:sz w:val="24"/>
          <w:szCs w:val="24"/>
          <w:highlight w:val="none"/>
        </w:rPr>
        <w:fldChar w:fldCharType="separate"/>
      </w:r>
      <w:r>
        <w:rPr>
          <w:color w:val="auto"/>
          <w:highlight w:val="none"/>
        </w:rPr>
        <w:fldChar w:fldCharType="begin"/>
      </w:r>
      <w:r>
        <w:rPr>
          <w:color w:val="auto"/>
          <w:highlight w:val="none"/>
        </w:rPr>
        <w:instrText xml:space="preserve"> HYPERLINK \l "_Toc105060879" </w:instrText>
      </w:r>
      <w:r>
        <w:rPr>
          <w:color w:val="auto"/>
          <w:highlight w:val="none"/>
        </w:rPr>
        <w:fldChar w:fldCharType="separate"/>
      </w:r>
      <w:r>
        <w:rPr>
          <w:rStyle w:val="63"/>
          <w:rFonts w:hint="eastAsia" w:asciiTheme="minorEastAsia" w:hAnsiTheme="minorEastAsia" w:eastAsiaTheme="minorEastAsia"/>
          <w:color w:val="auto"/>
          <w:highlight w:val="none"/>
        </w:rPr>
        <w:t>第一篇</w:t>
      </w:r>
      <w:r>
        <w:rPr>
          <w:rStyle w:val="63"/>
          <w:rFonts w:asciiTheme="minorEastAsia" w:hAnsiTheme="minorEastAsia" w:eastAsiaTheme="minorEastAsia"/>
          <w:color w:val="auto"/>
          <w:highlight w:val="none"/>
        </w:rPr>
        <w:t xml:space="preserve">  </w:t>
      </w:r>
      <w:r>
        <w:rPr>
          <w:rStyle w:val="63"/>
          <w:rFonts w:hint="eastAsia" w:asciiTheme="minorEastAsia" w:hAnsiTheme="minorEastAsia" w:eastAsiaTheme="minorEastAsia"/>
          <w:color w:val="auto"/>
          <w:highlight w:val="none"/>
        </w:rPr>
        <w:t>采购邀请书</w:t>
      </w:r>
      <w:r>
        <w:rPr>
          <w:rStyle w:val="63"/>
          <w:rFonts w:hint="default" w:asciiTheme="minorEastAsia" w:hAnsiTheme="minorEastAsia" w:eastAsiaTheme="minorEastAsia"/>
          <w:color w:val="auto"/>
          <w:highlight w:val="none"/>
          <w:lang w:val="en-US" w:eastAsia="zh-CN"/>
        </w:rPr>
        <w:t>.</w:t>
      </w:r>
      <w:r>
        <w:rPr>
          <w:rFonts w:asciiTheme="minorEastAsia" w:hAnsiTheme="minorEastAsia" w:eastAsiaTheme="minorEastAsia"/>
          <w:color w:val="auto"/>
          <w:highlight w:val="none"/>
        </w:rPr>
        <w:fldChar w:fldCharType="end"/>
      </w:r>
      <w:r>
        <w:rPr>
          <w:rFonts w:hint="default" w:asciiTheme="minorEastAsia" w:hAnsiTheme="minorEastAsia" w:eastAsiaTheme="minorEastAsia"/>
          <w:color w:val="auto"/>
          <w:highlight w:val="none"/>
          <w:lang w:val="en-US"/>
        </w:rPr>
        <w:t>.......................................</w:t>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- 3 -</w:t>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"_Toc105060880" </w:instrText>
      </w:r>
      <w:r>
        <w:rPr>
          <w:color w:val="auto"/>
          <w:highlight w:val="none"/>
        </w:rPr>
        <w:fldChar w:fldCharType="separate"/>
      </w:r>
      <w:r>
        <w:rPr>
          <w:rStyle w:val="63"/>
          <w:rFonts w:hint="eastAsia" w:asciiTheme="minorEastAsia" w:hAnsiTheme="minorEastAsia" w:eastAsiaTheme="minorEastAsia"/>
          <w:bCs/>
          <w:color w:val="auto"/>
          <w:highlight w:val="none"/>
        </w:rPr>
        <w:t>一、竞争性磋商内容</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"_Toc105060881" </w:instrText>
      </w:r>
      <w:r>
        <w:rPr>
          <w:color w:val="auto"/>
          <w:highlight w:val="none"/>
        </w:rPr>
        <w:fldChar w:fldCharType="separate"/>
      </w:r>
      <w:r>
        <w:rPr>
          <w:rStyle w:val="63"/>
          <w:rFonts w:hint="eastAsia" w:asciiTheme="minorEastAsia" w:hAnsiTheme="minorEastAsia" w:eastAsiaTheme="minorEastAsia"/>
          <w:bCs/>
          <w:color w:val="auto"/>
          <w:highlight w:val="none"/>
        </w:rPr>
        <w:t>二、资金来源</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"_Toc105060882" </w:instrText>
      </w:r>
      <w:r>
        <w:rPr>
          <w:color w:val="auto"/>
          <w:highlight w:val="none"/>
        </w:rPr>
        <w:fldChar w:fldCharType="separate"/>
      </w:r>
      <w:r>
        <w:rPr>
          <w:rStyle w:val="63"/>
          <w:rFonts w:hint="eastAsia" w:asciiTheme="minorEastAsia" w:hAnsiTheme="minorEastAsia" w:eastAsiaTheme="minorEastAsia"/>
          <w:bCs/>
          <w:color w:val="auto"/>
          <w:highlight w:val="none"/>
        </w:rPr>
        <w:t>三、供应商资格条件</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"_Toc105060883" </w:instrText>
      </w:r>
      <w:r>
        <w:rPr>
          <w:color w:val="auto"/>
          <w:highlight w:val="none"/>
        </w:rPr>
        <w:fldChar w:fldCharType="separate"/>
      </w:r>
      <w:r>
        <w:rPr>
          <w:rStyle w:val="63"/>
          <w:rFonts w:hint="eastAsia" w:asciiTheme="minorEastAsia" w:hAnsiTheme="minorEastAsia" w:eastAsiaTheme="minorEastAsia"/>
          <w:bCs/>
          <w:color w:val="auto"/>
          <w:highlight w:val="none"/>
        </w:rPr>
        <w:t>四、磋商有关说明</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_Toc105060883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"_Toc105060884" </w:instrText>
      </w:r>
      <w:r>
        <w:rPr>
          <w:color w:val="auto"/>
          <w:highlight w:val="none"/>
        </w:rPr>
        <w:fldChar w:fldCharType="separate"/>
      </w:r>
      <w:r>
        <w:rPr>
          <w:rStyle w:val="63"/>
          <w:rFonts w:hint="eastAsia" w:asciiTheme="minorEastAsia" w:hAnsiTheme="minorEastAsia" w:eastAsiaTheme="minorEastAsia"/>
          <w:bCs/>
          <w:color w:val="auto"/>
          <w:highlight w:val="none"/>
        </w:rPr>
        <w:t>五、保证金</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_Toc105060884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- 4 -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"_Toc105060885" </w:instrText>
      </w:r>
      <w:r>
        <w:rPr>
          <w:color w:val="auto"/>
          <w:highlight w:val="none"/>
        </w:rPr>
        <w:fldChar w:fldCharType="separate"/>
      </w:r>
      <w:r>
        <w:rPr>
          <w:rStyle w:val="63"/>
          <w:rFonts w:hint="eastAsia" w:asciiTheme="minorEastAsia" w:hAnsiTheme="minorEastAsia" w:eastAsiaTheme="minorEastAsia"/>
          <w:bCs/>
          <w:color w:val="auto"/>
          <w:highlight w:val="none"/>
        </w:rPr>
        <w:t>六、采购项目需落实的政府采购政策</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_Toc105060885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- 6 -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"_Toc105060886" </w:instrText>
      </w:r>
      <w:r>
        <w:rPr>
          <w:color w:val="auto"/>
          <w:highlight w:val="none"/>
        </w:rPr>
        <w:fldChar w:fldCharType="separate"/>
      </w:r>
      <w:r>
        <w:rPr>
          <w:rStyle w:val="63"/>
          <w:rFonts w:hint="eastAsia" w:asciiTheme="minorEastAsia" w:hAnsiTheme="minorEastAsia" w:eastAsiaTheme="minorEastAsia"/>
          <w:bCs/>
          <w:color w:val="auto"/>
          <w:highlight w:val="none"/>
        </w:rPr>
        <w:t>七、其它有关规定</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- 6 -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"_Toc105060887" </w:instrText>
      </w:r>
      <w:r>
        <w:rPr>
          <w:color w:val="auto"/>
          <w:highlight w:val="none"/>
        </w:rPr>
        <w:fldChar w:fldCharType="separate"/>
      </w:r>
      <w:r>
        <w:rPr>
          <w:rStyle w:val="63"/>
          <w:rFonts w:hint="eastAsia" w:asciiTheme="minorEastAsia" w:hAnsiTheme="minorEastAsia" w:eastAsiaTheme="minorEastAsia"/>
          <w:bCs/>
          <w:color w:val="auto"/>
          <w:highlight w:val="none"/>
        </w:rPr>
        <w:t>八、联系方式</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- 7 -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"_Toc105060888" </w:instrText>
      </w:r>
      <w:r>
        <w:rPr>
          <w:color w:val="auto"/>
          <w:highlight w:val="none"/>
        </w:rPr>
        <w:fldChar w:fldCharType="separate"/>
      </w:r>
      <w:r>
        <w:rPr>
          <w:rStyle w:val="63"/>
          <w:rFonts w:hint="eastAsia" w:asciiTheme="minorEastAsia" w:hAnsiTheme="minorEastAsia" w:eastAsiaTheme="minorEastAsia"/>
          <w:color w:val="auto"/>
          <w:highlight w:val="none"/>
        </w:rPr>
        <w:t>第二篇</w:t>
      </w:r>
      <w:r>
        <w:rPr>
          <w:rStyle w:val="63"/>
          <w:rFonts w:asciiTheme="minorEastAsia" w:hAnsiTheme="minorEastAsia" w:eastAsiaTheme="minorEastAsia"/>
          <w:color w:val="auto"/>
          <w:highlight w:val="none"/>
        </w:rPr>
        <w:t xml:space="preserve">  </w:t>
      </w:r>
      <w:r>
        <w:rPr>
          <w:rStyle w:val="63"/>
          <w:rFonts w:hint="eastAsia" w:asciiTheme="minorEastAsia" w:hAnsiTheme="minorEastAsia" w:eastAsiaTheme="minorEastAsia"/>
          <w:color w:val="auto"/>
          <w:highlight w:val="none"/>
        </w:rPr>
        <w:t>项目服务需求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left" w:pos="1680"/>
          <w:tab w:val="right" w:leader="dot" w:pos="9402"/>
        </w:tabs>
        <w:ind w:left="1120"/>
        <w:jc w:val="left"/>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"_Toc105060889" </w:instrText>
      </w:r>
      <w:r>
        <w:rPr>
          <w:color w:val="auto"/>
          <w:highlight w:val="none"/>
        </w:rPr>
        <w:fldChar w:fldCharType="separate"/>
      </w:r>
      <w:r>
        <w:rPr>
          <w:rStyle w:val="63"/>
          <w:rFonts w:hint="eastAsia" w:asciiTheme="minorEastAsia" w:hAnsiTheme="minorEastAsia" w:eastAsiaTheme="minorEastAsia"/>
          <w:color w:val="auto"/>
          <w:highlight w:val="none"/>
        </w:rPr>
        <w:t>一、项目基本概况介绍</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_Toc105060889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"_Toc105060890" </w:instrText>
      </w:r>
      <w:r>
        <w:rPr>
          <w:color w:val="auto"/>
          <w:highlight w:val="none"/>
        </w:rPr>
        <w:fldChar w:fldCharType="separate"/>
      </w:r>
      <w:r>
        <w:rPr>
          <w:rStyle w:val="63"/>
          <w:rFonts w:hint="eastAsia" w:asciiTheme="minorEastAsia" w:hAnsiTheme="minorEastAsia" w:eastAsiaTheme="minorEastAsia"/>
          <w:color w:val="auto"/>
          <w:highlight w:val="none"/>
        </w:rPr>
        <w:t>二、项目内容（必须包含但不限</w:t>
      </w:r>
      <w:bookmarkStart w:id="0" w:name="_Hlt105060919"/>
      <w:bookmarkEnd w:id="0"/>
      <w:r>
        <w:rPr>
          <w:rStyle w:val="63"/>
          <w:rFonts w:hint="eastAsia" w:asciiTheme="minorEastAsia" w:hAnsiTheme="minorEastAsia" w:eastAsiaTheme="minorEastAsia"/>
          <w:color w:val="auto"/>
          <w:highlight w:val="none"/>
        </w:rPr>
        <w:t>于以下内容）</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"_Toc105060891" </w:instrText>
      </w:r>
      <w:r>
        <w:rPr>
          <w:color w:val="auto"/>
          <w:highlight w:val="none"/>
        </w:rPr>
        <w:fldChar w:fldCharType="separate"/>
      </w:r>
      <w:r>
        <w:rPr>
          <w:rStyle w:val="63"/>
          <w:rFonts w:hint="eastAsia" w:asciiTheme="minorEastAsia" w:hAnsiTheme="minorEastAsia" w:eastAsiaTheme="minorEastAsia"/>
          <w:color w:val="auto"/>
          <w:highlight w:val="none"/>
        </w:rPr>
        <w:t>三、项目功能及技术要求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"_Toc105060892" </w:instrText>
      </w:r>
      <w:r>
        <w:rPr>
          <w:color w:val="auto"/>
          <w:highlight w:val="none"/>
        </w:rPr>
        <w:fldChar w:fldCharType="separate"/>
      </w:r>
      <w:r>
        <w:rPr>
          <w:rStyle w:val="63"/>
          <w:rFonts w:hint="eastAsia" w:asciiTheme="minorEastAsia" w:hAnsiTheme="minorEastAsia" w:eastAsiaTheme="minorEastAsia"/>
          <w:color w:val="auto"/>
          <w:highlight w:val="none"/>
        </w:rPr>
        <w:t>第三篇</w:t>
      </w:r>
      <w:r>
        <w:rPr>
          <w:rStyle w:val="63"/>
          <w:rFonts w:asciiTheme="minorEastAsia" w:hAnsiTheme="minorEastAsia" w:eastAsiaTheme="minorEastAsia"/>
          <w:color w:val="auto"/>
          <w:highlight w:val="none"/>
        </w:rPr>
        <w:t xml:space="preserve">  </w:t>
      </w:r>
      <w:r>
        <w:rPr>
          <w:rStyle w:val="63"/>
          <w:rFonts w:hint="eastAsia" w:asciiTheme="minorEastAsia" w:hAnsiTheme="minorEastAsia" w:eastAsiaTheme="minorEastAsia"/>
          <w:color w:val="auto"/>
          <w:highlight w:val="none"/>
        </w:rPr>
        <w:t>项目商务需求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- 17 -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"_Toc105060893" </w:instrText>
      </w:r>
      <w:r>
        <w:rPr>
          <w:color w:val="auto"/>
          <w:highlight w:val="none"/>
        </w:rPr>
        <w:fldChar w:fldCharType="separate"/>
      </w:r>
      <w:r>
        <w:rPr>
          <w:rStyle w:val="63"/>
          <w:rFonts w:hint="eastAsia" w:asciiTheme="minorEastAsia" w:hAnsiTheme="minorEastAsia" w:eastAsiaTheme="minorEastAsia"/>
          <w:bCs/>
          <w:color w:val="auto"/>
          <w:highlight w:val="none"/>
        </w:rPr>
        <w:t>一、服务期、地点及验收方式</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_Toc105060893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- 17 -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"_Toc105060894" </w:instrText>
      </w:r>
      <w:r>
        <w:rPr>
          <w:color w:val="auto"/>
          <w:highlight w:val="none"/>
        </w:rPr>
        <w:fldChar w:fldCharType="separate"/>
      </w:r>
      <w:r>
        <w:rPr>
          <w:rStyle w:val="63"/>
          <w:rFonts w:hint="eastAsia" w:asciiTheme="minorEastAsia" w:hAnsiTheme="minorEastAsia" w:eastAsiaTheme="minorEastAsia"/>
          <w:bCs/>
          <w:color w:val="auto"/>
          <w:highlight w:val="none"/>
        </w:rPr>
        <w:t>二、报价要求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_Toc105060894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- 17 -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"_Toc105060895" </w:instrText>
      </w:r>
      <w:r>
        <w:rPr>
          <w:color w:val="auto"/>
          <w:highlight w:val="none"/>
        </w:rPr>
        <w:fldChar w:fldCharType="separate"/>
      </w:r>
      <w:r>
        <w:rPr>
          <w:rStyle w:val="63"/>
          <w:rFonts w:hint="eastAsia" w:asciiTheme="minorEastAsia" w:hAnsiTheme="minorEastAsia" w:eastAsiaTheme="minorEastAsia"/>
          <w:bCs/>
          <w:color w:val="auto"/>
          <w:highlight w:val="none"/>
        </w:rPr>
        <w:t>三、质量保证及售后服务</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_Toc105060895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"_Toc105060896" </w:instrText>
      </w:r>
      <w:r>
        <w:rPr>
          <w:color w:val="auto"/>
          <w:highlight w:val="none"/>
        </w:rPr>
        <w:fldChar w:fldCharType="separate"/>
      </w:r>
      <w:r>
        <w:rPr>
          <w:rStyle w:val="63"/>
          <w:rFonts w:hint="eastAsia" w:asciiTheme="minorEastAsia" w:hAnsiTheme="minorEastAsia" w:eastAsiaTheme="minorEastAsia"/>
          <w:bCs/>
          <w:color w:val="auto"/>
          <w:highlight w:val="none"/>
        </w:rPr>
        <w:t>四、付款方式</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"_Toc105060897" </w:instrText>
      </w:r>
      <w:r>
        <w:rPr>
          <w:color w:val="auto"/>
          <w:highlight w:val="none"/>
        </w:rPr>
        <w:fldChar w:fldCharType="separate"/>
      </w:r>
      <w:r>
        <w:rPr>
          <w:rStyle w:val="63"/>
          <w:rFonts w:hint="eastAsia" w:asciiTheme="minorEastAsia" w:hAnsiTheme="minorEastAsia" w:eastAsiaTheme="minorEastAsia"/>
          <w:bCs/>
          <w:color w:val="auto"/>
          <w:highlight w:val="none"/>
        </w:rPr>
        <w:t>五、培训</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"_Toc105060898" </w:instrText>
      </w:r>
      <w:r>
        <w:rPr>
          <w:color w:val="auto"/>
          <w:highlight w:val="none"/>
        </w:rPr>
        <w:fldChar w:fldCharType="separate"/>
      </w:r>
      <w:r>
        <w:rPr>
          <w:rStyle w:val="63"/>
          <w:rFonts w:hint="eastAsia" w:asciiTheme="minorEastAsia" w:hAnsiTheme="minorEastAsia" w:eastAsiaTheme="minorEastAsia"/>
          <w:bCs/>
          <w:color w:val="auto"/>
          <w:highlight w:val="none"/>
        </w:rPr>
        <w:t>六、知识产权</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"_Toc105060899" </w:instrText>
      </w:r>
      <w:r>
        <w:rPr>
          <w:color w:val="auto"/>
          <w:highlight w:val="none"/>
        </w:rPr>
        <w:fldChar w:fldCharType="separate"/>
      </w:r>
      <w:r>
        <w:rPr>
          <w:rStyle w:val="63"/>
          <w:rFonts w:hint="eastAsia" w:asciiTheme="minorEastAsia" w:hAnsiTheme="minorEastAsia" w:eastAsiaTheme="minorEastAsia"/>
          <w:bCs/>
          <w:color w:val="auto"/>
          <w:highlight w:val="none"/>
        </w:rPr>
        <w:t>七、其他</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_Toc105060899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- 19 -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"_Toc105060900" </w:instrText>
      </w:r>
      <w:r>
        <w:rPr>
          <w:color w:val="auto"/>
          <w:highlight w:val="none"/>
        </w:rPr>
        <w:fldChar w:fldCharType="separate"/>
      </w:r>
      <w:r>
        <w:rPr>
          <w:rStyle w:val="63"/>
          <w:rFonts w:hint="eastAsia" w:asciiTheme="minorEastAsia" w:hAnsiTheme="minorEastAsia" w:eastAsiaTheme="minorEastAsia"/>
          <w:color w:val="auto"/>
          <w:highlight w:val="none"/>
        </w:rPr>
        <w:t>第四篇</w:t>
      </w:r>
      <w:r>
        <w:rPr>
          <w:rStyle w:val="63"/>
          <w:rFonts w:asciiTheme="minorEastAsia" w:hAnsiTheme="minorEastAsia" w:eastAsiaTheme="minorEastAsia"/>
          <w:color w:val="auto"/>
          <w:highlight w:val="none"/>
        </w:rPr>
        <w:t xml:space="preserve">  </w:t>
      </w:r>
      <w:r>
        <w:rPr>
          <w:rStyle w:val="63"/>
          <w:rFonts w:hint="eastAsia" w:asciiTheme="minorEastAsia" w:hAnsiTheme="minorEastAsia" w:eastAsiaTheme="minorEastAsia"/>
          <w:color w:val="auto"/>
          <w:highlight w:val="none"/>
        </w:rPr>
        <w:t>磋商程序及方法、评审标准、无效响应和采购终止</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- 20 -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"_Toc105060901" </w:instrText>
      </w:r>
      <w:r>
        <w:rPr>
          <w:color w:val="auto"/>
          <w:highlight w:val="none"/>
        </w:rPr>
        <w:fldChar w:fldCharType="separate"/>
      </w:r>
      <w:r>
        <w:rPr>
          <w:rStyle w:val="63"/>
          <w:rFonts w:hint="eastAsia" w:asciiTheme="minorEastAsia" w:hAnsiTheme="minorEastAsia" w:eastAsiaTheme="minorEastAsia"/>
          <w:bCs/>
          <w:color w:val="auto"/>
          <w:highlight w:val="none"/>
        </w:rPr>
        <w:t>一、磋商程序及方法</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- 20 -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left" w:pos="1680"/>
          <w:tab w:val="right" w:leader="dot" w:pos="9402"/>
        </w:tabs>
        <w:ind w:left="1120"/>
        <w:jc w:val="left"/>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"_Toc105060902" </w:instrText>
      </w:r>
      <w:r>
        <w:rPr>
          <w:color w:val="auto"/>
          <w:highlight w:val="none"/>
        </w:rPr>
        <w:fldChar w:fldCharType="separate"/>
      </w:r>
      <w:r>
        <w:rPr>
          <w:rStyle w:val="63"/>
          <w:rFonts w:hint="eastAsia" w:asciiTheme="minorEastAsia" w:hAnsiTheme="minorEastAsia" w:eastAsiaTheme="minorEastAsia"/>
          <w:bCs/>
          <w:color w:val="auto"/>
          <w:highlight w:val="none"/>
        </w:rPr>
        <w:t>二、评审标准</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- 24 -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"_Toc105060903" </w:instrText>
      </w:r>
      <w:r>
        <w:rPr>
          <w:color w:val="auto"/>
          <w:highlight w:val="none"/>
        </w:rPr>
        <w:fldChar w:fldCharType="separate"/>
      </w:r>
      <w:r>
        <w:rPr>
          <w:rStyle w:val="63"/>
          <w:rFonts w:hint="eastAsia" w:asciiTheme="minorEastAsia" w:hAnsiTheme="minorEastAsia" w:eastAsiaTheme="minorEastAsia"/>
          <w:color w:val="auto"/>
          <w:highlight w:val="none"/>
        </w:rPr>
        <w:t>三、无效响应</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_Toc105060903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- 27 -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"_Toc105060904" </w:instrText>
      </w:r>
      <w:r>
        <w:rPr>
          <w:color w:val="auto"/>
          <w:highlight w:val="none"/>
        </w:rPr>
        <w:fldChar w:fldCharType="separate"/>
      </w:r>
      <w:r>
        <w:rPr>
          <w:rStyle w:val="63"/>
          <w:rFonts w:hint="eastAsia" w:asciiTheme="minorEastAsia" w:hAnsiTheme="minorEastAsia" w:eastAsiaTheme="minorEastAsia"/>
          <w:color w:val="auto"/>
          <w:highlight w:val="none"/>
        </w:rPr>
        <w:t>四、采购终止</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_Toc105060904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- 28 -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"_Toc105060905" </w:instrText>
      </w:r>
      <w:r>
        <w:rPr>
          <w:color w:val="auto"/>
          <w:highlight w:val="none"/>
        </w:rPr>
        <w:fldChar w:fldCharType="separate"/>
      </w:r>
      <w:r>
        <w:rPr>
          <w:rStyle w:val="63"/>
          <w:rFonts w:hint="eastAsia" w:asciiTheme="minorEastAsia" w:hAnsiTheme="minorEastAsia" w:eastAsiaTheme="minorEastAsia"/>
          <w:color w:val="auto"/>
          <w:highlight w:val="none"/>
        </w:rPr>
        <w:t>第五篇</w:t>
      </w:r>
      <w:r>
        <w:rPr>
          <w:rStyle w:val="63"/>
          <w:rFonts w:asciiTheme="minorEastAsia" w:hAnsiTheme="minorEastAsia" w:eastAsiaTheme="minorEastAsia"/>
          <w:color w:val="auto"/>
          <w:highlight w:val="none"/>
        </w:rPr>
        <w:t xml:space="preserve">  </w:t>
      </w:r>
      <w:r>
        <w:rPr>
          <w:rStyle w:val="63"/>
          <w:rFonts w:hint="eastAsia" w:asciiTheme="minorEastAsia" w:hAnsiTheme="minorEastAsia" w:eastAsiaTheme="minorEastAsia"/>
          <w:color w:val="auto"/>
          <w:highlight w:val="none"/>
        </w:rPr>
        <w:t>供应商须知</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_Toc105060905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"_Toc105060906" </w:instrText>
      </w:r>
      <w:r>
        <w:rPr>
          <w:color w:val="auto"/>
          <w:highlight w:val="none"/>
        </w:rPr>
        <w:fldChar w:fldCharType="separate"/>
      </w:r>
      <w:r>
        <w:rPr>
          <w:rStyle w:val="63"/>
          <w:rFonts w:hint="eastAsia" w:asciiTheme="minorEastAsia" w:hAnsiTheme="minorEastAsia" w:eastAsiaTheme="minorEastAsia"/>
          <w:color w:val="auto"/>
          <w:highlight w:val="none"/>
        </w:rPr>
        <w:t>一、磋商费用</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"_Toc105060907" </w:instrText>
      </w:r>
      <w:r>
        <w:rPr>
          <w:color w:val="auto"/>
          <w:highlight w:val="none"/>
        </w:rPr>
        <w:fldChar w:fldCharType="separate"/>
      </w:r>
      <w:r>
        <w:rPr>
          <w:rStyle w:val="63"/>
          <w:rFonts w:hint="eastAsia" w:asciiTheme="minorEastAsia" w:hAnsiTheme="minorEastAsia" w:eastAsiaTheme="minorEastAsia"/>
          <w:color w:val="auto"/>
          <w:highlight w:val="none"/>
        </w:rPr>
        <w:t>二、竞争性磋商文件</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"_Toc105060908" </w:instrText>
      </w:r>
      <w:r>
        <w:rPr>
          <w:color w:val="auto"/>
          <w:highlight w:val="none"/>
        </w:rPr>
        <w:fldChar w:fldCharType="separate"/>
      </w:r>
      <w:r>
        <w:rPr>
          <w:rStyle w:val="63"/>
          <w:rFonts w:hint="eastAsia" w:asciiTheme="minorEastAsia" w:hAnsiTheme="minorEastAsia" w:eastAsiaTheme="minorEastAsia"/>
          <w:color w:val="auto"/>
          <w:highlight w:val="none"/>
        </w:rPr>
        <w:t>三、磋商要求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- 29 -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"_Toc105060909" </w:instrText>
      </w:r>
      <w:r>
        <w:rPr>
          <w:color w:val="auto"/>
          <w:highlight w:val="none"/>
        </w:rPr>
        <w:fldChar w:fldCharType="separate"/>
      </w:r>
      <w:r>
        <w:rPr>
          <w:rStyle w:val="63"/>
          <w:rFonts w:hint="eastAsia" w:asciiTheme="minorEastAsia" w:hAnsiTheme="minorEastAsia" w:eastAsiaTheme="minorEastAsia"/>
          <w:color w:val="auto"/>
          <w:highlight w:val="none"/>
        </w:rPr>
        <w:t>四、成交供应商的确认和变更</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_Toc105060909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- 31 -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"_Toc105060910" </w:instrText>
      </w:r>
      <w:r>
        <w:rPr>
          <w:color w:val="auto"/>
          <w:highlight w:val="none"/>
        </w:rPr>
        <w:fldChar w:fldCharType="separate"/>
      </w:r>
      <w:r>
        <w:rPr>
          <w:rStyle w:val="63"/>
          <w:rFonts w:hint="eastAsia" w:asciiTheme="minorEastAsia" w:hAnsiTheme="minorEastAsia" w:eastAsiaTheme="minorEastAsia"/>
          <w:color w:val="auto"/>
          <w:highlight w:val="none"/>
        </w:rPr>
        <w:t>五、成交通知</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_Toc105060910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- 32 -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"_Toc105060911" </w:instrText>
      </w:r>
      <w:r>
        <w:rPr>
          <w:color w:val="auto"/>
          <w:highlight w:val="none"/>
        </w:rPr>
        <w:fldChar w:fldCharType="separate"/>
      </w:r>
      <w:r>
        <w:rPr>
          <w:rStyle w:val="63"/>
          <w:rFonts w:hint="eastAsia" w:asciiTheme="minorEastAsia" w:hAnsiTheme="minorEastAsia" w:eastAsiaTheme="minorEastAsia"/>
          <w:color w:val="auto"/>
          <w:highlight w:val="none"/>
        </w:rPr>
        <w:t>六、关于质疑和投诉</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_Toc105060911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- 32 -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"_Toc105060912" </w:instrText>
      </w:r>
      <w:r>
        <w:rPr>
          <w:color w:val="auto"/>
          <w:highlight w:val="none"/>
        </w:rPr>
        <w:fldChar w:fldCharType="separate"/>
      </w:r>
      <w:r>
        <w:rPr>
          <w:rStyle w:val="63"/>
          <w:rFonts w:hint="eastAsia" w:asciiTheme="minorEastAsia" w:hAnsiTheme="minorEastAsia" w:eastAsiaTheme="minorEastAsia"/>
          <w:color w:val="auto"/>
          <w:highlight w:val="none"/>
        </w:rPr>
        <w:t>第六篇</w:t>
      </w:r>
      <w:r>
        <w:rPr>
          <w:rStyle w:val="63"/>
          <w:rFonts w:asciiTheme="minorEastAsia" w:hAnsiTheme="minorEastAsia" w:eastAsiaTheme="minorEastAsia"/>
          <w:color w:val="auto"/>
          <w:highlight w:val="none"/>
        </w:rPr>
        <w:t xml:space="preserve">  </w:t>
      </w:r>
      <w:r>
        <w:rPr>
          <w:rStyle w:val="63"/>
          <w:rFonts w:hint="eastAsia" w:asciiTheme="minorEastAsia" w:hAnsiTheme="minorEastAsia" w:eastAsiaTheme="minorEastAsia"/>
          <w:color w:val="auto"/>
          <w:highlight w:val="none"/>
        </w:rPr>
        <w:t>采购合同</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_Toc105060912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- 35 -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ind w:left="56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"_Toc105060913" </w:instrText>
      </w:r>
      <w:r>
        <w:rPr>
          <w:color w:val="auto"/>
          <w:highlight w:val="none"/>
        </w:rPr>
        <w:fldChar w:fldCharType="separate"/>
      </w:r>
      <w:r>
        <w:rPr>
          <w:rStyle w:val="63"/>
          <w:rFonts w:hint="eastAsia" w:asciiTheme="minorEastAsia" w:hAnsiTheme="minorEastAsia" w:eastAsiaTheme="minorEastAsia"/>
          <w:color w:val="auto"/>
          <w:highlight w:val="none"/>
        </w:rPr>
        <w:t>第七篇</w:t>
      </w:r>
      <w:r>
        <w:rPr>
          <w:rStyle w:val="63"/>
          <w:rFonts w:asciiTheme="minorEastAsia" w:hAnsiTheme="minorEastAsia" w:eastAsiaTheme="minorEastAsia"/>
          <w:color w:val="auto"/>
          <w:highlight w:val="none"/>
        </w:rPr>
        <w:t xml:space="preserve">  </w:t>
      </w:r>
      <w:r>
        <w:rPr>
          <w:rStyle w:val="63"/>
          <w:rFonts w:hint="eastAsia" w:asciiTheme="minorEastAsia" w:hAnsiTheme="minorEastAsia" w:eastAsiaTheme="minorEastAsia"/>
          <w:color w:val="auto"/>
          <w:highlight w:val="none"/>
        </w:rPr>
        <w:t>响应文件编制要求</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_Toc105060913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- 42 -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"_Toc105060914" </w:instrText>
      </w:r>
      <w:r>
        <w:rPr>
          <w:color w:val="auto"/>
          <w:highlight w:val="none"/>
        </w:rPr>
        <w:fldChar w:fldCharType="separate"/>
      </w:r>
      <w:r>
        <w:rPr>
          <w:rStyle w:val="63"/>
          <w:rFonts w:hint="eastAsia" w:asciiTheme="minorEastAsia" w:hAnsiTheme="minorEastAsia" w:eastAsiaTheme="minorEastAsia"/>
          <w:color w:val="auto"/>
          <w:highlight w:val="none"/>
        </w:rPr>
        <w:t>一、经济部分</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_Toc105060914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- 44 -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"_Toc105060915" </w:instrText>
      </w:r>
      <w:r>
        <w:rPr>
          <w:color w:val="auto"/>
          <w:highlight w:val="none"/>
        </w:rPr>
        <w:fldChar w:fldCharType="separate"/>
      </w:r>
      <w:r>
        <w:rPr>
          <w:rStyle w:val="63"/>
          <w:rFonts w:hint="eastAsia" w:asciiTheme="minorEastAsia" w:hAnsiTheme="minorEastAsia" w:eastAsiaTheme="minorEastAsia"/>
          <w:color w:val="auto"/>
          <w:highlight w:val="none"/>
        </w:rPr>
        <w:t>二、服务部分</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_Toc105060915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- 47 -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"_Toc105060916" </w:instrText>
      </w:r>
      <w:r>
        <w:rPr>
          <w:color w:val="auto"/>
          <w:highlight w:val="none"/>
        </w:rPr>
        <w:fldChar w:fldCharType="separate"/>
      </w:r>
      <w:r>
        <w:rPr>
          <w:rStyle w:val="63"/>
          <w:rFonts w:hint="eastAsia" w:asciiTheme="minorEastAsia" w:hAnsiTheme="minorEastAsia" w:eastAsiaTheme="minorEastAsia"/>
          <w:color w:val="auto"/>
          <w:highlight w:val="none"/>
        </w:rPr>
        <w:t>三、商务部分</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_Toc105060916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- 49 -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12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"_Toc105060917" </w:instrText>
      </w:r>
      <w:r>
        <w:rPr>
          <w:color w:val="auto"/>
          <w:highlight w:val="none"/>
        </w:rPr>
        <w:fldChar w:fldCharType="separate"/>
      </w:r>
      <w:r>
        <w:rPr>
          <w:rStyle w:val="63"/>
          <w:rFonts w:hint="eastAsia" w:asciiTheme="minorEastAsia" w:hAnsiTheme="minorEastAsia" w:eastAsiaTheme="minorEastAsia"/>
          <w:color w:val="auto"/>
          <w:highlight w:val="none"/>
        </w:rPr>
        <w:t>四、资格条件及其他</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_Toc105060917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- 52 -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29"/>
        <w:tabs>
          <w:tab w:val="right" w:leader="dot" w:pos="9402"/>
        </w:tabs>
        <w:ind w:left="1600" w:hanging="480"/>
        <w:rPr>
          <w:rFonts w:asciiTheme="minorEastAsia" w:hAnsiTheme="minorEastAsia" w:eastAsiaTheme="minorEastAsia"/>
          <w:color w:val="auto"/>
          <w:sz w:val="21"/>
          <w:szCs w:val="22"/>
          <w:highlight w:val="none"/>
        </w:rPr>
      </w:pPr>
      <w:r>
        <w:rPr>
          <w:color w:val="auto"/>
          <w:highlight w:val="none"/>
        </w:rPr>
        <w:fldChar w:fldCharType="begin"/>
      </w:r>
      <w:r>
        <w:rPr>
          <w:color w:val="auto"/>
          <w:highlight w:val="none"/>
        </w:rPr>
        <w:instrText xml:space="preserve"> HYPERLINK \l "_Toc105060918" </w:instrText>
      </w:r>
      <w:r>
        <w:rPr>
          <w:color w:val="auto"/>
          <w:highlight w:val="none"/>
        </w:rPr>
        <w:fldChar w:fldCharType="separate"/>
      </w:r>
      <w:r>
        <w:rPr>
          <w:rStyle w:val="63"/>
          <w:rFonts w:hint="eastAsia" w:asciiTheme="minorEastAsia" w:hAnsiTheme="minorEastAsia" w:eastAsiaTheme="minorEastAsia"/>
          <w:color w:val="auto"/>
          <w:highlight w:val="none"/>
        </w:rPr>
        <w:t>五、其他应提供的资料</w:t>
      </w:r>
      <w:r>
        <w:rPr>
          <w:rFonts w:asciiTheme="minorEastAsia" w:hAnsiTheme="minorEastAsia" w:eastAsiaTheme="minorEastAsia"/>
          <w:color w:val="auto"/>
          <w:highlight w:val="none"/>
        </w:rPr>
        <w:tab/>
      </w:r>
      <w:r>
        <w:rPr>
          <w:rFonts w:asciiTheme="minorEastAsia" w:hAnsiTheme="minorEastAsia" w:eastAsiaTheme="minorEastAsia"/>
          <w:color w:val="auto"/>
          <w:highlight w:val="none"/>
        </w:rPr>
        <w:fldChar w:fldCharType="begin"/>
      </w:r>
      <w:r>
        <w:rPr>
          <w:rFonts w:asciiTheme="minorEastAsia" w:hAnsiTheme="minorEastAsia" w:eastAsiaTheme="minorEastAsia"/>
          <w:color w:val="auto"/>
          <w:highlight w:val="none"/>
        </w:rPr>
        <w:instrText xml:space="preserve"> PAGEREF _Toc105060918 \h </w:instrText>
      </w:r>
      <w:r>
        <w:rPr>
          <w:rFonts w:asciiTheme="minorEastAsia" w:hAnsiTheme="minorEastAsia" w:eastAsiaTheme="minorEastAsia"/>
          <w:color w:val="auto"/>
          <w:highlight w:val="none"/>
        </w:rPr>
        <w:fldChar w:fldCharType="separate"/>
      </w:r>
      <w:r>
        <w:rPr>
          <w:rFonts w:asciiTheme="minorEastAsia" w:hAnsiTheme="minorEastAsia" w:eastAsiaTheme="minorEastAsia"/>
          <w:color w:val="auto"/>
          <w:highlight w:val="none"/>
        </w:rPr>
        <w:t>- 59 -</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fldChar w:fldCharType="end"/>
      </w:r>
    </w:p>
    <w:p>
      <w:pPr>
        <w:pStyle w:val="45"/>
        <w:tabs>
          <w:tab w:val="right" w:leader="dot" w:pos="9402"/>
        </w:tabs>
        <w:spacing w:line="360" w:lineRule="exact"/>
        <w:ind w:left="0" w:leftChars="0"/>
        <w:jc w:val="center"/>
        <w:rPr>
          <w:rFonts w:asciiTheme="minorEastAsia" w:hAnsiTheme="minorEastAsia" w:eastAsiaTheme="minorEastAsia"/>
          <w:color w:val="auto"/>
          <w:szCs w:val="28"/>
          <w:highlight w:val="none"/>
        </w:rPr>
        <w:sectPr>
          <w:headerReference r:id="rId9" w:type="first"/>
          <w:footerReference r:id="rId12" w:type="first"/>
          <w:headerReference r:id="rId8" w:type="default"/>
          <w:footerReference r:id="rId10" w:type="default"/>
          <w:footerReference r:id="rId11" w:type="even"/>
          <w:pgSz w:w="11907" w:h="16840"/>
          <w:pgMar w:top="1134" w:right="1191" w:bottom="1134" w:left="1304" w:header="851" w:footer="992" w:gutter="0"/>
          <w:pgNumType w:fmt="numberInDash" w:start="1"/>
          <w:cols w:space="720" w:num="1"/>
          <w:docGrid w:linePitch="380" w:charSpace="-5735"/>
        </w:sectPr>
      </w:pPr>
      <w:r>
        <w:rPr>
          <w:rFonts w:hint="eastAsia" w:asciiTheme="minorEastAsia" w:hAnsiTheme="minorEastAsia" w:eastAsiaTheme="minorEastAsia"/>
          <w:color w:val="auto"/>
          <w:sz w:val="24"/>
          <w:szCs w:val="24"/>
          <w:highlight w:val="none"/>
        </w:rPr>
        <w:fldChar w:fldCharType="end"/>
      </w:r>
    </w:p>
    <w:p>
      <w:pPr>
        <w:pStyle w:val="3"/>
        <w:spacing w:before="0" w:after="0" w:line="560" w:lineRule="exact"/>
        <w:jc w:val="center"/>
        <w:rPr>
          <w:rFonts w:asciiTheme="minorEastAsia" w:hAnsiTheme="minorEastAsia" w:eastAsiaTheme="minorEastAsia"/>
          <w:b/>
          <w:bCs/>
          <w:color w:val="auto"/>
          <w:sz w:val="44"/>
          <w:szCs w:val="44"/>
          <w:highlight w:val="none"/>
        </w:rPr>
      </w:pPr>
      <w:bookmarkStart w:id="1" w:name="_Toc105060879"/>
      <w:bookmarkStart w:id="2" w:name="_Toc11641050"/>
      <w:bookmarkStart w:id="3" w:name="_Toc12789052"/>
      <w:r>
        <w:rPr>
          <w:rFonts w:hint="eastAsia" w:asciiTheme="minorEastAsia" w:hAnsiTheme="minorEastAsia" w:eastAsiaTheme="minorEastAsia"/>
          <w:b/>
          <w:bCs/>
          <w:color w:val="auto"/>
          <w:sz w:val="44"/>
          <w:szCs w:val="44"/>
          <w:highlight w:val="none"/>
        </w:rPr>
        <w:t>第一篇  采购邀请书</w:t>
      </w:r>
      <w:bookmarkEnd w:id="1"/>
      <w:bookmarkEnd w:id="2"/>
      <w:bookmarkEnd w:id="3"/>
    </w:p>
    <w:p>
      <w:pPr>
        <w:spacing w:line="276"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 </w:t>
      </w:r>
      <w:r>
        <w:rPr>
          <w:rFonts w:asciiTheme="minorEastAsia" w:hAnsiTheme="minorEastAsia" w:eastAsiaTheme="minorEastAsia"/>
          <w:color w:val="auto"/>
          <w:szCs w:val="28"/>
          <w:highlight w:val="none"/>
        </w:rPr>
        <w:t xml:space="preserve">   </w:t>
      </w:r>
      <w:r>
        <w:rPr>
          <w:rFonts w:hint="eastAsia" w:asciiTheme="minorEastAsia" w:hAnsiTheme="minorEastAsia" w:eastAsiaTheme="minorEastAsia"/>
          <w:color w:val="auto"/>
          <w:szCs w:val="28"/>
          <w:highlight w:val="none"/>
        </w:rPr>
        <w:t>重庆医科大学对“</w:t>
      </w:r>
      <w:r>
        <w:rPr>
          <w:rFonts w:hint="eastAsia" w:asciiTheme="minorEastAsia" w:hAnsiTheme="minorEastAsia" w:eastAsiaTheme="minorEastAsia"/>
          <w:color w:val="auto"/>
          <w:szCs w:val="28"/>
          <w:highlight w:val="none"/>
          <w:lang w:eastAsia="zh-CN"/>
        </w:rPr>
        <w:t>重庆医科大学基于知识图谱的《生理学》线上互动课程资源建设</w:t>
      </w:r>
      <w:r>
        <w:rPr>
          <w:rFonts w:hint="eastAsia" w:asciiTheme="minorEastAsia" w:hAnsiTheme="minorEastAsia" w:eastAsiaTheme="minorEastAsia"/>
          <w:color w:val="auto"/>
          <w:szCs w:val="28"/>
          <w:highlight w:val="none"/>
        </w:rPr>
        <w:t>”进行竞争性磋商采购。欢迎有资格的供应商前来参与磋商。</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4" w:name="_Toc313893526"/>
      <w:bookmarkStart w:id="5" w:name="_Toc105060880"/>
      <w:bookmarkStart w:id="6" w:name="_Toc317775175"/>
      <w:r>
        <w:rPr>
          <w:rFonts w:hint="eastAsia" w:asciiTheme="minorEastAsia" w:hAnsiTheme="minorEastAsia" w:eastAsiaTheme="minorEastAsia"/>
          <w:bCs/>
          <w:color w:val="auto"/>
          <w:sz w:val="28"/>
          <w:szCs w:val="28"/>
          <w:highlight w:val="none"/>
        </w:rPr>
        <w:t>一、竞争性磋商内容</w:t>
      </w:r>
      <w:bookmarkEnd w:id="4"/>
      <w:bookmarkEnd w:id="5"/>
      <w:bookmarkEnd w:id="6"/>
    </w:p>
    <w:tbl>
      <w:tblPr>
        <w:tblStyle w:val="57"/>
        <w:tblW w:w="47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65"/>
        <w:gridCol w:w="2454"/>
        <w:gridCol w:w="2154"/>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805" w:type="pct"/>
            <w:tcBorders>
              <w:top w:val="single" w:color="auto" w:sz="4" w:space="0"/>
              <w:left w:val="single" w:color="auto" w:sz="4" w:space="0"/>
              <w:right w:val="single" w:color="auto" w:sz="4" w:space="0"/>
            </w:tcBorders>
            <w:vAlign w:val="center"/>
          </w:tcPr>
          <w:p>
            <w:pPr>
              <w:widowControl/>
              <w:spacing w:line="560" w:lineRule="exact"/>
              <w:jc w:val="center"/>
              <w:rPr>
                <w:rFonts w:cs="宋体" w:asciiTheme="minorEastAsia" w:hAnsiTheme="minorEastAsia" w:eastAsiaTheme="minorEastAsia"/>
                <w:bCs/>
                <w:color w:val="auto"/>
                <w:kern w:val="0"/>
                <w:szCs w:val="28"/>
                <w:highlight w:val="none"/>
              </w:rPr>
            </w:pPr>
            <w:r>
              <w:rPr>
                <w:rFonts w:hint="eastAsia" w:cs="宋体" w:asciiTheme="minorEastAsia" w:hAnsiTheme="minorEastAsia" w:eastAsiaTheme="minorEastAsia"/>
                <w:bCs/>
                <w:color w:val="auto"/>
                <w:kern w:val="0"/>
                <w:szCs w:val="28"/>
                <w:highlight w:val="none"/>
              </w:rPr>
              <w:t>项目名称</w:t>
            </w:r>
          </w:p>
        </w:tc>
        <w:tc>
          <w:tcPr>
            <w:tcW w:w="1399" w:type="pct"/>
            <w:tcBorders>
              <w:top w:val="single" w:color="auto" w:sz="4" w:space="0"/>
              <w:left w:val="single" w:color="auto" w:sz="4" w:space="0"/>
              <w:right w:val="single" w:color="auto" w:sz="4" w:space="0"/>
            </w:tcBorders>
          </w:tcPr>
          <w:p>
            <w:pPr>
              <w:spacing w:line="560" w:lineRule="exact"/>
              <w:jc w:val="center"/>
              <w:rPr>
                <w:rFonts w:cs="宋体" w:asciiTheme="minorEastAsia" w:hAnsiTheme="minorEastAsia" w:eastAsiaTheme="minorEastAsia"/>
                <w:bCs/>
                <w:color w:val="auto"/>
                <w:kern w:val="0"/>
                <w:szCs w:val="28"/>
                <w:highlight w:val="none"/>
              </w:rPr>
            </w:pPr>
            <w:r>
              <w:rPr>
                <w:rFonts w:hint="eastAsia" w:cs="宋体" w:asciiTheme="minorEastAsia" w:hAnsiTheme="minorEastAsia" w:eastAsiaTheme="minorEastAsia"/>
                <w:bCs/>
                <w:color w:val="auto"/>
                <w:kern w:val="0"/>
                <w:szCs w:val="28"/>
                <w:highlight w:val="none"/>
              </w:rPr>
              <w:t>最高限价（万元）</w:t>
            </w:r>
          </w:p>
        </w:tc>
        <w:tc>
          <w:tcPr>
            <w:tcW w:w="1228" w:type="pct"/>
            <w:tcBorders>
              <w:top w:val="single" w:color="auto" w:sz="4" w:space="0"/>
              <w:left w:val="single" w:color="auto" w:sz="4" w:space="0"/>
              <w:right w:val="single" w:color="auto" w:sz="4" w:space="0"/>
            </w:tcBorders>
            <w:vAlign w:val="center"/>
          </w:tcPr>
          <w:p>
            <w:pPr>
              <w:spacing w:line="560" w:lineRule="exact"/>
              <w:jc w:val="center"/>
              <w:rPr>
                <w:rFonts w:cs="宋体" w:asciiTheme="minorEastAsia" w:hAnsiTheme="minorEastAsia" w:eastAsiaTheme="minorEastAsia"/>
                <w:bCs/>
                <w:color w:val="auto"/>
                <w:kern w:val="0"/>
                <w:szCs w:val="28"/>
                <w:highlight w:val="none"/>
              </w:rPr>
            </w:pPr>
            <w:r>
              <w:rPr>
                <w:rFonts w:hint="eastAsia" w:cs="宋体" w:asciiTheme="minorEastAsia" w:hAnsiTheme="minorEastAsia" w:eastAsiaTheme="minorEastAsia"/>
                <w:bCs/>
                <w:color w:val="auto"/>
                <w:kern w:val="0"/>
                <w:szCs w:val="28"/>
                <w:highlight w:val="none"/>
              </w:rPr>
              <w:t>保证金（万元）</w:t>
            </w:r>
          </w:p>
        </w:tc>
        <w:tc>
          <w:tcPr>
            <w:tcW w:w="568" w:type="pct"/>
            <w:tcBorders>
              <w:top w:val="single" w:color="auto" w:sz="4" w:space="0"/>
              <w:left w:val="single" w:color="auto" w:sz="4" w:space="0"/>
              <w:right w:val="single" w:color="auto" w:sz="4" w:space="0"/>
            </w:tcBorders>
          </w:tcPr>
          <w:p>
            <w:pPr>
              <w:spacing w:line="560" w:lineRule="exact"/>
              <w:jc w:val="center"/>
              <w:rPr>
                <w:rFonts w:cs="宋体" w:asciiTheme="minorEastAsia" w:hAnsiTheme="minorEastAsia" w:eastAsiaTheme="minorEastAsia"/>
                <w:bCs/>
                <w:color w:val="auto"/>
                <w:kern w:val="0"/>
                <w:szCs w:val="28"/>
                <w:highlight w:val="none"/>
              </w:rPr>
            </w:pPr>
            <w:r>
              <w:rPr>
                <w:rFonts w:hint="eastAsia" w:cs="宋体" w:asciiTheme="minorEastAsia" w:hAnsiTheme="minorEastAsia" w:eastAsiaTheme="minorEastAsia"/>
                <w:bCs/>
                <w:color w:val="auto"/>
                <w:kern w:val="0"/>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3" w:hRule="atLeast"/>
          <w:jc w:val="center"/>
        </w:trPr>
        <w:tc>
          <w:tcPr>
            <w:tcW w:w="1805" w:type="pct"/>
            <w:tcBorders>
              <w:top w:val="single" w:color="auto" w:sz="4" w:space="0"/>
              <w:left w:val="single" w:color="auto" w:sz="4" w:space="0"/>
              <w:right w:val="single" w:color="auto" w:sz="4" w:space="0"/>
            </w:tcBorders>
            <w:vAlign w:val="center"/>
          </w:tcPr>
          <w:p>
            <w:pPr>
              <w:widowControl/>
              <w:ind w:right="-73" w:rightChars="-26"/>
              <w:jc w:val="center"/>
              <w:rPr>
                <w:rFonts w:cs="宋体" w:asciiTheme="minorEastAsia" w:hAnsiTheme="minorEastAsia" w:eastAsiaTheme="minorEastAsia"/>
                <w:color w:val="auto"/>
                <w:kern w:val="0"/>
                <w:sz w:val="24"/>
                <w:szCs w:val="24"/>
                <w:highlight w:val="none"/>
              </w:rPr>
            </w:pPr>
            <w:bookmarkStart w:id="7" w:name="_Hlk344477914"/>
            <w:r>
              <w:rPr>
                <w:rFonts w:hint="eastAsia" w:cs="宋体" w:asciiTheme="minorEastAsia" w:hAnsiTheme="minorEastAsia" w:eastAsiaTheme="minorEastAsia"/>
                <w:color w:val="auto"/>
                <w:kern w:val="0"/>
                <w:sz w:val="24"/>
                <w:szCs w:val="24"/>
                <w:highlight w:val="none"/>
              </w:rPr>
              <w:t>重庆医科大学基于知识图谱的《生理学》线上互动课程资源建设</w:t>
            </w:r>
          </w:p>
        </w:tc>
        <w:tc>
          <w:tcPr>
            <w:tcW w:w="1399" w:type="pct"/>
            <w:tcBorders>
              <w:top w:val="single" w:color="auto" w:sz="4" w:space="0"/>
              <w:left w:val="single" w:color="auto" w:sz="4" w:space="0"/>
              <w:right w:val="single" w:color="auto" w:sz="4" w:space="0"/>
            </w:tcBorders>
            <w:vAlign w:val="center"/>
          </w:tcPr>
          <w:p>
            <w:pPr>
              <w:widowControl/>
              <w:spacing w:line="560" w:lineRule="exact"/>
              <w:jc w:val="center"/>
              <w:rPr>
                <w:rFonts w:cs="宋体" w:asciiTheme="minorEastAsia" w:hAnsiTheme="minorEastAsia" w:eastAsiaTheme="minorEastAsia"/>
                <w:color w:val="auto"/>
                <w:kern w:val="0"/>
                <w:sz w:val="24"/>
                <w:szCs w:val="24"/>
                <w:highlight w:val="none"/>
              </w:rPr>
            </w:pPr>
            <w:r>
              <w:rPr>
                <w:rFonts w:hint="eastAsia" w:cs="宋体" w:asciiTheme="minorEastAsia" w:hAnsiTheme="minorEastAsia" w:eastAsiaTheme="minorEastAsia"/>
                <w:color w:val="auto"/>
                <w:kern w:val="0"/>
                <w:sz w:val="24"/>
                <w:szCs w:val="24"/>
                <w:highlight w:val="none"/>
              </w:rPr>
              <w:t>2</w:t>
            </w:r>
            <w:r>
              <w:rPr>
                <w:rFonts w:cs="宋体" w:asciiTheme="minorEastAsia" w:hAnsiTheme="minorEastAsia" w:eastAsiaTheme="minorEastAsia"/>
                <w:color w:val="auto"/>
                <w:kern w:val="0"/>
                <w:sz w:val="24"/>
                <w:szCs w:val="24"/>
                <w:highlight w:val="none"/>
              </w:rPr>
              <w:t>5</w:t>
            </w:r>
          </w:p>
        </w:tc>
        <w:tc>
          <w:tcPr>
            <w:tcW w:w="1228" w:type="pct"/>
            <w:tcBorders>
              <w:top w:val="single" w:color="auto" w:sz="4" w:space="0"/>
              <w:left w:val="single" w:color="auto" w:sz="4" w:space="0"/>
              <w:right w:val="single" w:color="auto" w:sz="4" w:space="0"/>
            </w:tcBorders>
            <w:vAlign w:val="center"/>
          </w:tcPr>
          <w:p>
            <w:pPr>
              <w:spacing w:line="560" w:lineRule="exac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0.5</w:t>
            </w:r>
          </w:p>
        </w:tc>
        <w:tc>
          <w:tcPr>
            <w:tcW w:w="568" w:type="pct"/>
            <w:tcBorders>
              <w:top w:val="single" w:color="auto" w:sz="4" w:space="0"/>
              <w:left w:val="single" w:color="auto" w:sz="4" w:space="0"/>
              <w:right w:val="single" w:color="auto" w:sz="4" w:space="0"/>
            </w:tcBorders>
            <w:vAlign w:val="center"/>
          </w:tcPr>
          <w:p>
            <w:pPr>
              <w:spacing w:line="560" w:lineRule="exact"/>
              <w:jc w:val="center"/>
              <w:rPr>
                <w:rFonts w:asciiTheme="minorEastAsia" w:hAnsiTheme="minorEastAsia" w:eastAsiaTheme="minorEastAsia"/>
                <w:color w:val="auto"/>
                <w:sz w:val="24"/>
                <w:szCs w:val="24"/>
                <w:highlight w:val="none"/>
              </w:rPr>
            </w:pPr>
          </w:p>
        </w:tc>
      </w:tr>
      <w:bookmarkEnd w:id="7"/>
    </w:tbl>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8" w:name="_Toc105060881"/>
      <w:bookmarkStart w:id="9" w:name="_Toc373860293"/>
      <w:bookmarkStart w:id="10" w:name="_Toc317775178"/>
      <w:r>
        <w:rPr>
          <w:rFonts w:hint="eastAsia" w:asciiTheme="minorEastAsia" w:hAnsiTheme="minorEastAsia" w:eastAsiaTheme="minorEastAsia"/>
          <w:bCs/>
          <w:color w:val="auto"/>
          <w:sz w:val="28"/>
          <w:szCs w:val="28"/>
          <w:highlight w:val="none"/>
        </w:rPr>
        <w:t>二、资金来源</w:t>
      </w:r>
      <w:bookmarkEnd w:id="8"/>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学校自筹，资金已到位。</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11" w:name="_Toc105060882"/>
      <w:r>
        <w:rPr>
          <w:rFonts w:hint="eastAsia" w:asciiTheme="minorEastAsia" w:hAnsiTheme="minorEastAsia" w:eastAsiaTheme="minorEastAsia"/>
          <w:bCs/>
          <w:color w:val="auto"/>
          <w:sz w:val="28"/>
          <w:szCs w:val="28"/>
          <w:highlight w:val="none"/>
        </w:rPr>
        <w:t>三、供应商资格条件</w:t>
      </w:r>
      <w:bookmarkEnd w:id="11"/>
    </w:p>
    <w:p>
      <w:pPr>
        <w:spacing w:line="276" w:lineRule="auto"/>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供应商是指向采购人提供服务或者货物的法人、其他组织或者自然人。合格的供应商应首先符合政府采购法第二十二条规定的基本资格条件，同时符合根据该项目特殊要求设置的特定资格条件（如果有）。</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（一）基本资格条件</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1.具有独立承担民事责任的能力；</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2.具有良好的商业信誉和健全的财务会计制度；</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3.具有履行合同所必需的设备和专业技术能力；</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4.有依法缴纳税收和社会保障资金的良好记录；</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5.参加政府采购活动前三年内，在经营活动中没有重大违法记录；</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6.法律、行政法规规定的其他条件。</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12" w:name="_Toc105060883"/>
      <w:r>
        <w:rPr>
          <w:rFonts w:hint="eastAsia" w:asciiTheme="minorEastAsia" w:hAnsiTheme="minorEastAsia" w:eastAsiaTheme="minorEastAsia"/>
          <w:bCs/>
          <w:color w:val="auto"/>
          <w:sz w:val="28"/>
          <w:szCs w:val="28"/>
          <w:highlight w:val="none"/>
        </w:rPr>
        <w:t>四、磋商有关说明</w:t>
      </w:r>
      <w:bookmarkEnd w:id="9"/>
      <w:bookmarkEnd w:id="12"/>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（一）根据《重庆市财政局关于印发〈重庆市政府采购供应商注册及诚信管理暂行办法〉的通知》（渝财采购〔</w:t>
      </w:r>
      <w:r>
        <w:rPr>
          <w:rFonts w:asciiTheme="minorEastAsia" w:hAnsiTheme="minorEastAsia" w:eastAsiaTheme="minorEastAsia"/>
          <w:color w:val="auto"/>
          <w:szCs w:val="28"/>
          <w:highlight w:val="none"/>
        </w:rPr>
        <w:t>2015</w:t>
      </w: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45</w:t>
      </w:r>
      <w:r>
        <w:rPr>
          <w:rFonts w:hint="eastAsia" w:asciiTheme="minorEastAsia" w:hAnsiTheme="minorEastAsia" w:eastAsiaTheme="minorEastAsia"/>
          <w:color w:val="auto"/>
          <w:szCs w:val="28"/>
          <w:highlight w:val="none"/>
        </w:rPr>
        <w:t>号）规定，供应商应按要求进行注册，“行采家”平台（www.gec123.com），登记加入“行采家供应商库”。</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（二）凡有意参加磋商的供应商，请于公告发布之日</w:t>
      </w:r>
      <w:r>
        <w:rPr>
          <w:rFonts w:hint="eastAsia" w:asciiTheme="minorEastAsia" w:hAnsiTheme="minorEastAsia" w:eastAsiaTheme="minorEastAsia"/>
          <w:color w:val="auto"/>
          <w:szCs w:val="28"/>
          <w:highlight w:val="none"/>
        </w:rPr>
        <w:t>（202</w:t>
      </w:r>
      <w:r>
        <w:rPr>
          <w:rFonts w:hint="default" w:asciiTheme="minorEastAsia" w:hAnsiTheme="minorEastAsia" w:eastAsiaTheme="minorEastAsia"/>
          <w:color w:val="auto"/>
          <w:szCs w:val="28"/>
          <w:highlight w:val="none"/>
          <w:lang w:val="en-US"/>
        </w:rPr>
        <w:t>3</w:t>
      </w:r>
      <w:r>
        <w:rPr>
          <w:rFonts w:hint="eastAsia" w:asciiTheme="minorEastAsia" w:hAnsiTheme="minorEastAsia" w:eastAsiaTheme="minorEastAsia"/>
          <w:color w:val="auto"/>
          <w:szCs w:val="28"/>
          <w:highlight w:val="none"/>
        </w:rPr>
        <w:t>年</w:t>
      </w:r>
      <w:r>
        <w:rPr>
          <w:rFonts w:hint="eastAsia" w:asciiTheme="minorEastAsia" w:hAnsiTheme="minorEastAsia" w:eastAsiaTheme="minorEastAsia"/>
          <w:color w:val="auto"/>
          <w:szCs w:val="28"/>
          <w:highlight w:val="none"/>
          <w:lang w:val="en-US" w:eastAsia="zh-CN"/>
        </w:rPr>
        <w:t>7</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5日</w:t>
      </w:r>
      <w:r>
        <w:rPr>
          <w:rFonts w:hint="eastAsia"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rPr>
        <w:t>起至提交首次响应文件截止时间之前，在重庆医科大学校园网上（主页-服务大厅-招投标信息）下载本项目竞争性磋商文件以及图纸、补遗等磋商前公布的所有项目资料，无论供应商下载与否，均视为已知晓所有磋商实质性要求内容。</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lang w:eastAsia="zh-CN"/>
        </w:rPr>
        <w:t>（</w:t>
      </w:r>
      <w:r>
        <w:rPr>
          <w:rFonts w:hint="eastAsia" w:asciiTheme="minorEastAsia" w:hAnsiTheme="minorEastAsia" w:eastAsiaTheme="minorEastAsia"/>
          <w:color w:val="auto"/>
          <w:szCs w:val="28"/>
          <w:highlight w:val="none"/>
          <w:lang w:val="en-US" w:eastAsia="zh-CN"/>
        </w:rPr>
        <w:t>三</w:t>
      </w:r>
      <w:r>
        <w:rPr>
          <w:rFonts w:hint="eastAsia" w:asciiTheme="minorEastAsia" w:hAnsiTheme="minorEastAsia" w:eastAsiaTheme="minorEastAsia"/>
          <w:color w:val="auto"/>
          <w:szCs w:val="28"/>
          <w:highlight w:val="none"/>
          <w:lang w:eastAsia="zh-CN"/>
        </w:rPr>
        <w:t>）</w:t>
      </w:r>
      <w:r>
        <w:rPr>
          <w:rFonts w:hint="eastAsia" w:asciiTheme="minorEastAsia" w:hAnsiTheme="minorEastAsia" w:eastAsiaTheme="minorEastAsia"/>
          <w:color w:val="auto"/>
          <w:szCs w:val="28"/>
          <w:highlight w:val="none"/>
        </w:rPr>
        <w:t>报名方式</w:t>
      </w:r>
    </w:p>
    <w:p>
      <w:pPr>
        <w:spacing w:line="560" w:lineRule="exact"/>
        <w:ind w:firstLine="560" w:firstLineChars="200"/>
        <w:rPr>
          <w:rFonts w:hint="eastAsia" w:asciiTheme="minorEastAsia" w:hAnsiTheme="minorEastAsia" w:eastAsiaTheme="minorEastAsia"/>
          <w:color w:val="auto"/>
          <w:szCs w:val="28"/>
          <w:highlight w:val="none"/>
        </w:rPr>
      </w:pPr>
      <w:bookmarkStart w:id="13" w:name="_Toc525047161"/>
      <w:bookmarkStart w:id="14" w:name="_Toc535312134"/>
      <w:bookmarkStart w:id="15" w:name="_Toc521053053"/>
      <w:r>
        <w:rPr>
          <w:rFonts w:hint="eastAsia" w:asciiTheme="minorEastAsia" w:hAnsiTheme="minorEastAsia" w:eastAsiaTheme="minorEastAsia"/>
          <w:color w:val="auto"/>
          <w:szCs w:val="28"/>
          <w:highlight w:val="none"/>
        </w:rPr>
        <w:t>1.报名期限：</w:t>
      </w:r>
      <w:r>
        <w:rPr>
          <w:rFonts w:hint="eastAsia" w:asciiTheme="minorEastAsia" w:hAnsiTheme="minorEastAsia" w:eastAsiaTheme="minorEastAsia"/>
          <w:color w:val="auto"/>
          <w:szCs w:val="28"/>
          <w:highlight w:val="none"/>
        </w:rPr>
        <w:t>2023年</w:t>
      </w:r>
      <w:r>
        <w:rPr>
          <w:rFonts w:hint="eastAsia" w:asciiTheme="minorEastAsia" w:hAnsiTheme="minorEastAsia" w:eastAsiaTheme="minorEastAsia"/>
          <w:color w:val="auto"/>
          <w:szCs w:val="28"/>
          <w:highlight w:val="none"/>
          <w:lang w:val="en-US" w:eastAsia="zh-CN"/>
        </w:rPr>
        <w:t>7</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5</w:t>
      </w:r>
      <w:r>
        <w:rPr>
          <w:rFonts w:hint="eastAsia" w:asciiTheme="minorEastAsia" w:hAnsiTheme="minorEastAsia" w:eastAsiaTheme="minorEastAsia"/>
          <w:color w:val="auto"/>
          <w:szCs w:val="28"/>
          <w:highlight w:val="none"/>
        </w:rPr>
        <w:t>日9：00至2023年</w:t>
      </w:r>
      <w:r>
        <w:rPr>
          <w:rFonts w:hint="eastAsia" w:asciiTheme="minorEastAsia" w:hAnsiTheme="minorEastAsia" w:eastAsiaTheme="minorEastAsia"/>
          <w:color w:val="auto"/>
          <w:szCs w:val="28"/>
          <w:highlight w:val="none"/>
          <w:lang w:val="en-US" w:eastAsia="zh-CN"/>
        </w:rPr>
        <w:t>7</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11</w:t>
      </w:r>
      <w:r>
        <w:rPr>
          <w:rFonts w:hint="eastAsia" w:asciiTheme="minorEastAsia" w:hAnsiTheme="minorEastAsia" w:eastAsiaTheme="minorEastAsia"/>
          <w:color w:val="auto"/>
          <w:szCs w:val="28"/>
          <w:highlight w:val="none"/>
        </w:rPr>
        <w:t>日17:00</w:t>
      </w:r>
      <w:r>
        <w:rPr>
          <w:rFonts w:hint="eastAsia" w:asciiTheme="minorEastAsia" w:hAnsiTheme="minorEastAsia" w:eastAsiaTheme="minorEastAsia"/>
          <w:color w:val="auto"/>
          <w:szCs w:val="28"/>
          <w:highlight w:val="none"/>
        </w:rPr>
        <w:t>（法定公休日、法定节假日除外）</w:t>
      </w:r>
    </w:p>
    <w:p>
      <w:pPr>
        <w:spacing w:line="560" w:lineRule="exact"/>
        <w:ind w:firstLine="560" w:firstLineChars="200"/>
        <w:rPr>
          <w:rFonts w:hint="eastAsia"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2.在报名期限内，投标人将保证金汇款凭证（注明采购计划编号、采购项目名称）、供应商名称及地址、联系人姓名及联系方式、电子邮箱地址等相关信息，</w:t>
      </w:r>
      <w:r>
        <w:rPr>
          <w:rFonts w:hint="eastAsia" w:asciiTheme="minorEastAsia" w:hAnsiTheme="minorEastAsia" w:eastAsiaTheme="minorEastAsia"/>
          <w:color w:val="auto"/>
          <w:szCs w:val="28"/>
          <w:highlight w:val="none"/>
        </w:rPr>
        <w:fldChar w:fldCharType="begin"/>
      </w:r>
      <w:r>
        <w:rPr>
          <w:rFonts w:hint="eastAsia" w:asciiTheme="minorEastAsia" w:hAnsiTheme="minorEastAsia" w:eastAsiaTheme="minorEastAsia"/>
          <w:color w:val="auto"/>
          <w:szCs w:val="28"/>
          <w:highlight w:val="none"/>
        </w:rPr>
        <w:instrText xml:space="preserve"> HYPERLINK "mailto:在报名截止时间前发送至359781294@qq.com" </w:instrText>
      </w:r>
      <w:r>
        <w:rPr>
          <w:rFonts w:hint="eastAsia" w:asciiTheme="minorEastAsia" w:hAnsiTheme="minorEastAsia" w:eastAsiaTheme="minorEastAsia"/>
          <w:color w:val="auto"/>
          <w:szCs w:val="28"/>
          <w:highlight w:val="none"/>
        </w:rPr>
        <w:fldChar w:fldCharType="separate"/>
      </w:r>
      <w:r>
        <w:rPr>
          <w:rFonts w:hint="eastAsia" w:asciiTheme="minorEastAsia" w:hAnsiTheme="minorEastAsia" w:eastAsiaTheme="minorEastAsia"/>
          <w:color w:val="auto"/>
          <w:szCs w:val="28"/>
          <w:highlight w:val="none"/>
        </w:rPr>
        <w:t>在报名截止时间前发送至359781294@qq.com</w:t>
      </w:r>
      <w:r>
        <w:rPr>
          <w:rFonts w:hint="eastAsia" w:asciiTheme="minorEastAsia" w:hAnsiTheme="minorEastAsia" w:eastAsiaTheme="minorEastAsia"/>
          <w:color w:val="auto"/>
          <w:szCs w:val="28"/>
          <w:highlight w:val="none"/>
        </w:rPr>
        <w:fldChar w:fldCharType="end"/>
      </w:r>
      <w:r>
        <w:rPr>
          <w:rFonts w:hint="eastAsia" w:asciiTheme="minorEastAsia" w:hAnsiTheme="minorEastAsia" w:eastAsiaTheme="minorEastAsia"/>
          <w:color w:val="auto"/>
          <w:szCs w:val="28"/>
          <w:highlight w:val="none"/>
        </w:rPr>
        <w:t>邮箱。只有在规定时间内发送了报名信息的供应商的响应文件才被接收。</w:t>
      </w:r>
    </w:p>
    <w:p>
      <w:pPr>
        <w:spacing w:line="560" w:lineRule="exact"/>
        <w:ind w:firstLine="560" w:firstLineChars="200"/>
        <w:rPr>
          <w:rFonts w:hint="eastAsia"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3.收到报名信息后，我校将为其办理进校备案，只有办理了备案的人员才能进入学校。</w:t>
      </w:r>
    </w:p>
    <w:p>
      <w:pPr>
        <w:spacing w:line="560" w:lineRule="exact"/>
        <w:ind w:firstLine="560" w:firstLineChars="200"/>
        <w:rPr>
          <w:rFonts w:hint="eastAsia"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（四）供应商须满足以下三种要件，其响应文件才被接受：</w:t>
      </w:r>
    </w:p>
    <w:p>
      <w:pPr>
        <w:spacing w:line="560" w:lineRule="exact"/>
        <w:ind w:firstLine="560" w:firstLineChars="200"/>
        <w:rPr>
          <w:rFonts w:hint="eastAsia"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1、按时递交了响应文件；</w:t>
      </w:r>
    </w:p>
    <w:p>
      <w:pPr>
        <w:spacing w:line="560" w:lineRule="exact"/>
        <w:ind w:firstLine="560" w:firstLineChars="200"/>
        <w:rPr>
          <w:rFonts w:hint="eastAsia"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2、按时报名签到；</w:t>
      </w:r>
    </w:p>
    <w:p>
      <w:pPr>
        <w:spacing w:line="560" w:lineRule="exact"/>
        <w:ind w:firstLine="560" w:firstLineChars="200"/>
        <w:rPr>
          <w:rFonts w:hint="eastAsia"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3、缴纳了“</w:t>
      </w:r>
      <w:r>
        <w:rPr>
          <w:rFonts w:hint="eastAsia" w:asciiTheme="minorEastAsia" w:hAnsiTheme="minorEastAsia" w:eastAsiaTheme="minorEastAsia"/>
          <w:color w:val="auto"/>
          <w:szCs w:val="28"/>
          <w:highlight w:val="none"/>
          <w:lang w:eastAsia="zh-CN"/>
        </w:rPr>
        <w:t>重庆医科大学基于知识图谱的《生理学》线上互动课程资源建设设</w:t>
      </w:r>
      <w:r>
        <w:rPr>
          <w:rFonts w:hint="eastAsia" w:asciiTheme="minorEastAsia" w:hAnsiTheme="minorEastAsia" w:eastAsiaTheme="minorEastAsia"/>
          <w:color w:val="auto"/>
          <w:szCs w:val="28"/>
          <w:highlight w:val="none"/>
        </w:rPr>
        <w:t>”项目保证金；</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lang w:val="en-US" w:eastAsia="zh-CN"/>
        </w:rPr>
        <w:t>五</w:t>
      </w:r>
      <w:r>
        <w:rPr>
          <w:rFonts w:hint="eastAsia" w:asciiTheme="minorEastAsia" w:hAnsiTheme="minorEastAsia" w:eastAsiaTheme="minorEastAsia"/>
          <w:color w:val="auto"/>
          <w:szCs w:val="28"/>
          <w:highlight w:val="none"/>
        </w:rPr>
        <w:t>）磋商地点：重庆医科大学袁家岗校区北教学楼136室</w:t>
      </w:r>
    </w:p>
    <w:p>
      <w:pPr>
        <w:spacing w:line="560" w:lineRule="exact"/>
        <w:ind w:firstLine="560" w:firstLineChars="200"/>
        <w:rPr>
          <w:rFonts w:hint="default" w:asciiTheme="minorEastAsia" w:hAnsiTheme="minorEastAsia" w:eastAsiaTheme="minorEastAsia"/>
          <w:color w:val="auto"/>
          <w:szCs w:val="28"/>
          <w:highlight w:val="none"/>
          <w:lang w:val="en-US" w:eastAsia="zh-CN"/>
        </w:rPr>
      </w:pPr>
      <w:r>
        <w:rPr>
          <w:rFonts w:hint="eastAsia"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lang w:val="en-US" w:eastAsia="zh-CN"/>
        </w:rPr>
        <w:t>六</w:t>
      </w:r>
      <w:r>
        <w:rPr>
          <w:rFonts w:hint="eastAsia" w:asciiTheme="minorEastAsia" w:hAnsiTheme="minorEastAsia" w:eastAsiaTheme="minorEastAsia"/>
          <w:color w:val="auto"/>
          <w:szCs w:val="28"/>
          <w:highlight w:val="none"/>
        </w:rPr>
        <w:t>）提交响应文件开始时间：</w:t>
      </w:r>
      <w:r>
        <w:rPr>
          <w:rFonts w:hint="eastAsia" w:asciiTheme="minorEastAsia" w:hAnsiTheme="minorEastAsia" w:eastAsiaTheme="minorEastAsia"/>
          <w:color w:val="auto"/>
          <w:szCs w:val="28"/>
          <w:highlight w:val="none"/>
        </w:rPr>
        <w:t>202</w:t>
      </w:r>
      <w:r>
        <w:rPr>
          <w:rFonts w:hint="eastAsia" w:asciiTheme="minorEastAsia" w:hAnsiTheme="minorEastAsia" w:eastAsiaTheme="minorEastAsia"/>
          <w:color w:val="auto"/>
          <w:szCs w:val="28"/>
          <w:highlight w:val="none"/>
          <w:lang w:val="en-US" w:eastAsia="zh-CN"/>
        </w:rPr>
        <w:t>3</w:t>
      </w:r>
      <w:r>
        <w:rPr>
          <w:rFonts w:hint="eastAsia" w:asciiTheme="minorEastAsia" w:hAnsiTheme="minorEastAsia" w:eastAsiaTheme="minorEastAsia"/>
          <w:color w:val="auto"/>
          <w:szCs w:val="28"/>
          <w:highlight w:val="none"/>
        </w:rPr>
        <w:t>年</w:t>
      </w:r>
      <w:r>
        <w:rPr>
          <w:rFonts w:hint="eastAsia" w:asciiTheme="minorEastAsia" w:hAnsiTheme="minorEastAsia" w:eastAsiaTheme="minorEastAsia"/>
          <w:color w:val="auto"/>
          <w:szCs w:val="28"/>
          <w:highlight w:val="none"/>
          <w:lang w:val="en-US" w:eastAsia="zh-CN"/>
        </w:rPr>
        <w:t>7</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12</w:t>
      </w:r>
      <w:r>
        <w:rPr>
          <w:rFonts w:hint="eastAsia" w:asciiTheme="minorEastAsia" w:hAnsiTheme="minorEastAsia" w:eastAsiaTheme="minorEastAsia"/>
          <w:color w:val="auto"/>
          <w:szCs w:val="28"/>
          <w:highlight w:val="none"/>
        </w:rPr>
        <w:t>日北京时间</w:t>
      </w:r>
      <w:r>
        <w:rPr>
          <w:rFonts w:hint="eastAsia" w:asciiTheme="minorEastAsia" w:hAnsiTheme="minorEastAsia" w:eastAsiaTheme="minorEastAsia"/>
          <w:color w:val="auto"/>
          <w:szCs w:val="28"/>
          <w:highlight w:val="none"/>
          <w:lang w:val="en-US" w:eastAsia="zh-CN"/>
        </w:rPr>
        <w:t>上午9:00</w:t>
      </w:r>
    </w:p>
    <w:p>
      <w:pPr>
        <w:spacing w:line="560" w:lineRule="exact"/>
        <w:ind w:firstLine="560" w:firstLineChars="200"/>
        <w:rPr>
          <w:rFonts w:hint="default" w:asciiTheme="minorEastAsia" w:hAnsiTheme="minorEastAsia" w:eastAsiaTheme="minorEastAsia"/>
          <w:color w:val="auto"/>
          <w:szCs w:val="28"/>
          <w:highlight w:val="none"/>
          <w:lang w:val="en-US"/>
        </w:rPr>
      </w:pPr>
      <w:r>
        <w:rPr>
          <w:rFonts w:hint="eastAsia"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lang w:val="en-US" w:eastAsia="zh-CN"/>
        </w:rPr>
        <w:t>七</w:t>
      </w:r>
      <w:r>
        <w:rPr>
          <w:rFonts w:hint="eastAsia" w:asciiTheme="minorEastAsia" w:hAnsiTheme="minorEastAsia" w:eastAsiaTheme="minorEastAsia"/>
          <w:color w:val="auto"/>
          <w:szCs w:val="28"/>
          <w:highlight w:val="none"/>
        </w:rPr>
        <w:t>）提交响应文件截止时间：</w:t>
      </w:r>
      <w:r>
        <w:rPr>
          <w:rFonts w:hint="eastAsia" w:asciiTheme="minorEastAsia" w:hAnsiTheme="minorEastAsia" w:eastAsiaTheme="minorEastAsia"/>
          <w:color w:val="auto"/>
          <w:szCs w:val="28"/>
          <w:highlight w:val="none"/>
        </w:rPr>
        <w:t>202</w:t>
      </w:r>
      <w:r>
        <w:rPr>
          <w:rFonts w:hint="eastAsia" w:asciiTheme="minorEastAsia" w:hAnsiTheme="minorEastAsia" w:eastAsiaTheme="minorEastAsia"/>
          <w:color w:val="auto"/>
          <w:szCs w:val="28"/>
          <w:highlight w:val="none"/>
          <w:lang w:val="en-US" w:eastAsia="zh-CN"/>
        </w:rPr>
        <w:t>3</w:t>
      </w:r>
      <w:r>
        <w:rPr>
          <w:rFonts w:hint="eastAsia" w:asciiTheme="minorEastAsia" w:hAnsiTheme="minorEastAsia" w:eastAsiaTheme="minorEastAsia"/>
          <w:color w:val="auto"/>
          <w:szCs w:val="28"/>
          <w:highlight w:val="none"/>
        </w:rPr>
        <w:t>年</w:t>
      </w:r>
      <w:r>
        <w:rPr>
          <w:rFonts w:hint="eastAsia" w:asciiTheme="minorEastAsia" w:hAnsiTheme="minorEastAsia" w:eastAsiaTheme="minorEastAsia"/>
          <w:color w:val="auto"/>
          <w:szCs w:val="28"/>
          <w:highlight w:val="none"/>
          <w:lang w:val="en-US" w:eastAsia="zh-CN"/>
        </w:rPr>
        <w:t>7</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12</w:t>
      </w:r>
      <w:r>
        <w:rPr>
          <w:rFonts w:hint="eastAsia" w:asciiTheme="minorEastAsia" w:hAnsiTheme="minorEastAsia" w:eastAsiaTheme="minorEastAsia"/>
          <w:color w:val="auto"/>
          <w:szCs w:val="28"/>
          <w:highlight w:val="none"/>
        </w:rPr>
        <w:t>日北京时间</w:t>
      </w:r>
      <w:r>
        <w:rPr>
          <w:rFonts w:hint="eastAsia" w:asciiTheme="minorEastAsia" w:hAnsiTheme="minorEastAsia" w:eastAsiaTheme="minorEastAsia"/>
          <w:color w:val="auto"/>
          <w:szCs w:val="28"/>
          <w:highlight w:val="none"/>
          <w:lang w:val="en-US" w:eastAsia="zh-CN"/>
        </w:rPr>
        <w:t>上午9:30</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lang w:val="en-US" w:eastAsia="zh-CN"/>
        </w:rPr>
        <w:t>八</w:t>
      </w:r>
      <w:r>
        <w:rPr>
          <w:rFonts w:hint="eastAsia" w:asciiTheme="minorEastAsia" w:hAnsiTheme="minorEastAsia" w:eastAsiaTheme="minorEastAsia"/>
          <w:color w:val="auto"/>
          <w:szCs w:val="28"/>
          <w:highlight w:val="none"/>
        </w:rPr>
        <w:t>）磋商开始时间：</w:t>
      </w:r>
      <w:r>
        <w:rPr>
          <w:rFonts w:hint="eastAsia" w:asciiTheme="minorEastAsia" w:hAnsiTheme="minorEastAsia" w:eastAsiaTheme="minorEastAsia"/>
          <w:color w:val="auto"/>
          <w:szCs w:val="28"/>
          <w:highlight w:val="none"/>
        </w:rPr>
        <w:t>202</w:t>
      </w:r>
      <w:r>
        <w:rPr>
          <w:rFonts w:hint="eastAsia" w:asciiTheme="minorEastAsia" w:hAnsiTheme="minorEastAsia" w:eastAsiaTheme="minorEastAsia"/>
          <w:color w:val="auto"/>
          <w:szCs w:val="28"/>
          <w:highlight w:val="none"/>
          <w:lang w:val="en-US" w:eastAsia="zh-CN"/>
        </w:rPr>
        <w:t>3</w:t>
      </w:r>
      <w:r>
        <w:rPr>
          <w:rFonts w:hint="eastAsia" w:asciiTheme="minorEastAsia" w:hAnsiTheme="minorEastAsia" w:eastAsiaTheme="minorEastAsia"/>
          <w:color w:val="auto"/>
          <w:szCs w:val="28"/>
          <w:highlight w:val="none"/>
        </w:rPr>
        <w:t>年</w:t>
      </w:r>
      <w:r>
        <w:rPr>
          <w:rFonts w:hint="eastAsia" w:asciiTheme="minorEastAsia" w:hAnsiTheme="minorEastAsia" w:eastAsiaTheme="minorEastAsia"/>
          <w:color w:val="auto"/>
          <w:szCs w:val="28"/>
          <w:highlight w:val="none"/>
          <w:lang w:val="en-US" w:eastAsia="zh-CN"/>
        </w:rPr>
        <w:t>7</w:t>
      </w:r>
      <w:r>
        <w:rPr>
          <w:rFonts w:hint="eastAsia" w:asciiTheme="minorEastAsia" w:hAnsiTheme="minorEastAsia" w:eastAsiaTheme="minorEastAsia"/>
          <w:color w:val="auto"/>
          <w:szCs w:val="28"/>
          <w:highlight w:val="none"/>
        </w:rPr>
        <w:t>月</w:t>
      </w:r>
      <w:r>
        <w:rPr>
          <w:rFonts w:hint="eastAsia" w:asciiTheme="minorEastAsia" w:hAnsiTheme="minorEastAsia" w:eastAsiaTheme="minorEastAsia"/>
          <w:color w:val="auto"/>
          <w:szCs w:val="28"/>
          <w:highlight w:val="none"/>
          <w:lang w:val="en-US" w:eastAsia="zh-CN"/>
        </w:rPr>
        <w:t>12</w:t>
      </w:r>
      <w:r>
        <w:rPr>
          <w:rFonts w:hint="eastAsia" w:asciiTheme="minorEastAsia" w:hAnsiTheme="minorEastAsia" w:eastAsiaTheme="minorEastAsia"/>
          <w:color w:val="auto"/>
          <w:szCs w:val="28"/>
          <w:highlight w:val="none"/>
        </w:rPr>
        <w:t>日北京时间</w:t>
      </w:r>
      <w:r>
        <w:rPr>
          <w:rFonts w:hint="eastAsia" w:asciiTheme="minorEastAsia" w:hAnsiTheme="minorEastAsia" w:eastAsiaTheme="minorEastAsia"/>
          <w:color w:val="auto"/>
          <w:szCs w:val="28"/>
          <w:highlight w:val="none"/>
          <w:lang w:val="en-US" w:eastAsia="zh-CN"/>
        </w:rPr>
        <w:t>上午9:30</w:t>
      </w:r>
    </w:p>
    <w:bookmarkEnd w:id="13"/>
    <w:bookmarkEnd w:id="14"/>
    <w:bookmarkEnd w:id="15"/>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16" w:name="_Toc102683826"/>
      <w:bookmarkStart w:id="17" w:name="_Toc105060884"/>
      <w:bookmarkStart w:id="18" w:name="_Toc373860294"/>
      <w:r>
        <w:rPr>
          <w:rFonts w:hint="eastAsia" w:asciiTheme="minorEastAsia" w:hAnsiTheme="minorEastAsia" w:eastAsiaTheme="minorEastAsia"/>
          <w:bCs/>
          <w:color w:val="auto"/>
          <w:sz w:val="28"/>
          <w:szCs w:val="28"/>
          <w:highlight w:val="none"/>
        </w:rPr>
        <w:t>五、保证金</w:t>
      </w:r>
      <w:bookmarkEnd w:id="16"/>
      <w:bookmarkEnd w:id="17"/>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（一）缴纳保证金方式</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1</w:t>
      </w:r>
      <w:r>
        <w:rPr>
          <w:rFonts w:hint="eastAsia" w:asciiTheme="minorEastAsia" w:hAnsiTheme="minorEastAsia" w:eastAsiaTheme="minorEastAsia"/>
          <w:color w:val="auto"/>
          <w:szCs w:val="28"/>
          <w:highlight w:val="none"/>
        </w:rPr>
        <w:t>、按《重庆市财政局关于进一步规范投标报名及保证金缴纳的通知》的规定，具体缴纳方式如下：</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1</w:t>
      </w:r>
      <w:r>
        <w:rPr>
          <w:rFonts w:hint="eastAsia" w:asciiTheme="minorEastAsia" w:hAnsiTheme="minorEastAsia" w:eastAsiaTheme="minorEastAsia"/>
          <w:color w:val="auto"/>
          <w:szCs w:val="28"/>
          <w:highlight w:val="none"/>
        </w:rPr>
        <w:t>）分项目单次递交的供应商，须按本项目规定的保证金数额进行缴纳，由供应商从其基本账户将保证金汇至重庆医科大学的账号上，同时在进账凭证上明确“</w:t>
      </w:r>
      <w:r>
        <w:rPr>
          <w:rFonts w:hint="eastAsia" w:asciiTheme="minorEastAsia" w:hAnsiTheme="minorEastAsia" w:eastAsiaTheme="minorEastAsia"/>
          <w:color w:val="auto"/>
          <w:szCs w:val="28"/>
          <w:highlight w:val="none"/>
          <w:lang w:eastAsia="zh-CN"/>
        </w:rPr>
        <w:t>重庆医科大学基于知识图谱的《生理学》线上互动课程资源建设</w:t>
      </w:r>
      <w:r>
        <w:rPr>
          <w:rFonts w:hint="eastAsia" w:asciiTheme="minorEastAsia" w:hAnsiTheme="minorEastAsia" w:eastAsiaTheme="minorEastAsia"/>
          <w:color w:val="auto"/>
          <w:szCs w:val="28"/>
          <w:highlight w:val="none"/>
        </w:rPr>
        <w:t>”的采购计划编号，保证金的到账截止时间为谈判当天上午</w:t>
      </w:r>
      <w:r>
        <w:rPr>
          <w:rFonts w:asciiTheme="minorEastAsia" w:hAnsiTheme="minorEastAsia" w:eastAsiaTheme="minorEastAsia"/>
          <w:color w:val="auto"/>
          <w:szCs w:val="28"/>
          <w:highlight w:val="none"/>
        </w:rPr>
        <w:t>8:30</w:t>
      </w:r>
      <w:r>
        <w:rPr>
          <w:rFonts w:hint="eastAsia" w:asciiTheme="minorEastAsia" w:hAnsiTheme="minorEastAsia" w:eastAsiaTheme="minorEastAsia"/>
          <w:color w:val="auto"/>
          <w:szCs w:val="28"/>
          <w:highlight w:val="none"/>
        </w:rPr>
        <w:t>。</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供应商须在投标前到学校财务处（第二教学楼</w:t>
      </w:r>
      <w:r>
        <w:rPr>
          <w:rFonts w:asciiTheme="minorEastAsia" w:hAnsiTheme="minorEastAsia" w:eastAsiaTheme="minorEastAsia"/>
          <w:color w:val="auto"/>
          <w:szCs w:val="28"/>
          <w:highlight w:val="none"/>
        </w:rPr>
        <w:t>110</w:t>
      </w:r>
      <w:r>
        <w:rPr>
          <w:rFonts w:hint="eastAsia" w:asciiTheme="minorEastAsia" w:hAnsiTheme="minorEastAsia" w:eastAsiaTheme="minorEastAsia"/>
          <w:color w:val="auto"/>
          <w:szCs w:val="28"/>
          <w:highlight w:val="none"/>
        </w:rPr>
        <w:t>室）凭汇款凭证（原件或复印件）领取投标保证金的单据，以备投标时查验。投标人须充分考虑银行工作的时间差风险。</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递交保证金账号信息如下：</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户</w:t>
      </w:r>
      <w:r>
        <w:rPr>
          <w:rFonts w:asciiTheme="minorEastAsia" w:hAnsiTheme="minorEastAsia" w:eastAsiaTheme="minorEastAsia"/>
          <w:color w:val="auto"/>
          <w:szCs w:val="28"/>
          <w:highlight w:val="none"/>
        </w:rPr>
        <w:t> </w:t>
      </w:r>
      <w:r>
        <w:rPr>
          <w:rFonts w:hint="eastAsia" w:asciiTheme="minorEastAsia" w:hAnsiTheme="minorEastAsia" w:eastAsiaTheme="minorEastAsia"/>
          <w:color w:val="auto"/>
          <w:szCs w:val="28"/>
          <w:highlight w:val="none"/>
        </w:rPr>
        <w:t>名：重庆医科大学</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账</w:t>
      </w:r>
      <w:r>
        <w:rPr>
          <w:rFonts w:asciiTheme="minorEastAsia" w:hAnsiTheme="minorEastAsia" w:eastAsiaTheme="minorEastAsia"/>
          <w:color w:val="auto"/>
          <w:szCs w:val="28"/>
          <w:highlight w:val="none"/>
        </w:rPr>
        <w:t> </w:t>
      </w:r>
      <w:r>
        <w:rPr>
          <w:rFonts w:hint="eastAsia" w:asciiTheme="minorEastAsia" w:hAnsiTheme="minorEastAsia" w:eastAsiaTheme="minorEastAsia"/>
          <w:color w:val="auto"/>
          <w:szCs w:val="28"/>
          <w:highlight w:val="none"/>
        </w:rPr>
        <w:t>号：</w:t>
      </w:r>
      <w:r>
        <w:rPr>
          <w:rFonts w:asciiTheme="minorEastAsia" w:hAnsiTheme="minorEastAsia" w:eastAsiaTheme="minorEastAsia"/>
          <w:color w:val="auto"/>
          <w:szCs w:val="28"/>
          <w:highlight w:val="none"/>
        </w:rPr>
        <w:t>5000 1033 6000 5000 8726</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开户行：中国建设银行股份有限公司重庆高新区分行</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2</w:t>
      </w:r>
      <w:r>
        <w:rPr>
          <w:rFonts w:hint="eastAsia" w:asciiTheme="minorEastAsia" w:hAnsiTheme="minorEastAsia" w:eastAsiaTheme="minorEastAsia"/>
          <w:color w:val="auto"/>
          <w:szCs w:val="28"/>
          <w:highlight w:val="none"/>
        </w:rPr>
        <w:t>）供应商也可以通过微信公众号缴纳投标保证金，并在备注栏中注明拟投标的采购计划编号及项目名称。微信公众号缴纳步骤如下：关注“重庆医科大学财务处”公众号</w:t>
      </w:r>
      <w:r>
        <w:rPr>
          <w:rFonts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rPr>
        <w:t>服务大厅</w:t>
      </w:r>
      <w:r>
        <w:rPr>
          <w:rFonts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rPr>
        <w:t>校外服务平台</w:t>
      </w:r>
      <w:r>
        <w:rPr>
          <w:rFonts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rPr>
        <w:t>缴投标保证金。通过微信公众号缴纳保证金的供应商，需自行打印由学校财务处开具的投标保证金电子票据，以备投标时查验。保证金的到账截止时间为谈判当天上午</w:t>
      </w:r>
      <w:r>
        <w:rPr>
          <w:rFonts w:asciiTheme="minorEastAsia" w:hAnsiTheme="minorEastAsia" w:eastAsiaTheme="minorEastAsia"/>
          <w:color w:val="auto"/>
          <w:szCs w:val="28"/>
          <w:highlight w:val="none"/>
        </w:rPr>
        <w:t>8:30</w:t>
      </w:r>
      <w:r>
        <w:rPr>
          <w:rFonts w:hint="eastAsia" w:asciiTheme="minorEastAsia" w:hAnsiTheme="minorEastAsia" w:eastAsiaTheme="minorEastAsia"/>
          <w:color w:val="auto"/>
          <w:szCs w:val="28"/>
          <w:highlight w:val="none"/>
        </w:rPr>
        <w:t>。</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财务处联系电话：</w:t>
      </w:r>
      <w:r>
        <w:rPr>
          <w:rFonts w:asciiTheme="minorEastAsia" w:hAnsiTheme="minorEastAsia" w:eastAsiaTheme="minorEastAsia"/>
          <w:color w:val="auto"/>
          <w:szCs w:val="28"/>
          <w:highlight w:val="none"/>
        </w:rPr>
        <w:t>023-68486151  </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2</w:t>
      </w:r>
      <w:r>
        <w:rPr>
          <w:rFonts w:hint="eastAsia" w:asciiTheme="minorEastAsia" w:hAnsiTheme="minorEastAsia" w:eastAsiaTheme="minorEastAsia"/>
          <w:color w:val="auto"/>
          <w:szCs w:val="28"/>
          <w:highlight w:val="none"/>
        </w:rPr>
        <w:t>、缴纳保证金需注意事项：</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1</w:t>
      </w:r>
      <w:r>
        <w:rPr>
          <w:rFonts w:hint="eastAsia" w:asciiTheme="minorEastAsia" w:hAnsiTheme="minorEastAsia" w:eastAsiaTheme="minorEastAsia"/>
          <w:color w:val="auto"/>
          <w:szCs w:val="28"/>
          <w:highlight w:val="none"/>
        </w:rPr>
        <w:t>）供应商必须在付款凭证备注栏中注明</w:t>
      </w:r>
      <w:r>
        <w:rPr>
          <w:rFonts w:hint="eastAsia"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lang w:eastAsia="zh-CN"/>
        </w:rPr>
        <w:t>重庆医科大学基于知识图谱的《生理学》线上互动课程资源建设</w:t>
      </w:r>
      <w:r>
        <w:rPr>
          <w:rFonts w:hint="eastAsia"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rPr>
        <w:t>的采购计划编号；</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2</w:t>
      </w:r>
      <w:r>
        <w:rPr>
          <w:rFonts w:hint="eastAsia" w:asciiTheme="minorEastAsia" w:hAnsiTheme="minorEastAsia" w:eastAsiaTheme="minorEastAsia"/>
          <w:color w:val="auto"/>
          <w:szCs w:val="28"/>
          <w:highlight w:val="none"/>
        </w:rPr>
        <w:t>）各供应商在银行转账（电汇）时，须充分考虑银行转账（电汇）的时间差风险，如同城转账、异地转账或汇款、跨行转账或电汇的时间要求。</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3</w:t>
      </w:r>
      <w:r>
        <w:rPr>
          <w:rFonts w:hint="eastAsia" w:asciiTheme="minorEastAsia" w:hAnsiTheme="minorEastAsia" w:eastAsiaTheme="minorEastAsia"/>
          <w:color w:val="auto"/>
          <w:szCs w:val="28"/>
          <w:highlight w:val="none"/>
        </w:rPr>
        <w:t>）各供应商在递交保证金时，到款账户为上述指定的保证金专用账户。来款账户必须为本公司基本账户，否则，投标无效。</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4</w:t>
      </w:r>
      <w:r>
        <w:rPr>
          <w:rFonts w:hint="eastAsia" w:asciiTheme="minorEastAsia" w:hAnsiTheme="minorEastAsia" w:eastAsiaTheme="minorEastAsia"/>
          <w:color w:val="auto"/>
          <w:szCs w:val="28"/>
          <w:highlight w:val="none"/>
        </w:rPr>
        <w:t>）投标查验时，请出具由学校财务处开具的投标保证金电子票据。</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3</w:t>
      </w:r>
      <w:r>
        <w:rPr>
          <w:rFonts w:hint="eastAsia" w:asciiTheme="minorEastAsia" w:hAnsiTheme="minorEastAsia" w:eastAsiaTheme="minorEastAsia"/>
          <w:color w:val="auto"/>
          <w:szCs w:val="28"/>
          <w:highlight w:val="none"/>
        </w:rPr>
        <w:t>、保证金数额不超过采购预算的</w:t>
      </w:r>
      <w:r>
        <w:rPr>
          <w:rFonts w:asciiTheme="minorEastAsia" w:hAnsiTheme="minorEastAsia" w:eastAsiaTheme="minorEastAsia"/>
          <w:color w:val="auto"/>
          <w:szCs w:val="28"/>
          <w:highlight w:val="none"/>
        </w:rPr>
        <w:t>2%</w:t>
      </w:r>
      <w:r>
        <w:rPr>
          <w:rFonts w:hint="eastAsia" w:asciiTheme="minorEastAsia" w:hAnsiTheme="minorEastAsia" w:eastAsiaTheme="minorEastAsia"/>
          <w:color w:val="auto"/>
          <w:szCs w:val="28"/>
          <w:highlight w:val="none"/>
        </w:rPr>
        <w:t>。</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（二）保证金退还方式</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1</w:t>
      </w:r>
      <w:r>
        <w:rPr>
          <w:rFonts w:hint="eastAsia" w:asciiTheme="minorEastAsia" w:hAnsiTheme="minorEastAsia" w:eastAsiaTheme="minorEastAsia"/>
          <w:color w:val="auto"/>
          <w:szCs w:val="28"/>
          <w:highlight w:val="none"/>
        </w:rPr>
        <w:t>、分项目单次递交的保证金</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1.1</w:t>
      </w:r>
      <w:r>
        <w:rPr>
          <w:rFonts w:hint="eastAsia" w:asciiTheme="minorEastAsia" w:hAnsiTheme="minorEastAsia" w:eastAsiaTheme="minorEastAsia"/>
          <w:color w:val="auto"/>
          <w:szCs w:val="28"/>
          <w:highlight w:val="none"/>
        </w:rPr>
        <w:t>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1.2</w:t>
      </w:r>
      <w:r>
        <w:rPr>
          <w:rFonts w:hint="eastAsia" w:asciiTheme="minorEastAsia" w:hAnsiTheme="minorEastAsia" w:eastAsiaTheme="minorEastAsia"/>
          <w:color w:val="auto"/>
          <w:szCs w:val="28"/>
          <w:highlight w:val="none"/>
        </w:rPr>
        <w:t>成交供应商的保证金，在成交供应商与采购人签订合同后，持投标保证金收据到重庆医科大学基础医学院办理退款手续。</w:t>
      </w:r>
    </w:p>
    <w:p>
      <w:pPr>
        <w:snapToGrid w:val="0"/>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1.3</w:t>
      </w:r>
      <w:r>
        <w:rPr>
          <w:rFonts w:hint="eastAsia" w:asciiTheme="minorEastAsia" w:hAnsiTheme="minorEastAsia" w:eastAsiaTheme="minorEastAsia"/>
          <w:color w:val="auto"/>
          <w:szCs w:val="28"/>
          <w:highlight w:val="none"/>
        </w:rPr>
        <w:t>保证金退还办理时间为每周四下午</w:t>
      </w:r>
      <w:r>
        <w:rPr>
          <w:rFonts w:asciiTheme="minorEastAsia" w:hAnsiTheme="minorEastAsia" w:eastAsiaTheme="minorEastAsia"/>
          <w:color w:val="auto"/>
          <w:szCs w:val="28"/>
          <w:highlight w:val="none"/>
        </w:rPr>
        <w:t>2:30</w:t>
      </w:r>
      <w:r>
        <w:rPr>
          <w:rFonts w:hint="eastAsia" w:asciiTheme="minorEastAsia" w:hAnsiTheme="minorEastAsia" w:eastAsiaTheme="minorEastAsia"/>
          <w:color w:val="auto"/>
          <w:szCs w:val="28"/>
          <w:highlight w:val="none"/>
        </w:rPr>
        <w:t>时到</w:t>
      </w:r>
      <w:r>
        <w:rPr>
          <w:rFonts w:asciiTheme="minorEastAsia" w:hAnsiTheme="minorEastAsia" w:eastAsiaTheme="minorEastAsia"/>
          <w:color w:val="auto"/>
          <w:szCs w:val="28"/>
          <w:highlight w:val="none"/>
        </w:rPr>
        <w:t>5:00</w:t>
      </w:r>
      <w:r>
        <w:rPr>
          <w:rFonts w:hint="eastAsia" w:asciiTheme="minorEastAsia" w:hAnsiTheme="minorEastAsia" w:eastAsiaTheme="minorEastAsia"/>
          <w:color w:val="auto"/>
          <w:szCs w:val="28"/>
          <w:highlight w:val="none"/>
        </w:rPr>
        <w:t>时。</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19" w:name="_Toc105060885"/>
      <w:r>
        <w:rPr>
          <w:rFonts w:hint="eastAsia" w:asciiTheme="minorEastAsia" w:hAnsiTheme="minorEastAsia" w:eastAsiaTheme="minorEastAsia"/>
          <w:bCs/>
          <w:color w:val="auto"/>
          <w:sz w:val="28"/>
          <w:szCs w:val="28"/>
          <w:highlight w:val="none"/>
        </w:rPr>
        <w:t>六、</w:t>
      </w:r>
      <w:bookmarkEnd w:id="10"/>
      <w:bookmarkEnd w:id="18"/>
      <w:bookmarkStart w:id="20" w:name="_Toc479668114"/>
      <w:bookmarkStart w:id="21" w:name="_Toc480466698"/>
      <w:r>
        <w:rPr>
          <w:rFonts w:hint="eastAsia" w:asciiTheme="minorEastAsia" w:hAnsiTheme="minorEastAsia" w:eastAsiaTheme="minorEastAsia"/>
          <w:bCs/>
          <w:color w:val="auto"/>
          <w:sz w:val="28"/>
          <w:szCs w:val="28"/>
          <w:highlight w:val="none"/>
        </w:rPr>
        <w:t>采购项目需落实的政府采购政策</w:t>
      </w:r>
      <w:bookmarkEnd w:id="19"/>
      <w:bookmarkEnd w:id="20"/>
      <w:bookmarkEnd w:id="21"/>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（二）按照《财政部 工业和信息化部关于印发&lt;政府采购促进中小企业发展暂行办法&gt;的通知》（财库〔2011〕181号）的规定，落实促进中小企业发展政策。</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（三）按照《财政部、司法部关于政府采购支持监狱企业发展有关问题的通知》（财库〔2014〕68号）的规定，落实支持监狱企业发展政策。</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（四）按照《三部门联合发布关于促进残疾人就业政府采购政策的通知》（财库〔2017〕 141号）的规定，落实支持残疾人福利性单位发展政策。</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22" w:name="_Toc105060886"/>
      <w:bookmarkStart w:id="23" w:name="_Toc480466699"/>
      <w:r>
        <w:rPr>
          <w:rFonts w:hint="eastAsia" w:asciiTheme="minorEastAsia" w:hAnsiTheme="minorEastAsia" w:eastAsiaTheme="minorEastAsia"/>
          <w:bCs/>
          <w:color w:val="auto"/>
          <w:sz w:val="28"/>
          <w:szCs w:val="28"/>
          <w:highlight w:val="none"/>
        </w:rPr>
        <w:t>七、其它有关规定</w:t>
      </w:r>
      <w:bookmarkEnd w:id="22"/>
      <w:bookmarkEnd w:id="23"/>
    </w:p>
    <w:p>
      <w:pPr>
        <w:snapToGrid w:val="0"/>
        <w:spacing w:line="560" w:lineRule="exact"/>
        <w:ind w:firstLine="420" w:firstLineChars="150"/>
        <w:rPr>
          <w:rFonts w:asciiTheme="minorEastAsia" w:hAnsiTheme="minorEastAsia" w:eastAsiaTheme="minorEastAsia"/>
          <w:color w:val="auto"/>
          <w:szCs w:val="28"/>
          <w:highlight w:val="yellow"/>
        </w:rPr>
      </w:pPr>
      <w:r>
        <w:rPr>
          <w:rFonts w:hint="eastAsia" w:asciiTheme="minorEastAsia" w:hAnsiTheme="minorEastAsia" w:eastAsiaTheme="minorEastAsia"/>
          <w:color w:val="auto"/>
          <w:szCs w:val="28"/>
          <w:highlight w:val="none"/>
        </w:rPr>
        <w:t>（一）单位负责人为同一人或者存在直接控股、管理关系的不同供应商，不得参加同一合同项（分包）下的政府采购活动，否则均为无效响应。</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（二）为采购项目提供整体设计、规范编制或者项目管理、监理、检测等服务的供应商，不得再参加该采购项目的其他采购活动。</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（三）本项</w:t>
      </w:r>
      <w:bookmarkStart w:id="104" w:name="_GoBack"/>
      <w:bookmarkEnd w:id="104"/>
      <w:r>
        <w:rPr>
          <w:rFonts w:hint="eastAsia" w:asciiTheme="minorEastAsia" w:hAnsiTheme="minorEastAsia" w:eastAsiaTheme="minorEastAsia"/>
          <w:color w:val="auto"/>
          <w:szCs w:val="28"/>
          <w:highlight w:val="none"/>
        </w:rPr>
        <w:t>目在响应文件提交截止时间前发布的竞争性磋商文件及补遗文件（如果有）一律在重庆医科大学校园网上（主页-服务大厅-招投标信息）上发布，请各供应商注意下载；无论供应商下载与否，均视同供应商已知晓本项目竞争性磋商文件、补遗文件（如果有）的内容。</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（四）超过响应文件截止时间递交的响应文件，恕不接收。</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（五）磋商费用：无论磋商结果如何，供应商参与本项目磋商的所有费用均应由供应商自行承担。</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（六）本项目接受（或不接受）联合体参与磋商。</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（七）</w:t>
      </w:r>
      <w:bookmarkStart w:id="24" w:name="_Toc480466700"/>
      <w:r>
        <w:rPr>
          <w:rFonts w:hint="eastAsia" w:asciiTheme="minorEastAsia" w:hAnsiTheme="minorEastAsia" w:eastAsiaTheme="minorEastAsia"/>
          <w:color w:val="auto"/>
          <w:szCs w:val="28"/>
          <w:highlight w:val="none"/>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before="0" w:after="0" w:line="560" w:lineRule="exact"/>
        <w:rPr>
          <w:rFonts w:asciiTheme="minorEastAsia" w:hAnsiTheme="minorEastAsia" w:eastAsiaTheme="minorEastAsia"/>
          <w:bCs/>
          <w:color w:val="auto"/>
          <w:sz w:val="28"/>
          <w:szCs w:val="28"/>
          <w:highlight w:val="none"/>
        </w:rPr>
      </w:pPr>
      <w:bookmarkStart w:id="25" w:name="_Toc105060887"/>
      <w:r>
        <w:rPr>
          <w:rFonts w:hint="eastAsia" w:asciiTheme="minorEastAsia" w:hAnsiTheme="minorEastAsia" w:eastAsiaTheme="minorEastAsia"/>
          <w:bCs/>
          <w:color w:val="auto"/>
          <w:sz w:val="28"/>
          <w:szCs w:val="28"/>
          <w:highlight w:val="none"/>
        </w:rPr>
        <w:t>八、联系方式</w:t>
      </w:r>
      <w:bookmarkEnd w:id="24"/>
      <w:bookmarkEnd w:id="25"/>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采购人：重庆医科大学基础医学院</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联系人：彭老师</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电  话：（023）68486679</w:t>
      </w:r>
    </w:p>
    <w:p>
      <w:pPr>
        <w:snapToGrid w:val="0"/>
        <w:spacing w:line="560" w:lineRule="exact"/>
        <w:ind w:firstLine="560" w:firstLineChars="200"/>
        <w:rPr>
          <w:rFonts w:asciiTheme="minorEastAsia" w:hAnsiTheme="minorEastAsia" w:eastAsiaTheme="minorEastAsia"/>
          <w:color w:val="auto"/>
          <w:szCs w:val="28"/>
          <w:highlight w:val="none"/>
        </w:rPr>
        <w:sectPr>
          <w:pgSz w:w="11907" w:h="16840"/>
          <w:pgMar w:top="1134" w:right="1418" w:bottom="1134" w:left="1418" w:header="964" w:footer="992" w:gutter="0"/>
          <w:pgNumType w:fmt="numberInDash"/>
          <w:cols w:space="720" w:num="1"/>
          <w:docGrid w:linePitch="312" w:charSpace="0"/>
        </w:sectPr>
      </w:pPr>
      <w:r>
        <w:rPr>
          <w:rFonts w:hint="eastAsia" w:asciiTheme="minorEastAsia" w:hAnsiTheme="minorEastAsia" w:eastAsiaTheme="minorEastAsia"/>
          <w:color w:val="auto"/>
          <w:szCs w:val="28"/>
          <w:highlight w:val="none"/>
        </w:rPr>
        <w:t>地  址： 重庆市渝中区医学院路1号基础医学院北教学楼348室</w:t>
      </w:r>
    </w:p>
    <w:p>
      <w:pPr>
        <w:pStyle w:val="3"/>
        <w:spacing w:before="0" w:after="0" w:line="560" w:lineRule="exact"/>
        <w:jc w:val="center"/>
        <w:rPr>
          <w:rFonts w:asciiTheme="minorEastAsia" w:hAnsiTheme="minorEastAsia" w:eastAsiaTheme="minorEastAsia"/>
          <w:b/>
          <w:bCs/>
          <w:color w:val="auto"/>
          <w:sz w:val="44"/>
          <w:szCs w:val="44"/>
          <w:highlight w:val="none"/>
        </w:rPr>
      </w:pPr>
      <w:bookmarkStart w:id="26" w:name="_Toc105060888"/>
      <w:r>
        <w:rPr>
          <w:rFonts w:hint="eastAsia" w:asciiTheme="minorEastAsia" w:hAnsiTheme="minorEastAsia" w:eastAsiaTheme="minorEastAsia"/>
          <w:b/>
          <w:bCs/>
          <w:color w:val="auto"/>
          <w:sz w:val="44"/>
          <w:szCs w:val="44"/>
          <w:highlight w:val="none"/>
        </w:rPr>
        <w:t>第二篇  项目服务需求</w:t>
      </w:r>
      <w:bookmarkEnd w:id="26"/>
    </w:p>
    <w:p>
      <w:pPr>
        <w:pStyle w:val="4"/>
        <w:numPr>
          <w:ilvl w:val="0"/>
          <w:numId w:val="13"/>
        </w:numPr>
        <w:spacing w:before="0" w:after="0" w:line="560" w:lineRule="exact"/>
        <w:jc w:val="left"/>
        <w:rPr>
          <w:rFonts w:asciiTheme="minorEastAsia" w:hAnsiTheme="minorEastAsia" w:eastAsiaTheme="minorEastAsia"/>
          <w:b w:val="0"/>
          <w:color w:val="auto"/>
          <w:sz w:val="28"/>
          <w:szCs w:val="28"/>
          <w:highlight w:val="none"/>
        </w:rPr>
      </w:pPr>
      <w:bookmarkStart w:id="27" w:name="_Toc105060889"/>
      <w:bookmarkStart w:id="28" w:name="_Toc12789058"/>
      <w:r>
        <w:rPr>
          <w:rFonts w:hint="eastAsia" w:asciiTheme="minorEastAsia" w:hAnsiTheme="minorEastAsia" w:eastAsiaTheme="minorEastAsia"/>
          <w:b w:val="0"/>
          <w:color w:val="auto"/>
          <w:sz w:val="28"/>
          <w:szCs w:val="28"/>
          <w:highlight w:val="none"/>
        </w:rPr>
        <w:t>项目基本概况介绍</w:t>
      </w:r>
      <w:bookmarkEnd w:id="27"/>
    </w:p>
    <w:p>
      <w:pPr>
        <w:rPr>
          <w:rFonts w:asciiTheme="minorEastAsia" w:hAnsiTheme="minorEastAsia" w:eastAsiaTheme="minorEastAsia"/>
          <w:color w:val="auto"/>
          <w:highlight w:val="none"/>
        </w:rPr>
      </w:pP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2976"/>
        <w:gridCol w:w="1701"/>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83" w:type="dxa"/>
            <w:vAlign w:val="center"/>
          </w:tcPr>
          <w:p>
            <w:pPr>
              <w:jc w:val="center"/>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序号</w:t>
            </w:r>
          </w:p>
        </w:tc>
        <w:tc>
          <w:tcPr>
            <w:tcW w:w="2976" w:type="dxa"/>
            <w:vAlign w:val="center"/>
          </w:tcPr>
          <w:p>
            <w:pPr>
              <w:jc w:val="center"/>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产品名称（设备名称）</w:t>
            </w:r>
          </w:p>
        </w:tc>
        <w:tc>
          <w:tcPr>
            <w:tcW w:w="1701" w:type="dxa"/>
            <w:vAlign w:val="center"/>
          </w:tcPr>
          <w:p>
            <w:pPr>
              <w:jc w:val="center"/>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数量/单位</w:t>
            </w:r>
          </w:p>
        </w:tc>
        <w:tc>
          <w:tcPr>
            <w:tcW w:w="2814" w:type="dxa"/>
            <w:vAlign w:val="center"/>
          </w:tcPr>
          <w:p>
            <w:pPr>
              <w:jc w:val="center"/>
              <w:rPr>
                <w:rFonts w:asciiTheme="minorEastAsia" w:hAnsiTheme="minorEastAsia" w:eastAsiaTheme="minorEastAsia"/>
                <w:b/>
                <w:color w:val="auto"/>
                <w:sz w:val="21"/>
                <w:szCs w:val="21"/>
                <w:highlight w:val="none"/>
              </w:rPr>
            </w:pPr>
            <w:r>
              <w:rPr>
                <w:rFonts w:asciiTheme="minorEastAsia" w:hAnsiTheme="minorEastAsia" w:eastAsiaTheme="minorEastAsia"/>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483" w:type="dxa"/>
            <w:vAlign w:val="center"/>
          </w:tcPr>
          <w:p>
            <w:pPr>
              <w:pStyle w:val="23"/>
              <w:spacing w:line="240" w:lineRule="auto"/>
              <w:ind w:left="0"/>
              <w:jc w:val="center"/>
              <w:outlineLvl w:val="0"/>
              <w:rPr>
                <w:rFonts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kern w:val="0"/>
                <w:sz w:val="21"/>
                <w:szCs w:val="21"/>
                <w:highlight w:val="none"/>
                <w:lang w:bidi="ar"/>
              </w:rPr>
              <w:t>1</w:t>
            </w:r>
          </w:p>
        </w:tc>
        <w:tc>
          <w:tcPr>
            <w:tcW w:w="2976" w:type="dxa"/>
            <w:vAlign w:val="center"/>
          </w:tcPr>
          <w:p>
            <w:pPr>
              <w:widowControl/>
              <w:jc w:val="center"/>
              <w:rPr>
                <w:rFonts w:hint="eastAsia" w:asciiTheme="minorEastAsia" w:hAnsiTheme="minorEastAsia" w:eastAsiaTheme="minorEastAsia"/>
                <w:color w:val="auto"/>
                <w:kern w:val="0"/>
                <w:sz w:val="21"/>
                <w:szCs w:val="21"/>
                <w:highlight w:val="none"/>
                <w:lang w:eastAsia="zh-CN"/>
              </w:rPr>
            </w:pPr>
            <w:r>
              <w:rPr>
                <w:rFonts w:hint="eastAsia" w:asciiTheme="minorEastAsia" w:hAnsiTheme="minorEastAsia" w:eastAsiaTheme="minorEastAsia"/>
                <w:color w:val="auto"/>
                <w:sz w:val="21"/>
                <w:szCs w:val="21"/>
                <w:highlight w:val="none"/>
                <w:lang w:val="en-US" w:eastAsia="zh-CN"/>
              </w:rPr>
              <w:t xml:space="preserve">基于知识图谱的《生理学》线上互动课程资源建设 </w:t>
            </w:r>
          </w:p>
        </w:tc>
        <w:tc>
          <w:tcPr>
            <w:tcW w:w="1701" w:type="dxa"/>
            <w:vAlign w:val="center"/>
          </w:tcPr>
          <w:p>
            <w:pPr>
              <w:widowControl/>
              <w:jc w:val="center"/>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1门</w:t>
            </w:r>
          </w:p>
        </w:tc>
        <w:tc>
          <w:tcPr>
            <w:tcW w:w="2814" w:type="dxa"/>
            <w:vAlign w:val="center"/>
          </w:tcPr>
          <w:p>
            <w:pPr>
              <w:jc w:val="left"/>
              <w:rPr>
                <w:rFonts w:cs="宋体" w:asciiTheme="minorEastAsia" w:hAnsiTheme="minorEastAsia" w:eastAsiaTheme="minorEastAsia"/>
                <w:color w:val="auto"/>
                <w:sz w:val="21"/>
                <w:szCs w:val="21"/>
                <w:highlight w:val="none"/>
              </w:rPr>
            </w:pPr>
            <w:r>
              <w:rPr>
                <w:rFonts w:hint="eastAsia" w:asciiTheme="minorEastAsia" w:hAnsiTheme="minorEastAsia" w:eastAsiaTheme="minorEastAsia"/>
                <w:bCs/>
                <w:color w:val="auto"/>
                <w:sz w:val="21"/>
                <w:szCs w:val="21"/>
                <w:highlight w:val="none"/>
              </w:rPr>
              <w:t>1门知识图谱，每学分知识点不少于50个，逻辑关系不少于40个。</w:t>
            </w:r>
          </w:p>
        </w:tc>
      </w:tr>
    </w:tbl>
    <w:p>
      <w:pPr>
        <w:pStyle w:val="4"/>
        <w:spacing w:before="0" w:after="0" w:line="560" w:lineRule="exact"/>
        <w:ind w:firstLine="420" w:firstLineChars="150"/>
        <w:rPr>
          <w:rFonts w:asciiTheme="minorEastAsia" w:hAnsiTheme="minorEastAsia" w:eastAsiaTheme="minorEastAsia"/>
          <w:b w:val="0"/>
          <w:color w:val="auto"/>
          <w:sz w:val="28"/>
          <w:szCs w:val="28"/>
          <w:highlight w:val="none"/>
        </w:rPr>
      </w:pPr>
      <w:bookmarkStart w:id="29" w:name="_Toc105060890"/>
      <w:bookmarkStart w:id="30" w:name="_Toc19108350"/>
      <w:bookmarkStart w:id="31" w:name="_Hlk49085370"/>
      <w:r>
        <w:rPr>
          <w:rFonts w:hint="eastAsia" w:asciiTheme="minorEastAsia" w:hAnsiTheme="minorEastAsia" w:eastAsiaTheme="minorEastAsia"/>
          <w:b w:val="0"/>
          <w:color w:val="auto"/>
          <w:sz w:val="28"/>
          <w:szCs w:val="28"/>
          <w:highlight w:val="none"/>
        </w:rPr>
        <w:t>二、项目内容（必须包含但不限于以下内容）</w:t>
      </w:r>
      <w:bookmarkEnd w:id="29"/>
    </w:p>
    <w:p>
      <w:pPr>
        <w:spacing w:before="120" w:beforeLines="50" w:after="120" w:afterLines="50"/>
        <w:ind w:left="425"/>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1、项目构成</w:t>
      </w:r>
    </w:p>
    <w:tbl>
      <w:tblPr>
        <w:tblStyle w:val="57"/>
        <w:tblW w:w="9209" w:type="dxa"/>
        <w:tblInd w:w="113" w:type="dxa"/>
        <w:tblLayout w:type="autofit"/>
        <w:tblCellMar>
          <w:top w:w="0" w:type="dxa"/>
          <w:left w:w="108" w:type="dxa"/>
          <w:bottom w:w="0" w:type="dxa"/>
          <w:right w:w="108" w:type="dxa"/>
        </w:tblCellMar>
      </w:tblPr>
      <w:tblGrid>
        <w:gridCol w:w="2547"/>
        <w:gridCol w:w="6662"/>
      </w:tblGrid>
      <w:tr>
        <w:tblPrEx>
          <w:tblCellMar>
            <w:top w:w="0" w:type="dxa"/>
            <w:left w:w="108" w:type="dxa"/>
            <w:bottom w:w="0" w:type="dxa"/>
            <w:right w:w="108" w:type="dxa"/>
          </w:tblCellMar>
        </w:tblPrEx>
        <w:trPr>
          <w:trHeight w:val="320" w:hRule="atLeast"/>
        </w:trPr>
        <w:tc>
          <w:tcPr>
            <w:tcW w:w="2547"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项目</w:t>
            </w:r>
          </w:p>
        </w:tc>
        <w:tc>
          <w:tcPr>
            <w:tcW w:w="6662" w:type="dxa"/>
            <w:tcBorders>
              <w:top w:val="single" w:color="auto" w:sz="4" w:space="0"/>
              <w:left w:val="nil"/>
              <w:bottom w:val="single" w:color="auto" w:sz="4" w:space="0"/>
              <w:right w:val="single" w:color="auto" w:sz="4" w:space="0"/>
            </w:tcBorders>
            <w:noWrap/>
            <w:vAlign w:val="center"/>
          </w:tcPr>
          <w:p>
            <w:pPr>
              <w:jc w:val="center"/>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分项</w:t>
            </w:r>
          </w:p>
        </w:tc>
      </w:tr>
      <w:tr>
        <w:tblPrEx>
          <w:tblCellMar>
            <w:top w:w="0" w:type="dxa"/>
            <w:left w:w="108" w:type="dxa"/>
            <w:bottom w:w="0" w:type="dxa"/>
            <w:right w:w="108" w:type="dxa"/>
          </w:tblCellMar>
        </w:tblPrEx>
        <w:trPr>
          <w:trHeight w:val="320" w:hRule="atLeast"/>
        </w:trPr>
        <w:tc>
          <w:tcPr>
            <w:tcW w:w="2547" w:type="dxa"/>
            <w:vMerge w:val="restart"/>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课程知识图谱成果展示平台</w:t>
            </w:r>
          </w:p>
        </w:tc>
        <w:tc>
          <w:tcPr>
            <w:tcW w:w="6662"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课程知识图谱成果管理</w:t>
            </w:r>
          </w:p>
        </w:tc>
      </w:tr>
      <w:tr>
        <w:tblPrEx>
          <w:tblCellMar>
            <w:top w:w="0" w:type="dxa"/>
            <w:left w:w="108" w:type="dxa"/>
            <w:bottom w:w="0" w:type="dxa"/>
            <w:right w:w="108" w:type="dxa"/>
          </w:tblCellMar>
        </w:tblPrEx>
        <w:trPr>
          <w:trHeight w:val="412" w:hRule="atLeast"/>
        </w:trPr>
        <w:tc>
          <w:tcPr>
            <w:tcW w:w="2547" w:type="dxa"/>
            <w:vMerge w:val="continue"/>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color w:val="auto"/>
                <w:sz w:val="21"/>
                <w:szCs w:val="21"/>
                <w:highlight w:val="none"/>
              </w:rPr>
            </w:pPr>
          </w:p>
        </w:tc>
        <w:tc>
          <w:tcPr>
            <w:tcW w:w="6662"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课程知识图谱成果主页</w:t>
            </w:r>
          </w:p>
        </w:tc>
      </w:tr>
      <w:tr>
        <w:tblPrEx>
          <w:tblCellMar>
            <w:top w:w="0" w:type="dxa"/>
            <w:left w:w="108" w:type="dxa"/>
            <w:bottom w:w="0" w:type="dxa"/>
            <w:right w:w="108" w:type="dxa"/>
          </w:tblCellMar>
        </w:tblPrEx>
        <w:trPr>
          <w:trHeight w:val="320" w:hRule="atLeast"/>
        </w:trPr>
        <w:tc>
          <w:tcPr>
            <w:tcW w:w="2547" w:type="dxa"/>
            <w:vMerge w:val="restart"/>
            <w:tcBorders>
              <w:top w:val="nil"/>
              <w:left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课程知识图谱构建平台</w:t>
            </w:r>
          </w:p>
        </w:tc>
        <w:tc>
          <w:tcPr>
            <w:tcW w:w="6662"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知识图谱创建</w:t>
            </w:r>
          </w:p>
        </w:tc>
      </w:tr>
      <w:tr>
        <w:tblPrEx>
          <w:tblCellMar>
            <w:top w:w="0" w:type="dxa"/>
            <w:left w:w="108" w:type="dxa"/>
            <w:bottom w:w="0" w:type="dxa"/>
            <w:right w:w="108" w:type="dxa"/>
          </w:tblCellMar>
        </w:tblPrEx>
        <w:trPr>
          <w:trHeight w:val="320" w:hRule="atLeast"/>
        </w:trPr>
        <w:tc>
          <w:tcPr>
            <w:tcW w:w="2547" w:type="dxa"/>
            <w:vMerge w:val="continue"/>
            <w:tcBorders>
              <w:left w:val="single" w:color="auto" w:sz="4" w:space="0"/>
              <w:right w:val="single" w:color="auto" w:sz="4" w:space="0"/>
            </w:tcBorders>
            <w:vAlign w:val="center"/>
          </w:tcPr>
          <w:p>
            <w:pPr>
              <w:jc w:val="center"/>
              <w:rPr>
                <w:rFonts w:asciiTheme="minorEastAsia" w:hAnsiTheme="minorEastAsia" w:eastAsiaTheme="minorEastAsia"/>
                <w:bCs/>
                <w:color w:val="auto"/>
                <w:sz w:val="21"/>
                <w:szCs w:val="21"/>
                <w:highlight w:val="none"/>
              </w:rPr>
            </w:pPr>
          </w:p>
        </w:tc>
        <w:tc>
          <w:tcPr>
            <w:tcW w:w="6662"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内容资源包管理</w:t>
            </w:r>
          </w:p>
        </w:tc>
      </w:tr>
      <w:tr>
        <w:tblPrEx>
          <w:tblCellMar>
            <w:top w:w="0" w:type="dxa"/>
            <w:left w:w="108" w:type="dxa"/>
            <w:bottom w:w="0" w:type="dxa"/>
            <w:right w:w="108" w:type="dxa"/>
          </w:tblCellMar>
        </w:tblPrEx>
        <w:trPr>
          <w:trHeight w:val="320" w:hRule="atLeast"/>
        </w:trPr>
        <w:tc>
          <w:tcPr>
            <w:tcW w:w="2547" w:type="dxa"/>
            <w:vMerge w:val="continue"/>
            <w:tcBorders>
              <w:left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p>
        </w:tc>
        <w:tc>
          <w:tcPr>
            <w:tcW w:w="6662"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知识点资源智能搜索系统</w:t>
            </w:r>
          </w:p>
        </w:tc>
      </w:tr>
      <w:tr>
        <w:tblPrEx>
          <w:tblCellMar>
            <w:top w:w="0" w:type="dxa"/>
            <w:left w:w="108" w:type="dxa"/>
            <w:bottom w:w="0" w:type="dxa"/>
            <w:right w:w="108" w:type="dxa"/>
          </w:tblCellMar>
        </w:tblPrEx>
        <w:trPr>
          <w:trHeight w:val="361" w:hRule="atLeast"/>
        </w:trPr>
        <w:tc>
          <w:tcPr>
            <w:tcW w:w="2547" w:type="dxa"/>
            <w:vMerge w:val="continue"/>
            <w:tcBorders>
              <w:left w:val="single" w:color="auto" w:sz="4" w:space="0"/>
              <w:right w:val="single" w:color="auto" w:sz="4" w:space="0"/>
            </w:tcBorders>
            <w:vAlign w:val="center"/>
          </w:tcPr>
          <w:p>
            <w:pPr>
              <w:jc w:val="center"/>
              <w:rPr>
                <w:rFonts w:asciiTheme="minorEastAsia" w:hAnsiTheme="minorEastAsia" w:eastAsiaTheme="minorEastAsia"/>
                <w:bCs/>
                <w:color w:val="auto"/>
                <w:sz w:val="21"/>
                <w:szCs w:val="21"/>
                <w:highlight w:val="none"/>
              </w:rPr>
            </w:pPr>
          </w:p>
        </w:tc>
        <w:tc>
          <w:tcPr>
            <w:tcW w:w="6662" w:type="dxa"/>
            <w:tcBorders>
              <w:top w:val="nil"/>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知识图谱模型建设</w:t>
            </w:r>
          </w:p>
        </w:tc>
      </w:tr>
      <w:tr>
        <w:tblPrEx>
          <w:tblCellMar>
            <w:top w:w="0" w:type="dxa"/>
            <w:left w:w="108" w:type="dxa"/>
            <w:bottom w:w="0" w:type="dxa"/>
            <w:right w:w="108" w:type="dxa"/>
          </w:tblCellMar>
        </w:tblPrEx>
        <w:trPr>
          <w:trHeight w:val="380" w:hRule="atLeast"/>
        </w:trPr>
        <w:tc>
          <w:tcPr>
            <w:tcW w:w="2547" w:type="dxa"/>
            <w:vMerge w:val="continue"/>
            <w:tcBorders>
              <w:left w:val="single" w:color="auto" w:sz="4" w:space="0"/>
              <w:right w:val="single" w:color="auto" w:sz="4" w:space="0"/>
            </w:tcBorders>
            <w:vAlign w:val="center"/>
          </w:tcPr>
          <w:p>
            <w:pPr>
              <w:jc w:val="center"/>
              <w:rPr>
                <w:rFonts w:asciiTheme="minorEastAsia" w:hAnsiTheme="minorEastAsia" w:eastAsiaTheme="minorEastAsia"/>
                <w:bCs/>
                <w:color w:val="auto"/>
                <w:sz w:val="21"/>
                <w:szCs w:val="21"/>
                <w:highlight w:val="none"/>
              </w:rPr>
            </w:pPr>
          </w:p>
        </w:tc>
        <w:tc>
          <w:tcPr>
            <w:tcW w:w="6662" w:type="dxa"/>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知识点清单</w:t>
            </w:r>
          </w:p>
        </w:tc>
      </w:tr>
      <w:tr>
        <w:tblPrEx>
          <w:tblCellMar>
            <w:top w:w="0" w:type="dxa"/>
            <w:left w:w="108" w:type="dxa"/>
            <w:bottom w:w="0" w:type="dxa"/>
            <w:right w:w="108" w:type="dxa"/>
          </w:tblCellMar>
        </w:tblPrEx>
        <w:trPr>
          <w:trHeight w:val="320" w:hRule="atLeast"/>
        </w:trPr>
        <w:tc>
          <w:tcPr>
            <w:tcW w:w="2547"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color w:val="auto"/>
                <w:sz w:val="21"/>
                <w:szCs w:val="21"/>
                <w:highlight w:val="none"/>
              </w:rPr>
            </w:pPr>
          </w:p>
        </w:tc>
        <w:tc>
          <w:tcPr>
            <w:tcW w:w="6662"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知识图谱可视化与基础应用</w:t>
            </w:r>
          </w:p>
        </w:tc>
      </w:tr>
      <w:tr>
        <w:tblPrEx>
          <w:tblCellMar>
            <w:top w:w="0" w:type="dxa"/>
            <w:left w:w="108" w:type="dxa"/>
            <w:bottom w:w="0" w:type="dxa"/>
            <w:right w:w="108" w:type="dxa"/>
          </w:tblCellMar>
        </w:tblPrEx>
        <w:trPr>
          <w:trHeight w:val="320" w:hRule="atLeast"/>
        </w:trPr>
        <w:tc>
          <w:tcPr>
            <w:tcW w:w="2547"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基于知识图谱的AI课程</w:t>
            </w:r>
          </w:p>
        </w:tc>
        <w:tc>
          <w:tcPr>
            <w:tcW w:w="6662"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标准课程版本建设管理</w:t>
            </w:r>
          </w:p>
        </w:tc>
      </w:tr>
      <w:tr>
        <w:tblPrEx>
          <w:tblCellMar>
            <w:top w:w="0" w:type="dxa"/>
            <w:left w:w="108" w:type="dxa"/>
            <w:bottom w:w="0" w:type="dxa"/>
            <w:right w:w="108" w:type="dxa"/>
          </w:tblCellMar>
        </w:tblPrEx>
        <w:trPr>
          <w:trHeight w:val="320" w:hRule="atLeast"/>
        </w:trPr>
        <w:tc>
          <w:tcPr>
            <w:tcW w:w="2547" w:type="dxa"/>
            <w:vMerge w:val="continue"/>
            <w:tcBorders>
              <w:left w:val="single" w:color="auto" w:sz="4" w:space="0"/>
              <w:right w:val="single" w:color="auto" w:sz="4" w:space="0"/>
            </w:tcBorders>
            <w:vAlign w:val="center"/>
          </w:tcPr>
          <w:p>
            <w:pPr>
              <w:jc w:val="center"/>
              <w:rPr>
                <w:rFonts w:asciiTheme="minorEastAsia" w:hAnsiTheme="minorEastAsia" w:eastAsiaTheme="minorEastAsia"/>
                <w:bCs/>
                <w:color w:val="auto"/>
                <w:sz w:val="21"/>
                <w:szCs w:val="21"/>
                <w:highlight w:val="none"/>
              </w:rPr>
            </w:pPr>
          </w:p>
        </w:tc>
        <w:tc>
          <w:tcPr>
            <w:tcW w:w="6662"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学生端AI课程学习平台</w:t>
            </w:r>
          </w:p>
        </w:tc>
      </w:tr>
      <w:tr>
        <w:tblPrEx>
          <w:tblCellMar>
            <w:top w:w="0" w:type="dxa"/>
            <w:left w:w="108" w:type="dxa"/>
            <w:bottom w:w="0" w:type="dxa"/>
            <w:right w:w="108" w:type="dxa"/>
          </w:tblCellMar>
        </w:tblPrEx>
        <w:trPr>
          <w:trHeight w:val="320" w:hRule="atLeast"/>
        </w:trPr>
        <w:tc>
          <w:tcPr>
            <w:tcW w:w="2547"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bCs/>
                <w:color w:val="auto"/>
                <w:sz w:val="21"/>
                <w:szCs w:val="21"/>
                <w:highlight w:val="none"/>
              </w:rPr>
            </w:pPr>
          </w:p>
        </w:tc>
        <w:tc>
          <w:tcPr>
            <w:tcW w:w="6662" w:type="dxa"/>
            <w:tcBorders>
              <w:top w:val="nil"/>
              <w:left w:val="nil"/>
              <w:bottom w:val="single" w:color="auto" w:sz="4" w:space="0"/>
              <w:right w:val="single" w:color="auto" w:sz="4" w:space="0"/>
            </w:tcBorders>
            <w:noWrap/>
            <w:vAlign w:val="center"/>
          </w:tcPr>
          <w:p>
            <w:pPr>
              <w:jc w:val="center"/>
              <w:rPr>
                <w:rFonts w:asciiTheme="minorEastAsia" w:hAnsiTheme="minorEastAsia" w:eastAsiaTheme="minorEastAsia"/>
                <w:bCs/>
                <w:color w:val="auto"/>
                <w:sz w:val="21"/>
                <w:szCs w:val="21"/>
                <w:highlight w:val="none"/>
              </w:rPr>
            </w:pPr>
            <w:r>
              <w:rPr>
                <w:rFonts w:hint="eastAsia" w:asciiTheme="minorEastAsia" w:hAnsiTheme="minorEastAsia" w:eastAsiaTheme="minorEastAsia"/>
                <w:bCs/>
                <w:color w:val="auto"/>
                <w:sz w:val="21"/>
                <w:szCs w:val="21"/>
                <w:highlight w:val="none"/>
              </w:rPr>
              <w:t>老师端教学成果观测平台</w:t>
            </w:r>
          </w:p>
        </w:tc>
      </w:tr>
    </w:tbl>
    <w:p>
      <w:pPr>
        <w:pStyle w:val="4"/>
        <w:spacing w:before="0" w:after="0" w:line="560" w:lineRule="exact"/>
        <w:ind w:firstLine="420" w:firstLineChars="150"/>
        <w:rPr>
          <w:rFonts w:asciiTheme="minorEastAsia" w:hAnsiTheme="minorEastAsia" w:eastAsiaTheme="minorEastAsia"/>
          <w:b w:val="0"/>
          <w:color w:val="auto"/>
          <w:sz w:val="28"/>
          <w:szCs w:val="28"/>
          <w:highlight w:val="none"/>
        </w:rPr>
      </w:pPr>
      <w:bookmarkStart w:id="32" w:name="_Toc105060891"/>
      <w:r>
        <w:rPr>
          <w:rFonts w:hint="eastAsia" w:asciiTheme="minorEastAsia" w:hAnsiTheme="minorEastAsia" w:eastAsiaTheme="minorEastAsia"/>
          <w:b w:val="0"/>
          <w:color w:val="auto"/>
          <w:sz w:val="28"/>
          <w:szCs w:val="28"/>
          <w:highlight w:val="none"/>
        </w:rPr>
        <w:t>三</w:t>
      </w:r>
      <w:r>
        <w:rPr>
          <w:rFonts w:asciiTheme="minorEastAsia" w:hAnsiTheme="minorEastAsia" w:eastAsiaTheme="minorEastAsia"/>
          <w:b w:val="0"/>
          <w:color w:val="auto"/>
          <w:sz w:val="28"/>
          <w:szCs w:val="28"/>
          <w:highlight w:val="none"/>
        </w:rPr>
        <w:t>、项目</w:t>
      </w:r>
      <w:r>
        <w:rPr>
          <w:rFonts w:hint="eastAsia" w:asciiTheme="minorEastAsia" w:hAnsiTheme="minorEastAsia" w:eastAsiaTheme="minorEastAsia"/>
          <w:b w:val="0"/>
          <w:color w:val="auto"/>
          <w:sz w:val="28"/>
          <w:szCs w:val="28"/>
          <w:highlight w:val="none"/>
        </w:rPr>
        <w:t>功能及</w:t>
      </w:r>
      <w:r>
        <w:rPr>
          <w:rFonts w:asciiTheme="minorEastAsia" w:hAnsiTheme="minorEastAsia" w:eastAsiaTheme="minorEastAsia"/>
          <w:b w:val="0"/>
          <w:color w:val="auto"/>
          <w:sz w:val="28"/>
          <w:szCs w:val="28"/>
          <w:highlight w:val="none"/>
        </w:rPr>
        <w:t>技术</w:t>
      </w:r>
      <w:bookmarkEnd w:id="30"/>
      <w:r>
        <w:rPr>
          <w:rFonts w:hint="eastAsia" w:asciiTheme="minorEastAsia" w:hAnsiTheme="minorEastAsia" w:eastAsiaTheme="minorEastAsia"/>
          <w:b w:val="0"/>
          <w:color w:val="auto"/>
          <w:sz w:val="28"/>
          <w:szCs w:val="28"/>
          <w:highlight w:val="none"/>
        </w:rPr>
        <w:t>要求</w:t>
      </w:r>
      <w:bookmarkEnd w:id="32"/>
    </w:p>
    <w:p>
      <w:pPr>
        <w:pStyle w:val="5"/>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（一）知识图谱建设技术要求</w:t>
      </w:r>
    </w:p>
    <w:p>
      <w:pPr>
        <w:pStyle w:val="6"/>
        <w:tabs>
          <w:tab w:val="clear" w:pos="2551"/>
        </w:tabs>
        <w:ind w:left="1276"/>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 xml:space="preserve"> 课程知识图谱成果展示平台</w:t>
      </w:r>
    </w:p>
    <w:p>
      <w:pPr>
        <w:ind w:firstLine="56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为更好地推进课程素质教育和提高人才培养质量，建设基于知识图谱的知识新体系。在教学大纲的基础上，重新整合课程的教学认知目标和教学资源，重新梳理课程包含的知识点，构建知识点之间的相互关联，并用更清晰明了、可视化的方式展示课程知识图谱建设成果，便于学生了解和掌握，获得更好的学习效果；探索更为高效的自主学习辅导方式和更为合理的评价体系，推动数字化教育的AI化并帮助学校提升教学质量。</w:t>
      </w:r>
    </w:p>
    <w:p>
      <w:pPr>
        <w:pStyle w:val="7"/>
        <w:ind w:hanging="726"/>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w:t>
      </w: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课程知识图谱成果管理</w:t>
      </w:r>
    </w:p>
    <w:p>
      <w:pPr>
        <w:spacing w:line="360" w:lineRule="auto"/>
        <w:rPr>
          <w:rFonts w:asciiTheme="minorEastAsia" w:hAnsiTheme="minorEastAsia" w:eastAsiaTheme="minorEastAsia"/>
          <w:color w:val="auto"/>
          <w:sz w:val="21"/>
          <w:highlight w:val="none"/>
        </w:rPr>
      </w:pPr>
      <w:r>
        <w:rPr>
          <w:rFonts w:hint="eastAsia" w:asciiTheme="minorEastAsia" w:hAnsiTheme="minorEastAsia" w:eastAsiaTheme="minorEastAsia"/>
          <w:b/>
          <w:bCs/>
          <w:color w:val="auto"/>
          <w:highlight w:val="none"/>
        </w:rPr>
        <w:t>1）支持图谱内容发布管理：</w:t>
      </w:r>
      <w:r>
        <w:rPr>
          <w:rFonts w:hint="eastAsia" w:asciiTheme="minorEastAsia" w:hAnsiTheme="minorEastAsia" w:eastAsiaTheme="minorEastAsia"/>
          <w:color w:val="auto"/>
          <w:highlight w:val="none"/>
        </w:rPr>
        <w:t>通过图谱发布设置，可将图谱分享给平台管理员、本校学生、指定学校用户、指定用户、完全公开等多种方式，预览知识图谱建设成果。</w:t>
      </w:r>
    </w:p>
    <w:p>
      <w:pPr>
        <w:spacing w:line="360" w:lineRule="auto"/>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2）支持设置图谱编辑权限管理：</w:t>
      </w:r>
      <w:r>
        <w:rPr>
          <w:rFonts w:hint="eastAsia" w:asciiTheme="minorEastAsia" w:hAnsiTheme="minorEastAsia" w:eastAsiaTheme="minorEastAsia"/>
          <w:color w:val="auto"/>
          <w:highlight w:val="none"/>
        </w:rPr>
        <w:t>通过平台图谱权限管理模块，可添加对应协作管理员，参与日常的图谱建设。</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3）支持图谱成果汇总展示：</w:t>
      </w:r>
      <w:r>
        <w:rPr>
          <w:rFonts w:hint="eastAsia" w:asciiTheme="minorEastAsia" w:hAnsiTheme="minorEastAsia" w:eastAsiaTheme="minorEastAsia"/>
          <w:color w:val="auto"/>
          <w:highlight w:val="none"/>
        </w:rPr>
        <w:t>支持平台课程图谱全公开，为全校平台用户展示本校已建设的课程图谱概况，并通过后台发布设置，指定对应的用户/用户群浏览知识图谱详情内容。</w:t>
      </w:r>
    </w:p>
    <w:p>
      <w:pPr>
        <w:pStyle w:val="7"/>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1.2</w:t>
      </w:r>
      <w:r>
        <w:rPr>
          <w:rFonts w:hint="eastAsia" w:asciiTheme="minorEastAsia" w:hAnsiTheme="minorEastAsia" w:eastAsiaTheme="minorEastAsia"/>
          <w:color w:val="auto"/>
          <w:sz w:val="28"/>
          <w:szCs w:val="28"/>
          <w:highlight w:val="none"/>
        </w:rPr>
        <w:t>课程知识图谱成果主页</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1）支持生成课程图谱成果基础信息：</w:t>
      </w:r>
      <w:r>
        <w:rPr>
          <w:rFonts w:hint="eastAsia" w:asciiTheme="minorEastAsia" w:hAnsiTheme="minorEastAsia" w:eastAsiaTheme="minorEastAsia"/>
          <w:color w:val="auto"/>
          <w:highlight w:val="none"/>
        </w:rPr>
        <w:t>支持展示已经建设完成的课程知识图谱基础信息，包含课程名称、课程三级分类详情、建课学校信息、课程负责人、介绍视频、课程简介与本门课程知识图谱建设成果基础概况数据，其中基础概况数据包含能力建设成果、问题建设成果、知识点建设成果与教学资源建设成果，成果数据会根据建设内容实施更新。</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2）支持生成图谱课程概述成果：</w:t>
      </w:r>
      <w:r>
        <w:rPr>
          <w:rFonts w:hint="eastAsia" w:asciiTheme="minorEastAsia" w:hAnsiTheme="minorEastAsia" w:eastAsiaTheme="minorEastAsia"/>
          <w:color w:val="auto"/>
          <w:highlight w:val="none"/>
        </w:rPr>
        <w:t>平台支持用户通过导入的形式将本门课程知识图谱中的课程概述成果一键导入，导入内容包含文字、图片、URL等。</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3）支持个性化内容导入：</w:t>
      </w:r>
      <w:r>
        <w:rPr>
          <w:rFonts w:hint="eastAsia" w:asciiTheme="minorEastAsia" w:hAnsiTheme="minorEastAsia" w:eastAsiaTheme="minorEastAsia"/>
          <w:color w:val="auto"/>
          <w:highlight w:val="none"/>
        </w:rPr>
        <w:t>支持生成专属于本门课程图谱概况的个性化项目类别。并且系统可根据导入数据，自动分析汇总本门课程的学时数据。</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★4）支持选择多种图谱框架类型：</w:t>
      </w:r>
      <w:r>
        <w:rPr>
          <w:rFonts w:hint="eastAsia" w:asciiTheme="minorEastAsia" w:hAnsiTheme="minorEastAsia" w:eastAsiaTheme="minorEastAsia"/>
          <w:color w:val="auto"/>
          <w:highlight w:val="none"/>
        </w:rPr>
        <w:t>支持多种图谱框架类型，包括：知识型图谱、问题型图谱、综合型图谱、技能型图谱等，帮助学校更好的建设各个类型的课程图谱。</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5）支持建设课程框架成果：</w:t>
      </w:r>
      <w:r>
        <w:rPr>
          <w:rFonts w:hint="eastAsia" w:asciiTheme="minorEastAsia" w:hAnsiTheme="minorEastAsia" w:eastAsiaTheme="minorEastAsia"/>
          <w:color w:val="auto"/>
          <w:highlight w:val="none"/>
        </w:rPr>
        <w:t>支持展示本课程知识图谱中的课程框架内容，包含课程框架名称、课程框架描述、子主题详情内容，帮助用户更好的了解本门课程知识图谱的框架。</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★6）支持建设课程地图成果：</w:t>
      </w:r>
      <w:r>
        <w:rPr>
          <w:rFonts w:hint="eastAsia" w:asciiTheme="minorEastAsia" w:hAnsiTheme="minorEastAsia" w:eastAsiaTheme="minorEastAsia"/>
          <w:color w:val="auto"/>
          <w:highlight w:val="none"/>
        </w:rPr>
        <w:t>系统可通过一键导入的形式完成课程地图的建设，多次导入可累计增加课程地图内容。建设内容包含：课程名称、课程主题、课程子主题、课程知识点、知识点内容与描述，其中知识点内容包含重点、难点、考点、概述、案例、训练/实操、总结、练习、问题（引例）、项目/任务/步骤、思政点、外延、讨论、情景引入、实验、岗位、证书与比赛等内容。系统可根据实际建设层级，生成对应的建设成果，实现学校的建设地图成果全公开。</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7）支持课程地图快捷操作：</w:t>
      </w:r>
      <w:r>
        <w:rPr>
          <w:rFonts w:hint="eastAsia" w:asciiTheme="minorEastAsia" w:hAnsiTheme="minorEastAsia" w:eastAsiaTheme="minorEastAsia"/>
          <w:color w:val="auto"/>
          <w:highlight w:val="none"/>
        </w:rPr>
        <w:t>系统支持提供快捷操作工具帮助用户建设与预览本门课程知识图谱的课程地图，快捷操作工具包含：全屏观看、展开/缩起节点、定位到课程、放大与缩小等。</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8）支持统计图谱内的资源建设成果：</w:t>
      </w:r>
      <w:r>
        <w:rPr>
          <w:rFonts w:hint="eastAsia" w:asciiTheme="minorEastAsia" w:hAnsiTheme="minorEastAsia" w:eastAsiaTheme="minorEastAsia"/>
          <w:color w:val="auto"/>
          <w:highlight w:val="none"/>
        </w:rPr>
        <w:t>支持统计本门课程知识图谱内建设的全部教学资源，资源统计内容包含：资源总数、视频资源总数、视频总时长、教材总字数、题目总字数等。</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9）支持自动设置资源推送排序类型数据：</w:t>
      </w:r>
      <w:r>
        <w:rPr>
          <w:rFonts w:hint="eastAsia" w:asciiTheme="minorEastAsia" w:hAnsiTheme="minorEastAsia" w:eastAsiaTheme="minorEastAsia"/>
          <w:color w:val="auto"/>
          <w:highlight w:val="none"/>
        </w:rPr>
        <w:t>包括推荐规则设置、网状图页所配置，通过灵活配置，系统会自动匹配相应的教学资源给到用户进行图谱建设。</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10）支持搜索待建设的知识点：</w:t>
      </w:r>
      <w:r>
        <w:rPr>
          <w:rFonts w:hint="eastAsia" w:asciiTheme="minorEastAsia" w:hAnsiTheme="minorEastAsia" w:eastAsiaTheme="minorEastAsia"/>
          <w:color w:val="auto"/>
          <w:highlight w:val="none"/>
        </w:rPr>
        <w:t>系统支持通过搜索的形式，找到对应的知识点，并对知识点进行内容建设。</w:t>
      </w:r>
    </w:p>
    <w:p>
      <w:pP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★11）支持用户通过智能搜索得到与课程相关的网络教学资源，进行课外教学资源补充学习，资源类型包括知乎、视频、bilibili、百度百科等多种途径。</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12）支持建设主题内容详情：</w:t>
      </w:r>
      <w:r>
        <w:rPr>
          <w:rFonts w:hint="eastAsia" w:asciiTheme="minorEastAsia" w:hAnsiTheme="minorEastAsia" w:eastAsiaTheme="minorEastAsia"/>
          <w:color w:val="auto"/>
          <w:highlight w:val="none"/>
        </w:rPr>
        <w:t>系统会根据主题/知识点下的全部知识点内容进行汇总，获取当前主题下全部的资源数量，包含：视频、教材、题目与外部资源，并支持对主题/知识点添加新的教学资源，补充知识图谱建设内容。</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13）支持建设课程知识图谱关系字典：</w:t>
      </w:r>
      <w:r>
        <w:rPr>
          <w:rFonts w:hint="eastAsia" w:asciiTheme="minorEastAsia" w:hAnsiTheme="minorEastAsia" w:eastAsiaTheme="minorEastAsia"/>
          <w:color w:val="auto"/>
          <w:highlight w:val="none"/>
        </w:rPr>
        <w:t>支持生成专属于本门课程知识图谱的关系字典标准，关系字典标准大类类型有：包含、顺序与相关内容。用户可根据自身需要修改/添加关系内容，其中可修改的内容包含含义、实例与解释，通过关系详情建设，生成专属于本门课程的关系字典。</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14）支持通过知识地图生成知识图谱：</w:t>
      </w:r>
      <w:r>
        <w:rPr>
          <w:rFonts w:hint="eastAsia" w:asciiTheme="minorEastAsia" w:hAnsiTheme="minorEastAsia" w:eastAsiaTheme="minorEastAsia"/>
          <w:color w:val="auto"/>
          <w:highlight w:val="none"/>
        </w:rPr>
        <w:t>支持系统通过一键导入的形式，将已经建设好的知识地图放置到知识图谱中，并通过知识关系连接多个知识点，形成网状图谱内容。</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15）支持通过快照展示知识图谱最佳状态：</w:t>
      </w:r>
      <w:r>
        <w:rPr>
          <w:rFonts w:hint="eastAsia" w:asciiTheme="minorEastAsia" w:hAnsiTheme="minorEastAsia" w:eastAsiaTheme="minorEastAsia"/>
          <w:color w:val="auto"/>
          <w:highlight w:val="none"/>
        </w:rPr>
        <w:t>支持系统通过快照功能，一键生成本门课程知识图谱的最佳展示视角，并将生成的快照图片放置在知识图谱详情中进行对外展示。</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16）支持通过类别筛选观看本课程的知识图谱内容：</w:t>
      </w:r>
      <w:r>
        <w:rPr>
          <w:rFonts w:hint="eastAsia" w:asciiTheme="minorEastAsia" w:hAnsiTheme="minorEastAsia" w:eastAsiaTheme="minorEastAsia"/>
          <w:color w:val="auto"/>
          <w:highlight w:val="none"/>
        </w:rPr>
        <w:t>系统提供多种工具便于用户预览课程知识图谱详情。可通过课程主题的分类筛选课程内的知识点，也可通过知识分类，搜索课程中的事实性知识点、概念性知识点、程序性知识点与元知知识点等。同时也可通过重点、难点、考点等方式对知识点进行筛选。支持通过知识关系筛选知识点内容。知识点筛选时，可同时选择多种类型内容。</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17）系统支持建设知识点分类：</w:t>
      </w:r>
      <w:r>
        <w:rPr>
          <w:rFonts w:hint="eastAsia" w:asciiTheme="minorEastAsia" w:hAnsiTheme="minorEastAsia" w:eastAsiaTheme="minorEastAsia"/>
          <w:color w:val="auto"/>
          <w:highlight w:val="none"/>
        </w:rPr>
        <w:t>系统可根据用户需要，在知识点编辑过程中建设知识点分类，建设完成后，可通过分类对已经编辑过的知识点进行筛选与预览。</w:t>
      </w:r>
      <w:r>
        <w:rPr>
          <w:rFonts w:hint="eastAsia" w:asciiTheme="minorEastAsia" w:hAnsiTheme="minorEastAsia" w:eastAsiaTheme="minorEastAsia"/>
          <w:color w:val="auto"/>
          <w:highlight w:val="none"/>
        </w:rPr>
        <w:tab/>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18）支持预览知识点详情：</w:t>
      </w:r>
      <w:r>
        <w:rPr>
          <w:rFonts w:hint="eastAsia" w:asciiTheme="minorEastAsia" w:hAnsiTheme="minorEastAsia" w:eastAsiaTheme="minorEastAsia"/>
          <w:color w:val="auto"/>
          <w:highlight w:val="none"/>
        </w:rPr>
        <w:t>系统支持点击某个知识点后，观看知识点画像详情。内容包含知识点与相邻知识点的路径关系、知识点简介、知识点内容、知识点素材等多种内容。</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19）支持生成问题图谱体系：</w:t>
      </w:r>
      <w:r>
        <w:rPr>
          <w:rFonts w:hint="eastAsia" w:asciiTheme="minorEastAsia" w:hAnsiTheme="minorEastAsia" w:eastAsiaTheme="minorEastAsia"/>
          <w:color w:val="auto"/>
          <w:highlight w:val="none"/>
        </w:rPr>
        <w:t>基于课程知识图谱，建设基于“全局层问题——概念层问题——方法层问题”的三层问题模型，用户也可根据自身教学需要，自定义命名问题模型。</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20）支持生成问题画像：</w:t>
      </w:r>
      <w:r>
        <w:rPr>
          <w:rFonts w:hint="eastAsia" w:asciiTheme="minorEastAsia" w:hAnsiTheme="minorEastAsia" w:eastAsiaTheme="minorEastAsia"/>
          <w:color w:val="auto"/>
          <w:highlight w:val="none"/>
        </w:rPr>
        <w:t>通过建设完整的问题内容形成课程内的问题画像，问题画像包含问题描述、问题标签、相关知识点，关联问题等内容</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21）支持生成能力体系概况：</w:t>
      </w:r>
      <w:r>
        <w:rPr>
          <w:rFonts w:hint="eastAsia" w:asciiTheme="minorEastAsia" w:hAnsiTheme="minorEastAsia" w:eastAsiaTheme="minorEastAsia"/>
          <w:color w:val="auto"/>
          <w:highlight w:val="none"/>
        </w:rPr>
        <w:t>基于课程知识图谱与专业培养方案等专业要求，建设基于学习能力相关等能力体系。</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22）支持建设能力体系关联：</w:t>
      </w:r>
      <w:r>
        <w:rPr>
          <w:rFonts w:hint="eastAsia" w:asciiTheme="minorEastAsia" w:hAnsiTheme="minorEastAsia" w:eastAsiaTheme="minorEastAsia"/>
          <w:color w:val="auto"/>
          <w:highlight w:val="none"/>
        </w:rPr>
        <w:t>通过建设能力体系，将课程内的知识体系、问题体系相关联。</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23）支持能力体系画像：</w:t>
      </w:r>
      <w:r>
        <w:rPr>
          <w:rFonts w:hint="eastAsia" w:asciiTheme="minorEastAsia" w:hAnsiTheme="minorEastAsia" w:eastAsiaTheme="minorEastAsia"/>
          <w:color w:val="auto"/>
          <w:highlight w:val="none"/>
        </w:rPr>
        <w:t>通过建设完整的能力体系，形成课程能力画像，能力画像包含能力名称、能力详情、关联问题、关联主题、关联知识点等。</w:t>
      </w:r>
    </w:p>
    <w:p>
      <w:pPr>
        <w:pStyle w:val="6"/>
        <w:tabs>
          <w:tab w:val="clear" w:pos="2551"/>
        </w:tabs>
        <w:ind w:left="851" w:hanging="425"/>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 xml:space="preserve"> 课程知识图谱构建平台</w:t>
      </w:r>
    </w:p>
    <w:p>
      <w:pPr>
        <w:spacing w:line="360" w:lineRule="auto"/>
        <w:ind w:firstLine="560" w:firstLineChars="200"/>
        <w:rPr>
          <w:rFonts w:asciiTheme="minorEastAsia" w:hAnsiTheme="minorEastAsia" w:eastAsiaTheme="minorEastAsia"/>
          <w:color w:val="auto"/>
          <w:sz w:val="21"/>
          <w:highlight w:val="none"/>
        </w:rPr>
      </w:pPr>
      <w:r>
        <w:rPr>
          <w:rFonts w:hint="eastAsia" w:asciiTheme="minorEastAsia" w:hAnsiTheme="minorEastAsia" w:eastAsiaTheme="minorEastAsia"/>
          <w:color w:val="auto"/>
          <w:highlight w:val="none"/>
        </w:rPr>
        <w:t>项目主要目标是围绕学校内的核心课程构建课程的知识图谱，为后续的教育教学工作提供基础支撑。高等教育的核心在于学生学科思维能力的培养，除了帮助学生掌握学科基础理论知识，还要培养学生利用知识解决问题等的学科思维能力。其建设主要包括如下三个维度。</w:t>
      </w:r>
    </w:p>
    <w:p>
      <w:pPr>
        <w:pStyle w:val="7"/>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w:t>
      </w:r>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知识图谱创建</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1）支持多种图谱类型：</w:t>
      </w:r>
      <w:r>
        <w:rPr>
          <w:rFonts w:hint="eastAsia" w:asciiTheme="minorEastAsia" w:hAnsiTheme="minorEastAsia" w:eastAsiaTheme="minorEastAsia"/>
          <w:color w:val="auto"/>
          <w:highlight w:val="none"/>
        </w:rPr>
        <w:t>支持按照实际需要创建课程类型的知识图谱，以用于不同教学场景；</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2）支持树状、网状图谱类型：</w:t>
      </w:r>
      <w:r>
        <w:rPr>
          <w:rFonts w:hint="eastAsia" w:asciiTheme="minorEastAsia" w:hAnsiTheme="minorEastAsia" w:eastAsiaTheme="minorEastAsia"/>
          <w:color w:val="auto"/>
          <w:highlight w:val="none"/>
        </w:rPr>
        <w:t>支持创建侧重知识结构的树状知识图谱和侧重知识关系的网状知识图谱，支持根据实际需要创建不同类型的知识图谱；</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3）支持文件导入知识图谱：</w:t>
      </w:r>
      <w:r>
        <w:rPr>
          <w:rFonts w:hint="eastAsia" w:asciiTheme="minorEastAsia" w:hAnsiTheme="minorEastAsia" w:eastAsiaTheme="minorEastAsia"/>
          <w:color w:val="auto"/>
          <w:highlight w:val="none"/>
        </w:rPr>
        <w:t>支持本地导入xmind格式的思维导图文件，自动读取文件数据，生成课程知识图谱，导入的模板内容需要包含课程名称、教学主题、教学子主题、知识点、知识点类型等内容；</w:t>
      </w:r>
    </w:p>
    <w:p>
      <w:pPr>
        <w:pStyle w:val="7"/>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w:t>
      </w:r>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内容资源包管理</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★1）支持知识图谱云资源包：</w:t>
      </w:r>
      <w:r>
        <w:rPr>
          <w:rFonts w:hint="eastAsia" w:asciiTheme="minorEastAsia" w:hAnsiTheme="minorEastAsia" w:eastAsiaTheme="minorEastAsia"/>
          <w:color w:val="auto"/>
          <w:highlight w:val="none"/>
        </w:rPr>
        <w:t>平台需要提供构建图谱的云资源包，总体不少于100门已有的同学科大类的慕课课程视频资源、相关电子教材资源、基于电子教材自动生成的概念集等，作为知识图谱构建的核心原始语料，资源包支持通过系统自动切取各个知识点对应教学资源，协助老师完成课程建设；</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2）支持添加知识图谱资源包：</w:t>
      </w:r>
      <w:r>
        <w:rPr>
          <w:rFonts w:hint="eastAsia" w:asciiTheme="minorEastAsia" w:hAnsiTheme="minorEastAsia" w:eastAsiaTheme="minorEastAsia"/>
          <w:color w:val="auto"/>
          <w:highlight w:val="none"/>
        </w:rPr>
        <w:t>支持教师在构建知识图谱时通过搜索添加知识图谱相关资源，构建当前知识图谱的个性化资源包，为教师构建科学合理的知识图谱提供资源支撑；</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3）支持推荐可用资源：</w:t>
      </w:r>
      <w:r>
        <w:rPr>
          <w:rFonts w:hint="eastAsia" w:asciiTheme="minorEastAsia" w:hAnsiTheme="minorEastAsia" w:eastAsiaTheme="minorEastAsia"/>
          <w:color w:val="auto"/>
          <w:highlight w:val="none"/>
        </w:rPr>
        <w:t>支持对教师搜索的资源内容，通过人工智能技术，推荐用户可能会需要的相关资源片段，推荐准确率到达80%；</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4）支持知识图谱资源包管理：</w:t>
      </w:r>
      <w:r>
        <w:rPr>
          <w:rFonts w:hint="eastAsia" w:asciiTheme="minorEastAsia" w:hAnsiTheme="minorEastAsia" w:eastAsiaTheme="minorEastAsia"/>
          <w:color w:val="auto"/>
          <w:highlight w:val="none"/>
        </w:rPr>
        <w:t>支持手动增加或删除当前知识图谱的资源包内容；</w:t>
      </w:r>
    </w:p>
    <w:p>
      <w:pPr>
        <w:pStyle w:val="7"/>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w:t>
      </w:r>
      <w:r>
        <w:rPr>
          <w:rFonts w:asciiTheme="minorEastAsia" w:hAnsiTheme="minorEastAsia" w:eastAsiaTheme="minorEastAsia"/>
          <w:color w:val="auto"/>
          <w:sz w:val="28"/>
          <w:szCs w:val="28"/>
          <w:highlight w:val="none"/>
        </w:rPr>
        <w:t>.3</w:t>
      </w:r>
      <w:r>
        <w:rPr>
          <w:rFonts w:hint="eastAsia" w:asciiTheme="minorEastAsia" w:hAnsiTheme="minorEastAsia" w:eastAsiaTheme="minorEastAsia"/>
          <w:color w:val="auto"/>
          <w:sz w:val="28"/>
          <w:szCs w:val="28"/>
          <w:highlight w:val="none"/>
        </w:rPr>
        <w:t>知识点资源智能搜索系统</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★1）支持知识点资源自动推荐：</w:t>
      </w:r>
      <w:r>
        <w:rPr>
          <w:rFonts w:hint="eastAsia" w:asciiTheme="minorEastAsia" w:hAnsiTheme="minorEastAsia" w:eastAsiaTheme="minorEastAsia"/>
          <w:color w:val="auto"/>
          <w:highlight w:val="none"/>
        </w:rPr>
        <w:t>系统每天根据知识点内容，在互联网中自动爬取相关网络教学资源，并提供给教师辅助课程建设，资源类型包含但不限于知乎、知网、百度百科、视频、电子书、bilibili等资源，资源推荐数量不低于100条。</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2）支持手动搜索相应的网络教学资源：</w:t>
      </w:r>
      <w:r>
        <w:rPr>
          <w:rFonts w:hint="eastAsia" w:asciiTheme="minorEastAsia" w:hAnsiTheme="minorEastAsia" w:eastAsiaTheme="minorEastAsia"/>
          <w:color w:val="auto"/>
          <w:highlight w:val="none"/>
        </w:rPr>
        <w:t>用户可在知识资源智能搜索系统中手动输入关键词搜索对应的资源，资源来源包括：课程、知乎、电子书、知网、百科、bilibili。同时用户可设置搜索内容，包含：概念、案例、研究、示意、拓展、信息、观点、跨学科、比较、趋势、引例、视意等资源类型。</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支持用户通过资源清单选择教学资源：在用户选择完资源后，可以通过加入问题清单的方式，将资源暂时加入到购物车中，后续统一对资源进行管理与挂载等操作。</w:t>
      </w:r>
    </w:p>
    <w:p>
      <w:pPr>
        <w:pStyle w:val="7"/>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w:t>
      </w:r>
      <w:r>
        <w:rPr>
          <w:rFonts w:asciiTheme="minorEastAsia" w:hAnsiTheme="minorEastAsia" w:eastAsiaTheme="minorEastAsia"/>
          <w:color w:val="auto"/>
          <w:sz w:val="28"/>
          <w:szCs w:val="28"/>
          <w:highlight w:val="none"/>
        </w:rPr>
        <w:t>.4</w:t>
      </w:r>
      <w:r>
        <w:rPr>
          <w:rFonts w:hint="eastAsia" w:asciiTheme="minorEastAsia" w:hAnsiTheme="minorEastAsia" w:eastAsiaTheme="minorEastAsia"/>
          <w:color w:val="auto"/>
          <w:sz w:val="28"/>
          <w:szCs w:val="28"/>
          <w:highlight w:val="none"/>
        </w:rPr>
        <w:t>知识图谱模型建设</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1）支持快速建立知识图谱节点：</w:t>
      </w:r>
      <w:r>
        <w:rPr>
          <w:rFonts w:hint="eastAsia" w:asciiTheme="minorEastAsia" w:hAnsiTheme="minorEastAsia" w:eastAsiaTheme="minorEastAsia"/>
          <w:color w:val="auto"/>
          <w:highlight w:val="none"/>
        </w:rPr>
        <w:t>支持从知识图谱资源包选择具体的内容片段快速建立知识点，自动生成知识点名称，比如从资源包选择已有多门MOOC的章节名称、多本电子书本的目录片段和书本内结构化自动识别的概念集片段等自动创建知识点；</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2）支持自定义创建图谱知识点：</w:t>
      </w:r>
      <w:r>
        <w:rPr>
          <w:rFonts w:hint="eastAsia" w:asciiTheme="minorEastAsia" w:hAnsiTheme="minorEastAsia" w:eastAsiaTheme="minorEastAsia"/>
          <w:color w:val="auto"/>
          <w:highlight w:val="none"/>
        </w:rPr>
        <w:t>支持在已有的网状知识图谱画布上任意位置，手动创建空白知识点；</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3）支持自定义图谱节点样式：</w:t>
      </w:r>
      <w:r>
        <w:rPr>
          <w:rFonts w:hint="eastAsia" w:asciiTheme="minorEastAsia" w:hAnsiTheme="minorEastAsia" w:eastAsiaTheme="minorEastAsia"/>
          <w:color w:val="auto"/>
          <w:highlight w:val="none"/>
        </w:rPr>
        <w:t>支持用户修改网状图谱节点的名称、颜色（需要提供颜色的色盘）、形状（包括圆形、圆角矩形、菱形）；</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4）支持连接图谱节点关系线：</w:t>
      </w:r>
      <w:r>
        <w:rPr>
          <w:rFonts w:hint="eastAsia" w:asciiTheme="minorEastAsia" w:hAnsiTheme="minorEastAsia" w:eastAsiaTheme="minorEastAsia"/>
          <w:color w:val="auto"/>
          <w:highlight w:val="none"/>
        </w:rPr>
        <w:t>支持网状图谱知识关系线的连接，用户可以自定义设定知识关系或选择系统推荐的知识关系，知识点关系需要包含逻辑结构关系（含依赖、整部、属种、递进、互斥、共生等）和教学语义关系（含引言、案例、实操、总结等）；</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5）支持知识图谱创建自动保存：</w:t>
      </w:r>
      <w:r>
        <w:rPr>
          <w:rFonts w:hint="eastAsia" w:asciiTheme="minorEastAsia" w:hAnsiTheme="minorEastAsia" w:eastAsiaTheme="minorEastAsia"/>
          <w:color w:val="auto"/>
          <w:highlight w:val="none"/>
        </w:rPr>
        <w:t>用户在画布进行操作后（如增加、修改、删除知识点或知识关系等），平台自动保存，用户也可对修改内容手动保存；</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6）支持设置知识点基本信息：</w:t>
      </w:r>
      <w:r>
        <w:rPr>
          <w:rFonts w:hint="eastAsia" w:asciiTheme="minorEastAsia" w:hAnsiTheme="minorEastAsia" w:eastAsiaTheme="minorEastAsia"/>
          <w:color w:val="auto"/>
          <w:highlight w:val="none"/>
        </w:rPr>
        <w:t>包括知识点名称、别名、英文名、知识点类型（事实性知识、概念性知识、程序性知识、元认知知识、辅助性知识）难度、知识点简介、适用课程领域等；</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7）支持设置知识点个人资源：</w:t>
      </w:r>
      <w:r>
        <w:rPr>
          <w:rFonts w:hint="eastAsia" w:asciiTheme="minorEastAsia" w:hAnsiTheme="minorEastAsia" w:eastAsiaTheme="minorEastAsia"/>
          <w:color w:val="auto"/>
          <w:highlight w:val="none"/>
        </w:rPr>
        <w:t>支持为单个知识点本地上传视频教学资源，支持编辑已上传的视频资源名称，设置对应的主讲人信息；</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★8）支持AI自动推荐引用资源：</w:t>
      </w:r>
      <w:r>
        <w:rPr>
          <w:rFonts w:hint="eastAsia" w:asciiTheme="minorEastAsia" w:hAnsiTheme="minorEastAsia" w:eastAsiaTheme="minorEastAsia"/>
          <w:color w:val="auto"/>
          <w:highlight w:val="none"/>
        </w:rPr>
        <w:t>在编辑单个知识点教学资源时，支持通过AI核心算法利用人工智能技术自动推荐知识点相关的教学视频片段、电子教材片段，方便用户快速选择，丰富知识点资源，推荐的资源需要包含资源的名称、来自课程名称、学校名称、教师、章节信息、视频时长、引用状态，对不不合适的视频资源可设置“不再推荐”；</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9）支持知识点教学资源搜索：</w:t>
      </w:r>
      <w:r>
        <w:rPr>
          <w:rFonts w:hint="eastAsia" w:asciiTheme="minorEastAsia" w:hAnsiTheme="minorEastAsia" w:eastAsiaTheme="minorEastAsia"/>
          <w:color w:val="auto"/>
          <w:highlight w:val="none"/>
        </w:rPr>
        <w:t>在为单个知识点添加教学资源时，可以通过关键字搜索已有的各类视频资源，搜索的结果需要包含资源的名称、来自课程名称、学校名称、教师、章节信息、视频时长、引用状态等；</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★10）支持知识点资源的片段标注：</w:t>
      </w:r>
      <w:r>
        <w:rPr>
          <w:rFonts w:hint="eastAsia" w:asciiTheme="minorEastAsia" w:hAnsiTheme="minorEastAsia" w:eastAsiaTheme="minorEastAsia"/>
          <w:color w:val="auto"/>
          <w:highlight w:val="none"/>
        </w:rPr>
        <w:t>支持用户手动修改所引用的教学视频片段位置信息，对于视频资源可在视频时间轴上设置知识点片段的开始位置和截止位置，边设置时能同时看到视频对应的时间戳；对于电子教材书籍可直接设置对应知识点内容片段的起点和终点；</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11）支持知识点属性设置：</w:t>
      </w:r>
      <w:r>
        <w:rPr>
          <w:rFonts w:hint="eastAsia" w:asciiTheme="minorEastAsia" w:hAnsiTheme="minorEastAsia" w:eastAsiaTheme="minorEastAsia"/>
          <w:color w:val="auto"/>
          <w:highlight w:val="none"/>
        </w:rPr>
        <w:t>支持利用知识关系自动为知识点生成知识点属性，包含知识点具体的属性分类、属性的详细介绍内容和对应的碎片化资源索引等，对于属性分类可拖动设置属性的排序、编辑单个属性点的具体信息；</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12）支持展示知识点详情的编辑进度：</w:t>
      </w:r>
      <w:r>
        <w:rPr>
          <w:rFonts w:hint="eastAsia" w:asciiTheme="minorEastAsia" w:hAnsiTheme="minorEastAsia" w:eastAsiaTheme="minorEastAsia"/>
          <w:color w:val="auto"/>
          <w:highlight w:val="none"/>
        </w:rPr>
        <w:t>在单个知识点编辑过程中支持可视化查看单个知识点的内容完整度百分比，方便用户把握知识图谱的资源编辑进度；</w:t>
      </w:r>
    </w:p>
    <w:p>
      <w:pPr>
        <w:pStyle w:val="7"/>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w:t>
      </w:r>
      <w:r>
        <w:rPr>
          <w:rFonts w:asciiTheme="minorEastAsia" w:hAnsiTheme="minorEastAsia" w:eastAsiaTheme="minorEastAsia"/>
          <w:color w:val="auto"/>
          <w:sz w:val="28"/>
          <w:szCs w:val="28"/>
          <w:highlight w:val="none"/>
        </w:rPr>
        <w:t>.5</w:t>
      </w:r>
      <w:r>
        <w:rPr>
          <w:rFonts w:hint="eastAsia" w:asciiTheme="minorEastAsia" w:hAnsiTheme="minorEastAsia" w:eastAsiaTheme="minorEastAsia"/>
          <w:color w:val="auto"/>
          <w:sz w:val="28"/>
          <w:szCs w:val="28"/>
          <w:highlight w:val="none"/>
        </w:rPr>
        <w:t>知识点清单</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1）支持统计本图谱中知识点建设情况总览：</w:t>
      </w:r>
      <w:r>
        <w:rPr>
          <w:rFonts w:hint="eastAsia" w:asciiTheme="minorEastAsia" w:hAnsiTheme="minorEastAsia" w:eastAsiaTheme="minorEastAsia"/>
          <w:color w:val="auto"/>
          <w:highlight w:val="none"/>
        </w:rPr>
        <w:t>系统自动统计本图谱中所有的知识点建设汇总情况，包括知识点数量、资源数量与测试题目建设情况；</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2）支持添加教学资源包：</w:t>
      </w:r>
      <w:r>
        <w:rPr>
          <w:rFonts w:hint="eastAsia" w:asciiTheme="minorEastAsia" w:hAnsiTheme="minorEastAsia" w:eastAsiaTheme="minorEastAsia"/>
          <w:color w:val="auto"/>
          <w:highlight w:val="none"/>
        </w:rPr>
        <w:t>用户可通过该模块添加更多教学课程资源到本图谱教学设计中，同时系统根据资源包建设情况，分析本图谱的课程建设情况、教学引用情况与资源上传情况等数据，协助用户了解图谱建设详情；</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★3）支持生成知识图谱知识点建设清单：</w:t>
      </w:r>
      <w:r>
        <w:rPr>
          <w:rFonts w:hint="eastAsia" w:asciiTheme="minorEastAsia" w:hAnsiTheme="minorEastAsia" w:eastAsiaTheme="minorEastAsia"/>
          <w:color w:val="auto"/>
          <w:highlight w:val="none"/>
        </w:rPr>
        <w:t>通过清单，可快速了解本图谱的知识点建设情况，包括知识点列表、知识点的建设进度、知识点的属性建设情况、知识点各类资源的建设情况，并且通过清单可快速进入知识点编辑页面，完成知识点建设。</w:t>
      </w:r>
    </w:p>
    <w:p>
      <w:pPr>
        <w:pStyle w:val="7"/>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w:t>
      </w:r>
      <w:r>
        <w:rPr>
          <w:rFonts w:asciiTheme="minorEastAsia" w:hAnsiTheme="minorEastAsia" w:eastAsiaTheme="minorEastAsia"/>
          <w:color w:val="auto"/>
          <w:sz w:val="28"/>
          <w:szCs w:val="28"/>
          <w:highlight w:val="none"/>
        </w:rPr>
        <w:t>.6</w:t>
      </w:r>
      <w:r>
        <w:rPr>
          <w:rFonts w:hint="eastAsia" w:asciiTheme="minorEastAsia" w:hAnsiTheme="minorEastAsia" w:eastAsiaTheme="minorEastAsia"/>
          <w:color w:val="auto"/>
          <w:sz w:val="28"/>
          <w:szCs w:val="28"/>
          <w:highlight w:val="none"/>
        </w:rPr>
        <w:t>知识图谱可视化与基础应用</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1）支持知识图谱全局展示：</w:t>
      </w:r>
      <w:r>
        <w:rPr>
          <w:rFonts w:hint="eastAsia" w:asciiTheme="minorEastAsia" w:hAnsiTheme="minorEastAsia" w:eastAsiaTheme="minorEastAsia"/>
          <w:color w:val="auto"/>
          <w:highlight w:val="none"/>
        </w:rPr>
        <w:t>支持知识图谱的全局展示，包括知识点的名称、知识点关系、主题分类筛选、知识分类筛选、知识关系筛选等。课程下不同主题的知识内容需要通过不同的颜色进行区分展示;</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2）支持知识图谱画布自定义大小：</w:t>
      </w:r>
      <w:r>
        <w:rPr>
          <w:rFonts w:hint="eastAsia" w:asciiTheme="minorEastAsia" w:hAnsiTheme="minorEastAsia" w:eastAsiaTheme="minorEastAsia"/>
          <w:color w:val="auto"/>
          <w:highlight w:val="none"/>
        </w:rPr>
        <w:t>通过调节画布百分比，缩放图谱大小和比例，方便用户查看知识图谱;</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3）支持知识图谱基础数据统计：</w:t>
      </w:r>
      <w:r>
        <w:rPr>
          <w:rFonts w:hint="eastAsia" w:asciiTheme="minorEastAsia" w:hAnsiTheme="minorEastAsia" w:eastAsiaTheme="minorEastAsia"/>
          <w:color w:val="auto"/>
          <w:highlight w:val="none"/>
        </w:rPr>
        <w:t>自动统计并显示当前学科知识图谱累计建设的知识点数量、知识关系数量和学习资源数量等数据;</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4）支持知识图谱缩略图导航：</w:t>
      </w:r>
      <w:r>
        <w:rPr>
          <w:rFonts w:hint="eastAsia" w:asciiTheme="minorEastAsia" w:hAnsiTheme="minorEastAsia" w:eastAsiaTheme="minorEastAsia"/>
          <w:color w:val="auto"/>
          <w:highlight w:val="none"/>
        </w:rPr>
        <w:t>支持图谱的缩略图导航，可手动平移当前可视化区域在整个图谱内的位置，方便用户查看当前显示范围在整张图谱中的定位;</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5）支持搜索或点击单个知识点：</w:t>
      </w:r>
      <w:r>
        <w:rPr>
          <w:rFonts w:hint="eastAsia" w:asciiTheme="minorEastAsia" w:hAnsiTheme="minorEastAsia" w:eastAsiaTheme="minorEastAsia"/>
          <w:color w:val="auto"/>
          <w:highlight w:val="none"/>
        </w:rPr>
        <w:t>支持通过关键字搜索或点击单个知识点两种方式，快速定位知识点，并自动调整画布位置或比例，将知识点自动呈现至画布中央保证最佳展示视角，方便用户查看;</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6）支持知识点详情展示：</w:t>
      </w:r>
      <w:r>
        <w:rPr>
          <w:rFonts w:hint="eastAsia" w:asciiTheme="minorEastAsia" w:hAnsiTheme="minorEastAsia" w:eastAsiaTheme="minorEastAsia"/>
          <w:color w:val="auto"/>
          <w:highlight w:val="none"/>
        </w:rPr>
        <w:t>选中知识点时，展示知识点的基本信息（需要包含知识点别名、英文名、适用课程难度）、引用的教学视频和电子教材、本地上传、网络资源的各种类型的资源，以及知识点属性文本介绍等相关内容;</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7）支持单个知识点溯源：</w:t>
      </w:r>
      <w:r>
        <w:rPr>
          <w:rFonts w:hint="eastAsia" w:asciiTheme="minorEastAsia" w:hAnsiTheme="minorEastAsia" w:eastAsiaTheme="minorEastAsia"/>
          <w:color w:val="auto"/>
          <w:highlight w:val="none"/>
        </w:rPr>
        <w:t>选中知识点时，展示知识点的溯源关系，可以查看与它有依赖关系和递进关系的知识点，有利于用户对知识脉络的梳理和把握;</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8）支持查看单个知识点画像：</w:t>
      </w:r>
      <w:r>
        <w:rPr>
          <w:rFonts w:hint="eastAsia" w:asciiTheme="minorEastAsia" w:hAnsiTheme="minorEastAsia" w:eastAsiaTheme="minorEastAsia"/>
          <w:color w:val="auto"/>
          <w:highlight w:val="none"/>
        </w:rPr>
        <w:t>选中知识点时，展示知识点的画像，可以查看与之相关的其他知识点，有利于用户由此及彼，对知识点进行衍生学习;</w:t>
      </w:r>
    </w:p>
    <w:p>
      <w:pPr>
        <w:pStyle w:val="5"/>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（二）基于知识图谱的新形态AI课程应用</w:t>
      </w:r>
    </w:p>
    <w:p>
      <w:pPr>
        <w:ind w:firstLine="56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教学运行平台分为教师和学生两类用户。教师可观测学生的知识点学习进度以及知识点的掌握情况，及时发现需要帮助的学生或学习掌握度较差的知识点。学生可基于知识图谱的新形态自主学习模式，学习各种类型的学习资料，利用知识图谱理清知识之间的关系，通过知识点练习提升对知识点的掌握度。</w:t>
      </w:r>
    </w:p>
    <w:p>
      <w:pPr>
        <w:pStyle w:val="6"/>
        <w:ind w:hanging="2125"/>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 xml:space="preserve"> 标准课程版本建设平台</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1）支持为不同教学对象设定不同的教学版本：</w:t>
      </w:r>
      <w:r>
        <w:rPr>
          <w:rFonts w:hint="eastAsia" w:asciiTheme="minorEastAsia" w:hAnsiTheme="minorEastAsia" w:eastAsiaTheme="minorEastAsia"/>
          <w:color w:val="auto"/>
          <w:highlight w:val="none"/>
        </w:rPr>
        <w:t>支持依据不同的教学对象，从课程知识图谱内挑选相关知识点自动组成不同的个性化课程教学版本；</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2）支持设定相关教学计划：</w:t>
      </w:r>
      <w:r>
        <w:rPr>
          <w:rFonts w:hint="eastAsia" w:asciiTheme="minorEastAsia" w:hAnsiTheme="minorEastAsia" w:eastAsiaTheme="minorEastAsia"/>
          <w:color w:val="auto"/>
          <w:highlight w:val="none"/>
        </w:rPr>
        <w:t>支持为每个个性化的课程版本设置包括周次、课时、每周知识点学习计划，当周知识点学习课前任务、课中教学活动、课后测评方式；</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3）支持多种方式组卷：</w:t>
      </w:r>
      <w:r>
        <w:rPr>
          <w:rFonts w:hint="eastAsia" w:asciiTheme="minorEastAsia" w:hAnsiTheme="minorEastAsia" w:eastAsiaTheme="minorEastAsia"/>
          <w:color w:val="auto"/>
          <w:highlight w:val="none"/>
        </w:rPr>
        <w:t>题库支持多种题型，包含：单选题、多选题、判断题、填空题、问答题等，可选择选题出卷、导入试卷、设定规则自动出卷、双向细目表自动出卷；支持主观题组卷；</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4）支持基于双向细目表的智能组卷：</w:t>
      </w:r>
      <w:r>
        <w:rPr>
          <w:rFonts w:hint="eastAsia" w:asciiTheme="minorEastAsia" w:hAnsiTheme="minorEastAsia" w:eastAsiaTheme="minorEastAsia"/>
          <w:color w:val="auto"/>
          <w:highlight w:val="none"/>
        </w:rPr>
        <w:t>老师可根据设定好的当前试卷考核知识点、不同题型题目数量、难易度分布、每个知识点考核题目的分配规则进行智能组卷，自动随机生成上百套试卷，有效防止学生作弊；</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5）支持展示课程知识树状结构：</w:t>
      </w:r>
      <w:r>
        <w:rPr>
          <w:rFonts w:hint="eastAsia" w:asciiTheme="minorEastAsia" w:hAnsiTheme="minorEastAsia" w:eastAsiaTheme="minorEastAsia"/>
          <w:color w:val="auto"/>
          <w:highlight w:val="none"/>
        </w:rPr>
        <w:t>树状知识图谱需要支持查看课程“教学主题-知识点-知识点内容”的框架结构；</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6）支持设置教学运行时间：</w:t>
      </w:r>
      <w:r>
        <w:rPr>
          <w:rFonts w:hint="eastAsia" w:asciiTheme="minorEastAsia" w:hAnsiTheme="minorEastAsia" w:eastAsiaTheme="minorEastAsia"/>
          <w:color w:val="auto"/>
          <w:highlight w:val="none"/>
        </w:rPr>
        <w:t>根据课程开始时间，自动定位每一周的起止时间；</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7）支持设定考核标准：</w:t>
      </w:r>
      <w:r>
        <w:rPr>
          <w:rFonts w:hint="eastAsia" w:asciiTheme="minorEastAsia" w:hAnsiTheme="minorEastAsia" w:eastAsiaTheme="minorEastAsia"/>
          <w:color w:val="auto"/>
          <w:highlight w:val="none"/>
        </w:rPr>
        <w:t>为课程设定相关考核标准，即为知识点练习、阶段测试、课程测试设定不同的考核权重；</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★8）支持知识图谱一键同步升级为AI课程：</w:t>
      </w:r>
      <w:r>
        <w:rPr>
          <w:rFonts w:hint="eastAsia" w:asciiTheme="minorEastAsia" w:hAnsiTheme="minorEastAsia" w:eastAsiaTheme="minorEastAsia"/>
          <w:color w:val="auto"/>
          <w:highlight w:val="none"/>
        </w:rPr>
        <w:t>系统支持用户创建知识图谱内容建设，并且一键升级为AI课程，同步知识点、知识关系、知识点内容等图谱构成元素。</w:t>
      </w:r>
    </w:p>
    <w:p>
      <w:pPr>
        <w:pStyle w:val="6"/>
        <w:ind w:hanging="2125"/>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 xml:space="preserve"> 学生端AI课程学习平台</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1）支持学习前学习引导：</w:t>
      </w:r>
      <w:r>
        <w:rPr>
          <w:rFonts w:hint="eastAsia" w:asciiTheme="minorEastAsia" w:hAnsiTheme="minorEastAsia" w:eastAsiaTheme="minorEastAsia"/>
          <w:color w:val="auto"/>
          <w:highlight w:val="none"/>
        </w:rPr>
        <w:t>AI助教陪伴辅助学习，学习前会对近期学习数据进行分析，提供相关学习指引；同时同学可根据“教学计划”查看当周学习任务；</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2）支持课程学习目标模型，掌握度即时反馈</w:t>
      </w:r>
      <w:r>
        <w:rPr>
          <w:rFonts w:hint="eastAsia" w:asciiTheme="minorEastAsia" w:hAnsiTheme="minorEastAsia" w:eastAsiaTheme="minorEastAsia"/>
          <w:color w:val="auto"/>
          <w:highlight w:val="none"/>
        </w:rPr>
        <w:t>：支持学生查看课程整体的知识掌握度，以可视化的形式呈现课程全部的教学主题和知识点分布，同时呈现每个知识点当前掌握情况，红色代表掌握较差，蓝色代表掌握一般，绿色代表掌握较好，以帮助学生安排相应的学习计划；</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3）支持知识点学习引例：</w:t>
      </w:r>
      <w:r>
        <w:rPr>
          <w:rFonts w:hint="eastAsia" w:asciiTheme="minorEastAsia" w:hAnsiTheme="minorEastAsia" w:eastAsiaTheme="minorEastAsia"/>
          <w:color w:val="auto"/>
          <w:highlight w:val="none"/>
        </w:rPr>
        <w:t>支持学生在知识点学习前，点击查看知识点相关学习引例，激发学习兴趣；</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4）支持知识点学习视频时间轴结构化标记：</w:t>
      </w:r>
      <w:r>
        <w:rPr>
          <w:rFonts w:hint="eastAsia" w:asciiTheme="minorEastAsia" w:hAnsiTheme="minorEastAsia" w:eastAsiaTheme="minorEastAsia"/>
          <w:color w:val="auto"/>
          <w:highlight w:val="none"/>
        </w:rPr>
        <w:t>支持AI自动将单个知识点的学习视频时间轴进行结构化标记，视频时间轴上不同的片段与知识图谱进行关联，鼠标移入视频时间轴可自动展示知识点内容的名称，点击该知识点内容名称可实现自动跳转播放；</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5）支持知识点视频讲解精华自动生成：</w:t>
      </w:r>
      <w:r>
        <w:rPr>
          <w:rFonts w:hint="eastAsia" w:asciiTheme="minorEastAsia" w:hAnsiTheme="minorEastAsia" w:eastAsiaTheme="minorEastAsia"/>
          <w:color w:val="auto"/>
          <w:highlight w:val="none"/>
        </w:rPr>
        <w:t>支持通过OCR和算法模型对知识点讲解视频自动进行关键帧抽取，生成高知识点的图片讲解精华，辅助学生学习，自动抽取的关键帧画面需要包含视频对应的时间点位置，点击该时间点可实现视频的自动跳转播放；</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6）支持基于知识图谱的学习过程答疑：</w:t>
      </w:r>
      <w:r>
        <w:rPr>
          <w:rFonts w:hint="eastAsia" w:asciiTheme="minorEastAsia" w:hAnsiTheme="minorEastAsia" w:eastAsiaTheme="minorEastAsia"/>
          <w:color w:val="auto"/>
          <w:highlight w:val="none"/>
        </w:rPr>
        <w:t>学生学习中，学生所看视频位置或者关键帧画面，AI可结合OCR识别技术，分析当前画面内文本信息，结合课程知识图谱进行个性化学习推荐，AI会自动分析学生可能遇到困难的学习知识点，进行关键词联想答疑，并支持学生搜索答疑；</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7）支持知识点关系探索：</w:t>
      </w:r>
      <w:r>
        <w:rPr>
          <w:rFonts w:hint="eastAsia" w:asciiTheme="minorEastAsia" w:hAnsiTheme="minorEastAsia" w:eastAsiaTheme="minorEastAsia"/>
          <w:color w:val="auto"/>
          <w:highlight w:val="none"/>
        </w:rPr>
        <w:t>支持学生在学习某个知识点时结合知识图谱开展个性化学习，单击知识点可探索该知识点相关知识关系，查看当前知识点在课程整体知识图谱内的位置，且可查看每个知识点的掌握程度情况，点击相关联的知识点可实现一键跳转学习；</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8）支持学习风险预警：</w:t>
      </w:r>
      <w:r>
        <w:rPr>
          <w:rFonts w:hint="eastAsia" w:asciiTheme="minorEastAsia" w:hAnsiTheme="minorEastAsia" w:eastAsiaTheme="minorEastAsia"/>
          <w:color w:val="auto"/>
          <w:highlight w:val="none"/>
        </w:rPr>
        <w:t>根据知识点练习结果和阶段测试结果，自动分析出知识点掌握度进步或退步情况，对掌握落后的知识点进行风险预警；</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9）支持学习助力包：</w:t>
      </w:r>
      <w:r>
        <w:rPr>
          <w:rFonts w:hint="eastAsia" w:asciiTheme="minorEastAsia" w:hAnsiTheme="minorEastAsia" w:eastAsiaTheme="minorEastAsia"/>
          <w:color w:val="auto"/>
          <w:highlight w:val="none"/>
        </w:rPr>
        <w:t>课后根据知识点薄弱环节，结合平台上现有其它资料，提供学习助力包服务，包括知识点讲解、经典例题、知识关系、经典教材等；</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10）支持课程总评成绩：</w:t>
      </w:r>
      <w:r>
        <w:rPr>
          <w:rFonts w:hint="eastAsia" w:asciiTheme="minorEastAsia" w:hAnsiTheme="minorEastAsia" w:eastAsiaTheme="minorEastAsia"/>
          <w:color w:val="auto"/>
          <w:highlight w:val="none"/>
        </w:rPr>
        <w:t>可根据教师设置的考核规则，查看每一模块所得分，和总得分；</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★11）支持用户一键登录小程序进行学习：</w:t>
      </w:r>
      <w:r>
        <w:rPr>
          <w:rFonts w:hint="eastAsia" w:asciiTheme="minorEastAsia" w:hAnsiTheme="minorEastAsia" w:eastAsiaTheme="minorEastAsia"/>
          <w:color w:val="auto"/>
          <w:highlight w:val="none"/>
        </w:rPr>
        <w:t>已经入班的学生，可一键进入小程序，对于课程内容进行学习。小程序与网页版互通学习数据与记录。</w:t>
      </w:r>
    </w:p>
    <w:p>
      <w:pPr>
        <w:pStyle w:val="6"/>
        <w:ind w:hanging="2125"/>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 xml:space="preserve"> 老师端教学成果观测平台</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1）支持知识点教学有效性观测：</w:t>
      </w:r>
      <w:r>
        <w:rPr>
          <w:rFonts w:hint="eastAsia" w:asciiTheme="minorEastAsia" w:hAnsiTheme="minorEastAsia" w:eastAsiaTheme="minorEastAsia"/>
          <w:color w:val="auto"/>
          <w:highlight w:val="none"/>
        </w:rPr>
        <w:t>系统将根据教学质量评价模型（需包含记忆、理解、应用、分析、评价、创造这6个知识点认知目标维度），对知识点学习掌握度数据进行进行分析，定位出知识点是属于常规掌握情况、超常掌握情况，还是待加强掌握情况，提供教学质量诊断与改进，点击单个知识点可查看单个知识点完整的知识点教学报告。</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2）支持教学进度观测：</w:t>
      </w:r>
      <w:r>
        <w:rPr>
          <w:rFonts w:hint="eastAsia" w:asciiTheme="minorEastAsia" w:hAnsiTheme="minorEastAsia" w:eastAsiaTheme="minorEastAsia"/>
          <w:color w:val="auto"/>
          <w:highlight w:val="none"/>
        </w:rPr>
        <w:t>可观测每一周学生的学习情况，包括知识点学习进度及其掌握度、教学测试练习进度及其成绩分布等。</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3）支持学生风险评估：</w:t>
      </w:r>
      <w:r>
        <w:rPr>
          <w:rFonts w:hint="eastAsia" w:asciiTheme="minorEastAsia" w:hAnsiTheme="minorEastAsia" w:eastAsiaTheme="minorEastAsia"/>
          <w:color w:val="auto"/>
          <w:highlight w:val="none"/>
        </w:rPr>
        <w:t>可观测学生过程性学习数据，包括知识点学习时长、知识点练习次数、阶段测试次数及各自的班级排名，预测学生的风险程度，辅助即时教学干预与提升。</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4）支持教学测试批阅：</w:t>
      </w:r>
      <w:r>
        <w:rPr>
          <w:rFonts w:hint="eastAsia" w:asciiTheme="minorEastAsia" w:hAnsiTheme="minorEastAsia" w:eastAsiaTheme="minorEastAsia"/>
          <w:color w:val="auto"/>
          <w:highlight w:val="none"/>
        </w:rPr>
        <w:t>可对学生的主观题进行批阅，客观题直接查看学生成绩。</w:t>
      </w:r>
    </w:p>
    <w:p>
      <w:pPr>
        <w:rPr>
          <w:rFonts w:asciiTheme="minorEastAsia" w:hAnsiTheme="minorEastAsia" w:eastAsiaTheme="minorEastAsia"/>
          <w:color w:val="auto"/>
          <w:highlight w:val="none"/>
        </w:rPr>
      </w:pPr>
      <w:r>
        <w:rPr>
          <w:rFonts w:hint="eastAsia" w:asciiTheme="minorEastAsia" w:hAnsiTheme="minorEastAsia" w:eastAsiaTheme="minorEastAsia"/>
          <w:b/>
          <w:bCs/>
          <w:color w:val="auto"/>
          <w:highlight w:val="none"/>
        </w:rPr>
        <w:t>5）支持课程总评分数计算：</w:t>
      </w:r>
      <w:r>
        <w:rPr>
          <w:rFonts w:hint="eastAsia" w:asciiTheme="minorEastAsia" w:hAnsiTheme="minorEastAsia" w:eastAsiaTheme="minorEastAsia"/>
          <w:color w:val="auto"/>
          <w:highlight w:val="none"/>
        </w:rPr>
        <w:t>根据已设定好的考核规则，即各模块分别所占权重，自动计算出学生总评分数，并进行排名。</w:t>
      </w:r>
    </w:p>
    <w:p>
      <w:pPr>
        <w:rPr>
          <w:rFonts w:asciiTheme="minorEastAsia" w:hAnsiTheme="minorEastAsia" w:eastAsiaTheme="minorEastAsia"/>
          <w:b/>
          <w:bCs/>
          <w:color w:val="auto"/>
          <w:highlight w:val="none"/>
        </w:rPr>
      </w:pPr>
      <w:r>
        <w:rPr>
          <w:rFonts w:hint="eastAsia" w:asciiTheme="minorEastAsia" w:hAnsiTheme="minorEastAsia" w:eastAsiaTheme="minorEastAsia"/>
          <w:b/>
          <w:bCs/>
          <w:color w:val="auto"/>
          <w:highlight w:val="none"/>
        </w:rPr>
        <w:t>6）支持课程教学运行报告导出。</w:t>
      </w:r>
    </w:p>
    <w:p>
      <w:pPr>
        <w:rPr>
          <w:rFonts w:asciiTheme="minorEastAsia" w:hAnsiTheme="minorEastAsia" w:eastAsiaTheme="minorEastAsia"/>
          <w:color w:val="auto"/>
          <w:highlight w:val="none"/>
        </w:rPr>
      </w:pPr>
    </w:p>
    <w:bookmarkEnd w:id="31"/>
    <w:p>
      <w:pPr>
        <w:widowControl/>
        <w:adjustRightInd w:val="0"/>
        <w:snapToGrid w:val="0"/>
        <w:spacing w:line="360" w:lineRule="auto"/>
        <w:ind w:firstLine="480" w:firstLineChars="200"/>
        <w:jc w:val="left"/>
        <w:textAlignment w:val="center"/>
        <w:rPr>
          <w:rFonts w:cs="宋体" w:asciiTheme="minorEastAsia" w:hAnsiTheme="minorEastAsia" w:eastAsiaTheme="minorEastAsia"/>
          <w:color w:val="auto"/>
          <w:sz w:val="24"/>
          <w:szCs w:val="24"/>
          <w:highlight w:val="none"/>
        </w:rPr>
      </w:pPr>
    </w:p>
    <w:p>
      <w:pPr>
        <w:rPr>
          <w:rFonts w:asciiTheme="minorEastAsia" w:hAnsiTheme="minorEastAsia" w:eastAsiaTheme="minorEastAsia"/>
          <w:color w:val="auto"/>
          <w:highlight w:val="none"/>
        </w:rPr>
        <w:sectPr>
          <w:pgSz w:w="11907" w:h="16840"/>
          <w:pgMar w:top="1134" w:right="1191" w:bottom="1134" w:left="1304" w:header="964" w:footer="992" w:gutter="0"/>
          <w:pgNumType w:fmt="numberInDash"/>
          <w:cols w:space="720" w:num="1"/>
          <w:docGrid w:linePitch="312" w:charSpace="0"/>
        </w:sectPr>
      </w:pPr>
    </w:p>
    <w:p>
      <w:pPr>
        <w:rPr>
          <w:rFonts w:asciiTheme="minorEastAsia" w:hAnsiTheme="minorEastAsia" w:eastAsiaTheme="minorEastAsia"/>
          <w:color w:val="auto"/>
          <w:highlight w:val="none"/>
        </w:rPr>
      </w:pPr>
    </w:p>
    <w:p>
      <w:pPr>
        <w:pStyle w:val="3"/>
        <w:spacing w:before="0" w:after="0" w:line="560" w:lineRule="exact"/>
        <w:jc w:val="center"/>
        <w:rPr>
          <w:rFonts w:asciiTheme="minorEastAsia" w:hAnsiTheme="minorEastAsia" w:eastAsiaTheme="minorEastAsia"/>
          <w:b/>
          <w:bCs/>
          <w:color w:val="auto"/>
          <w:sz w:val="44"/>
          <w:szCs w:val="44"/>
          <w:highlight w:val="none"/>
        </w:rPr>
      </w:pPr>
      <w:bookmarkStart w:id="33" w:name="_Toc105060892"/>
      <w:r>
        <w:rPr>
          <w:rFonts w:hint="eastAsia" w:asciiTheme="minorEastAsia" w:hAnsiTheme="minorEastAsia" w:eastAsiaTheme="minorEastAsia"/>
          <w:b/>
          <w:bCs/>
          <w:color w:val="auto"/>
          <w:sz w:val="44"/>
          <w:szCs w:val="44"/>
          <w:highlight w:val="none"/>
        </w:rPr>
        <w:t xml:space="preserve">第三篇  </w:t>
      </w:r>
      <w:bookmarkEnd w:id="28"/>
      <w:r>
        <w:rPr>
          <w:rFonts w:hint="eastAsia" w:asciiTheme="minorEastAsia" w:hAnsiTheme="minorEastAsia" w:eastAsiaTheme="minorEastAsia"/>
          <w:b/>
          <w:bCs/>
          <w:color w:val="auto"/>
          <w:sz w:val="44"/>
          <w:szCs w:val="44"/>
          <w:highlight w:val="none"/>
        </w:rPr>
        <w:t>项目商务需求</w:t>
      </w:r>
      <w:bookmarkEnd w:id="33"/>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34" w:name="_Toc105060893"/>
      <w:bookmarkStart w:id="35" w:name="_Toc344475120"/>
      <w:r>
        <w:rPr>
          <w:rFonts w:hint="eastAsia" w:asciiTheme="minorEastAsia" w:hAnsiTheme="minorEastAsia" w:eastAsiaTheme="minorEastAsia"/>
          <w:bCs/>
          <w:color w:val="auto"/>
          <w:sz w:val="28"/>
          <w:szCs w:val="28"/>
          <w:highlight w:val="none"/>
        </w:rPr>
        <w:t>一、服务期、地点及验收方式</w:t>
      </w:r>
      <w:bookmarkEnd w:id="34"/>
      <w:bookmarkEnd w:id="35"/>
    </w:p>
    <w:p>
      <w:pPr>
        <w:pStyle w:val="33"/>
        <w:spacing w:line="560" w:lineRule="exact"/>
        <w:ind w:firstLine="560" w:firstLineChars="200"/>
        <w:rPr>
          <w:rFonts w:hint="eastAsia" w:cs="Times New Roman" w:asciiTheme="minorEastAsia" w:hAnsiTheme="minorEastAsia" w:eastAsiaTheme="minorEastAsia"/>
          <w:color w:val="auto"/>
          <w:kern w:val="2"/>
          <w:sz w:val="28"/>
          <w:szCs w:val="28"/>
          <w:highlight w:val="none"/>
          <w:lang w:val="en-US" w:eastAsia="zh-CN" w:bidi="ar-SA"/>
        </w:rPr>
      </w:pPr>
      <w:r>
        <w:rPr>
          <w:rFonts w:hint="eastAsia" w:asciiTheme="minorEastAsia" w:hAnsiTheme="minorEastAsia" w:eastAsiaTheme="minorEastAsia"/>
          <w:color w:val="auto"/>
          <w:szCs w:val="28"/>
          <w:highlight w:val="none"/>
        </w:rPr>
        <w:t>（一）服务期：</w:t>
      </w:r>
      <w:r>
        <w:rPr>
          <w:rFonts w:hint="eastAsia" w:cs="Times New Roman" w:asciiTheme="minorEastAsia" w:hAnsiTheme="minorEastAsia" w:eastAsiaTheme="minorEastAsia"/>
          <w:color w:val="auto"/>
          <w:kern w:val="2"/>
          <w:sz w:val="28"/>
          <w:szCs w:val="28"/>
          <w:highlight w:val="none"/>
          <w:lang w:val="en-US" w:eastAsia="zh-CN" w:bidi="ar-SA"/>
        </w:rPr>
        <w:t>中标人应在发布中标通知后60个日历日内完成交付、调试及培训。</w:t>
      </w:r>
    </w:p>
    <w:p>
      <w:pPr>
        <w:spacing w:line="560" w:lineRule="exact"/>
        <w:ind w:firstLine="560" w:firstLineChars="200"/>
        <w:rPr>
          <w:rFonts w:asciiTheme="minorEastAsia" w:hAnsiTheme="minorEastAsia" w:eastAsiaTheme="minorEastAsia"/>
          <w:color w:val="auto"/>
          <w:szCs w:val="28"/>
          <w:highlight w:val="none"/>
        </w:rPr>
      </w:pPr>
      <w:r>
        <w:rPr>
          <w:rFonts w:hint="eastAsia" w:cs="Times New Roman" w:asciiTheme="minorEastAsia" w:hAnsiTheme="minorEastAsia" w:eastAsiaTheme="minorEastAsia"/>
          <w:color w:val="auto"/>
          <w:kern w:val="2"/>
          <w:sz w:val="28"/>
          <w:szCs w:val="28"/>
          <w:highlight w:val="none"/>
          <w:lang w:val="en-US" w:eastAsia="zh-CN" w:bidi="ar-SA"/>
        </w:rPr>
        <w:t>（二）服</w:t>
      </w:r>
      <w:r>
        <w:rPr>
          <w:rFonts w:hint="eastAsia" w:asciiTheme="minorEastAsia" w:hAnsiTheme="minorEastAsia" w:eastAsiaTheme="minorEastAsia"/>
          <w:color w:val="auto"/>
          <w:szCs w:val="28"/>
          <w:highlight w:val="none"/>
        </w:rPr>
        <w:t>务地点：重庆医科大学，采购人指定地点。</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（三）验收方式：</w:t>
      </w:r>
      <w:r>
        <w:rPr>
          <w:rFonts w:asciiTheme="minorEastAsia" w:hAnsiTheme="minorEastAsia" w:eastAsiaTheme="minorEastAsia"/>
          <w:color w:val="auto"/>
          <w:highlight w:val="none"/>
        </w:rPr>
        <w:t>课程教学视频成片交付验收。项目通过需求部门初验后，供应商向</w:t>
      </w:r>
      <w:r>
        <w:rPr>
          <w:rFonts w:hint="eastAsia" w:asciiTheme="minorEastAsia" w:hAnsiTheme="minorEastAsia" w:eastAsiaTheme="minorEastAsia"/>
          <w:color w:val="auto"/>
          <w:highlight w:val="none"/>
        </w:rPr>
        <w:t>需求方</w:t>
      </w:r>
      <w:r>
        <w:rPr>
          <w:rFonts w:asciiTheme="minorEastAsia" w:hAnsiTheme="minorEastAsia" w:eastAsiaTheme="minorEastAsia"/>
          <w:color w:val="auto"/>
          <w:highlight w:val="none"/>
        </w:rPr>
        <w:t>提交项目验收申请，由</w:t>
      </w:r>
      <w:r>
        <w:rPr>
          <w:rFonts w:hint="eastAsia" w:asciiTheme="minorEastAsia" w:hAnsiTheme="minorEastAsia" w:eastAsiaTheme="minorEastAsia"/>
          <w:color w:val="auto"/>
          <w:highlight w:val="none"/>
        </w:rPr>
        <w:t>需求方</w:t>
      </w:r>
      <w:r>
        <w:rPr>
          <w:rFonts w:asciiTheme="minorEastAsia" w:hAnsiTheme="minorEastAsia" w:eastAsiaTheme="minorEastAsia"/>
          <w:color w:val="auto"/>
          <w:highlight w:val="none"/>
        </w:rPr>
        <w:t>组织验收并出具验收报告。</w:t>
      </w:r>
      <w:r>
        <w:rPr>
          <w:rFonts w:hint="eastAsia" w:asciiTheme="minorEastAsia" w:hAnsiTheme="minorEastAsia" w:eastAsiaTheme="minorEastAsia"/>
          <w:color w:val="auto"/>
          <w:szCs w:val="28"/>
          <w:highlight w:val="none"/>
        </w:rPr>
        <w:t>现场验收，由采购人组织人员对所有功能参数进行逐一核对验收。验收合格条件如下：</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1、审核与验收：根据招标文件第二篇需求制作方将课程成品提交给课程团队进行审核，根据课程团队修改意见进行修改，直至课程团队审核通过后进行项目验收并签署课程视频交接单。</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2、课程视频制作的工程文件如视频原始资源、素材、文档资料等均须提供给采购人。</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为满足课程申报国家级精品在线开放课程的需求，供应商须提供课程平台的上线服务，在课程视频制作完成并通过验收后，协助采购人在国内知名公共课程平台上线运行，可面向高校学生及全体社会学习者开展在线开放式教学，以提升课程影响力。并同时提供网络教学平台的上线服务和协助课程团队开展翻转课堂教学活动。</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36" w:name="_Toc344475121"/>
      <w:bookmarkStart w:id="37" w:name="_Toc105060894"/>
      <w:r>
        <w:rPr>
          <w:rFonts w:hint="eastAsia" w:asciiTheme="minorEastAsia" w:hAnsiTheme="minorEastAsia" w:eastAsiaTheme="minorEastAsia"/>
          <w:bCs/>
          <w:color w:val="auto"/>
          <w:sz w:val="28"/>
          <w:szCs w:val="28"/>
          <w:highlight w:val="none"/>
        </w:rPr>
        <w:t>二、</w:t>
      </w:r>
      <w:bookmarkEnd w:id="36"/>
      <w:r>
        <w:rPr>
          <w:rFonts w:hint="eastAsia" w:asciiTheme="minorEastAsia" w:hAnsiTheme="minorEastAsia" w:eastAsiaTheme="minorEastAsia"/>
          <w:bCs/>
          <w:color w:val="auto"/>
          <w:sz w:val="28"/>
          <w:szCs w:val="28"/>
          <w:highlight w:val="none"/>
        </w:rPr>
        <w:t>报价要求</w:t>
      </w:r>
      <w:bookmarkEnd w:id="37"/>
    </w:p>
    <w:p>
      <w:pPr>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报价包括完成本项目所需的服务费、人工费及提供服务所需的设备或货物购买（制造）费、辅材费、运输费、装卸费、安装调试费、培训费及各种应纳的税费。因成交供应商自身原因造成漏报、少报皆由其自行承担责任，采购人不再补偿。</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38" w:name="_Toc105060895"/>
      <w:r>
        <w:rPr>
          <w:rFonts w:hint="eastAsia" w:asciiTheme="minorEastAsia" w:hAnsiTheme="minorEastAsia" w:eastAsiaTheme="minorEastAsia"/>
          <w:bCs/>
          <w:color w:val="auto"/>
          <w:sz w:val="28"/>
          <w:szCs w:val="28"/>
          <w:highlight w:val="none"/>
        </w:rPr>
        <w:t>三、</w:t>
      </w:r>
      <w:bookmarkStart w:id="39" w:name="_Toc398650620"/>
      <w:bookmarkStart w:id="40" w:name="_Toc344475122"/>
      <w:r>
        <w:rPr>
          <w:rFonts w:hint="eastAsia" w:asciiTheme="minorEastAsia" w:hAnsiTheme="minorEastAsia" w:eastAsiaTheme="minorEastAsia"/>
          <w:bCs/>
          <w:color w:val="auto"/>
          <w:sz w:val="28"/>
          <w:szCs w:val="28"/>
          <w:highlight w:val="none"/>
        </w:rPr>
        <w:t>质量保证及售后服务</w:t>
      </w:r>
      <w:bookmarkEnd w:id="38"/>
      <w:bookmarkEnd w:id="39"/>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（一）质量保证期：自验收合格之日起，提供一年的免费服务质保期。</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（二）售后服务内容</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供应商在服务质保期内应当为采购人提供以下技术支持服务：</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1.质量保证期内服务要求</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1.1电话咨询</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成交供应商应当为用户提供技术援助电话，解答用户在使用中遇到的问题，及时为用户提出解决问题的建议。</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1.2现场响应</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用户遇到使用及技术问题，电话咨询不能解决的，成交供应商应在</w:t>
      </w:r>
      <w:r>
        <w:rPr>
          <w:rFonts w:asciiTheme="minorEastAsia" w:hAnsiTheme="minorEastAsia" w:eastAsiaTheme="minorEastAsia"/>
          <w:color w:val="auto"/>
          <w:szCs w:val="28"/>
          <w:highlight w:val="none"/>
        </w:rPr>
        <w:t>4</w:t>
      </w:r>
      <w:r>
        <w:rPr>
          <w:rFonts w:hint="eastAsia" w:asciiTheme="minorEastAsia" w:hAnsiTheme="minorEastAsia" w:eastAsiaTheme="minorEastAsia"/>
          <w:color w:val="auto"/>
          <w:szCs w:val="28"/>
          <w:highlight w:val="none"/>
        </w:rPr>
        <w:t>小时内采取相应响应措施；无法在</w:t>
      </w:r>
      <w:r>
        <w:rPr>
          <w:rFonts w:asciiTheme="minorEastAsia" w:hAnsiTheme="minorEastAsia" w:eastAsiaTheme="minorEastAsia"/>
          <w:color w:val="auto"/>
          <w:szCs w:val="28"/>
          <w:highlight w:val="none"/>
        </w:rPr>
        <w:t>4</w:t>
      </w:r>
      <w:r>
        <w:rPr>
          <w:rFonts w:hint="eastAsia" w:asciiTheme="minorEastAsia" w:hAnsiTheme="minorEastAsia" w:eastAsiaTheme="minorEastAsia"/>
          <w:color w:val="auto"/>
          <w:szCs w:val="28"/>
          <w:highlight w:val="none"/>
        </w:rPr>
        <w:t>小时内解决的，应在</w:t>
      </w:r>
      <w:r>
        <w:rPr>
          <w:rFonts w:asciiTheme="minorEastAsia" w:hAnsiTheme="minorEastAsia" w:eastAsiaTheme="minorEastAsia"/>
          <w:color w:val="auto"/>
          <w:szCs w:val="28"/>
          <w:highlight w:val="none"/>
        </w:rPr>
        <w:t>8</w:t>
      </w:r>
      <w:r>
        <w:rPr>
          <w:rFonts w:hint="eastAsia" w:asciiTheme="minorEastAsia" w:hAnsiTheme="minorEastAsia" w:eastAsiaTheme="minorEastAsia"/>
          <w:color w:val="auto"/>
          <w:szCs w:val="28"/>
          <w:highlight w:val="none"/>
        </w:rPr>
        <w:t>小时内派出专业人员进行技术支持。</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2.质保期外服务要求</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2.1质量保证期过后，成交供应商应同样提供免费电话咨询服务，并应承诺提供上门维护服务。</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2.2质量保证期过后，采购人需要继续由原成交供应商提供售后服务的，成交供应商应以优惠价格提供售后服务。</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（三）故障响应时间要求</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供应商接到使用方出现问题的通知后立即作出响应，</w:t>
      </w:r>
      <w:r>
        <w:rPr>
          <w:rFonts w:asciiTheme="minorEastAsia" w:hAnsiTheme="minorEastAsia" w:eastAsiaTheme="minorEastAsia"/>
          <w:color w:val="auto"/>
          <w:szCs w:val="28"/>
          <w:highlight w:val="none"/>
        </w:rPr>
        <w:t>12</w:t>
      </w:r>
      <w:r>
        <w:rPr>
          <w:rFonts w:hint="eastAsia" w:asciiTheme="minorEastAsia" w:hAnsiTheme="minorEastAsia" w:eastAsiaTheme="minorEastAsia"/>
          <w:color w:val="auto"/>
          <w:szCs w:val="28"/>
          <w:highlight w:val="none"/>
        </w:rPr>
        <w:t>小时内到达现场进行处理。</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41" w:name="_Toc105060896"/>
      <w:r>
        <w:rPr>
          <w:rFonts w:hint="eastAsia" w:asciiTheme="minorEastAsia" w:hAnsiTheme="minorEastAsia" w:eastAsiaTheme="minorEastAsia"/>
          <w:bCs/>
          <w:color w:val="auto"/>
          <w:sz w:val="28"/>
          <w:szCs w:val="28"/>
          <w:highlight w:val="none"/>
        </w:rPr>
        <w:t>四、付款方式</w:t>
      </w:r>
      <w:bookmarkEnd w:id="40"/>
      <w:bookmarkEnd w:id="41"/>
    </w:p>
    <w:p>
      <w:pPr>
        <w:spacing w:line="560" w:lineRule="exact"/>
        <w:ind w:firstLine="560" w:firstLineChars="200"/>
        <w:rPr>
          <w:rFonts w:asciiTheme="minorEastAsia" w:hAnsiTheme="minorEastAsia" w:eastAsiaTheme="minorEastAsia"/>
          <w:color w:val="auto"/>
          <w:szCs w:val="28"/>
          <w:highlight w:val="none"/>
        </w:rPr>
      </w:pPr>
      <w:bookmarkStart w:id="42" w:name="_Toc344475123"/>
      <w:r>
        <w:rPr>
          <w:rFonts w:hint="eastAsia" w:asciiTheme="minorEastAsia" w:hAnsiTheme="minorEastAsia" w:eastAsiaTheme="minorEastAsia"/>
          <w:color w:val="auto"/>
          <w:szCs w:val="28"/>
          <w:highlight w:val="none"/>
        </w:rPr>
        <w:t>（一）合同签订前，中标人向采购人缴纳合同金额5%的履约保证金；</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w:t>
      </w:r>
      <w:r>
        <w:rPr>
          <w:rFonts w:asciiTheme="minorEastAsia" w:hAnsiTheme="minorEastAsia" w:eastAsiaTheme="minorEastAsia"/>
          <w:color w:val="auto"/>
          <w:szCs w:val="28"/>
          <w:highlight w:val="none"/>
        </w:rPr>
        <w:t>中标人按合同</w:t>
      </w:r>
      <w:r>
        <w:rPr>
          <w:rFonts w:hint="eastAsia" w:asciiTheme="minorEastAsia" w:hAnsiTheme="minorEastAsia" w:eastAsiaTheme="minorEastAsia"/>
          <w:color w:val="auto"/>
          <w:szCs w:val="28"/>
          <w:highlight w:val="none"/>
        </w:rPr>
        <w:t>约定</w:t>
      </w:r>
      <w:r>
        <w:rPr>
          <w:rFonts w:asciiTheme="minorEastAsia" w:hAnsiTheme="minorEastAsia" w:eastAsiaTheme="minorEastAsia"/>
          <w:color w:val="auto"/>
          <w:szCs w:val="28"/>
          <w:highlight w:val="none"/>
        </w:rPr>
        <w:t>交货，经验收合格后</w:t>
      </w:r>
      <w:r>
        <w:rPr>
          <w:rFonts w:hint="eastAsia" w:asciiTheme="minorEastAsia" w:hAnsiTheme="minorEastAsia" w:eastAsiaTheme="minorEastAsia"/>
          <w:color w:val="auto"/>
          <w:szCs w:val="28"/>
          <w:highlight w:val="none"/>
        </w:rPr>
        <w:t>，</w:t>
      </w:r>
      <w:r>
        <w:rPr>
          <w:rFonts w:asciiTheme="minorEastAsia" w:hAnsiTheme="minorEastAsia" w:eastAsiaTheme="minorEastAsia"/>
          <w:color w:val="auto"/>
          <w:szCs w:val="28"/>
          <w:highlight w:val="none"/>
        </w:rPr>
        <w:t>采购人出具项目验收报告；</w:t>
      </w:r>
    </w:p>
    <w:p>
      <w:pPr>
        <w:spacing w:line="560" w:lineRule="exact"/>
        <w:ind w:firstLine="560" w:firstLineChars="200"/>
        <w:rPr>
          <w:rFonts w:asciiTheme="minorEastAsia" w:hAnsiTheme="minorEastAsia" w:eastAsiaTheme="minorEastAsia"/>
          <w:color w:val="auto"/>
          <w:szCs w:val="28"/>
          <w:highlight w:val="none"/>
        </w:rPr>
      </w:pPr>
      <w:r>
        <w:rPr>
          <w:rFonts w:asciiTheme="minorEastAsia" w:hAnsiTheme="minorEastAsia" w:eastAsiaTheme="minorEastAsia"/>
          <w:color w:val="auto"/>
          <w:szCs w:val="28"/>
          <w:highlight w:val="none"/>
        </w:rPr>
        <w:t>（</w:t>
      </w:r>
      <w:r>
        <w:rPr>
          <w:rFonts w:hint="eastAsia" w:asciiTheme="minorEastAsia" w:hAnsiTheme="minorEastAsia" w:eastAsiaTheme="minorEastAsia"/>
          <w:color w:val="auto"/>
          <w:szCs w:val="28"/>
          <w:highlight w:val="none"/>
        </w:rPr>
        <w:t>三</w:t>
      </w:r>
      <w:r>
        <w:rPr>
          <w:rFonts w:asciiTheme="minorEastAsia" w:hAnsiTheme="minorEastAsia" w:eastAsiaTheme="minorEastAsia"/>
          <w:color w:val="auto"/>
          <w:szCs w:val="28"/>
          <w:highlight w:val="none"/>
        </w:rPr>
        <w:t>）中标人向采购人开具发票，采购人以转账方式向中标人支付合同全款。</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（四）履约保证金在质保期届满后，无廉政、无质量及售后服务问题时，无息退还。</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43" w:name="_Toc105060897"/>
      <w:r>
        <w:rPr>
          <w:rFonts w:hint="eastAsia" w:asciiTheme="minorEastAsia" w:hAnsiTheme="minorEastAsia" w:eastAsiaTheme="minorEastAsia"/>
          <w:bCs/>
          <w:color w:val="auto"/>
          <w:sz w:val="28"/>
          <w:szCs w:val="28"/>
          <w:highlight w:val="none"/>
        </w:rPr>
        <w:t>五、培训</w:t>
      </w:r>
      <w:bookmarkEnd w:id="43"/>
    </w:p>
    <w:p>
      <w:pPr>
        <w:spacing w:line="480" w:lineRule="exact"/>
        <w:ind w:firstLine="56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课程培训</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课程的培训和推广为该项目的一部分，需中标公司协助课程教师团队进行，提供课程培训平台，并为课程配备1名人员协调团队</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开展为期1年的免费在线指导与运营服务。</w:t>
      </w:r>
    </w:p>
    <w:p>
      <w:pPr>
        <w:spacing w:line="480" w:lineRule="exact"/>
        <w:ind w:firstLine="56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培训要求：承诺课程建设前期和后期，就课程如何书写脚本，如何进行教学设计，章节计划、学时学分换算、资源如何上传，如何配备习题和考试等，课程如何按照精品在线开放课程和国家级在线开放课程进行运行、教学等内容，协助老师按照国家精品在线开放课程的申报标准进行搜集和整理数据，协助老师申报国家精品在线开放课程。免费培训老师，不限制培训次数，直至学会，并有专人对接。</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44" w:name="_Toc105060898"/>
      <w:r>
        <w:rPr>
          <w:rFonts w:hint="eastAsia" w:asciiTheme="minorEastAsia" w:hAnsiTheme="minorEastAsia" w:eastAsiaTheme="minorEastAsia"/>
          <w:bCs/>
          <w:color w:val="auto"/>
          <w:sz w:val="28"/>
          <w:szCs w:val="28"/>
          <w:highlight w:val="none"/>
        </w:rPr>
        <w:t>六、知识产权</w:t>
      </w:r>
      <w:bookmarkEnd w:id="42"/>
      <w:bookmarkEnd w:id="44"/>
    </w:p>
    <w:p>
      <w:pPr>
        <w:snapToGrid w:val="0"/>
        <w:spacing w:line="560" w:lineRule="exact"/>
        <w:ind w:firstLine="54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注：（若涉及软件开发等服务类项目知识产权的，知识产权归采购人所有）。</w:t>
      </w: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45" w:name="_Toc344475124"/>
      <w:bookmarkStart w:id="46" w:name="_Toc105060899"/>
      <w:r>
        <w:rPr>
          <w:rFonts w:hint="eastAsia" w:asciiTheme="minorEastAsia" w:hAnsiTheme="minorEastAsia" w:eastAsiaTheme="minorEastAsia"/>
          <w:bCs/>
          <w:color w:val="auto"/>
          <w:sz w:val="28"/>
          <w:szCs w:val="28"/>
          <w:highlight w:val="none"/>
        </w:rPr>
        <w:t>七、</w:t>
      </w:r>
      <w:bookmarkEnd w:id="45"/>
      <w:bookmarkStart w:id="47" w:name="_Toc344475125"/>
      <w:r>
        <w:rPr>
          <w:rFonts w:hint="eastAsia" w:asciiTheme="minorEastAsia" w:hAnsiTheme="minorEastAsia" w:eastAsiaTheme="minorEastAsia"/>
          <w:bCs/>
          <w:color w:val="auto"/>
          <w:sz w:val="28"/>
          <w:szCs w:val="28"/>
          <w:highlight w:val="none"/>
        </w:rPr>
        <w:t>其他</w:t>
      </w:r>
      <w:bookmarkEnd w:id="46"/>
    </w:p>
    <w:bookmarkEnd w:id="47"/>
    <w:p>
      <w:pPr>
        <w:snapToGrid w:val="0"/>
        <w:spacing w:line="560" w:lineRule="exact"/>
        <w:ind w:firstLine="560" w:firstLineChars="200"/>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（一）供应商必须在响应文件中对以上条款和服务承诺明确列出，承诺内容必须达到本篇及竞争性磋商文件其他条款的要求。</w:t>
      </w:r>
    </w:p>
    <w:p>
      <w:pPr>
        <w:snapToGrid w:val="0"/>
        <w:spacing w:line="560" w:lineRule="exact"/>
        <w:ind w:firstLine="560" w:firstLineChars="200"/>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（二）其他未尽事宜由供需双方在采购合同中详细约定。</w:t>
      </w:r>
    </w:p>
    <w:p>
      <w:pPr>
        <w:pStyle w:val="3"/>
        <w:pageBreakBefore/>
        <w:spacing w:before="0" w:after="0" w:line="560" w:lineRule="exact"/>
        <w:jc w:val="center"/>
        <w:rPr>
          <w:rFonts w:asciiTheme="minorEastAsia" w:hAnsiTheme="minorEastAsia" w:eastAsiaTheme="minorEastAsia"/>
          <w:b/>
          <w:bCs/>
          <w:color w:val="auto"/>
          <w:sz w:val="44"/>
          <w:szCs w:val="44"/>
          <w:highlight w:val="none"/>
        </w:rPr>
      </w:pPr>
      <w:bookmarkStart w:id="48" w:name="_Toc105060900"/>
      <w:r>
        <w:rPr>
          <w:rFonts w:hint="eastAsia" w:asciiTheme="minorEastAsia" w:hAnsiTheme="minorEastAsia" w:eastAsiaTheme="minorEastAsia"/>
          <w:b/>
          <w:bCs/>
          <w:color w:val="auto"/>
          <w:sz w:val="44"/>
          <w:szCs w:val="44"/>
          <w:highlight w:val="none"/>
        </w:rPr>
        <w:t>第四篇  磋商程序及方法、评审标准、无效响应和采购终止</w:t>
      </w:r>
      <w:bookmarkEnd w:id="48"/>
    </w:p>
    <w:p>
      <w:pPr>
        <w:rPr>
          <w:rFonts w:asciiTheme="minorEastAsia" w:hAnsiTheme="minorEastAsia" w:eastAsiaTheme="minorEastAsia"/>
          <w:color w:val="auto"/>
          <w:highlight w:val="none"/>
        </w:rPr>
      </w:pPr>
    </w:p>
    <w:p>
      <w:pPr>
        <w:pStyle w:val="4"/>
        <w:spacing w:before="0" w:after="0" w:line="560" w:lineRule="exact"/>
        <w:ind w:firstLine="562" w:firstLineChars="200"/>
        <w:rPr>
          <w:rFonts w:asciiTheme="minorEastAsia" w:hAnsiTheme="minorEastAsia" w:eastAsiaTheme="minorEastAsia"/>
          <w:bCs/>
          <w:color w:val="auto"/>
          <w:sz w:val="28"/>
          <w:szCs w:val="28"/>
          <w:highlight w:val="none"/>
        </w:rPr>
      </w:pPr>
      <w:bookmarkStart w:id="49" w:name="_Toc105060901"/>
      <w:r>
        <w:rPr>
          <w:rFonts w:hint="eastAsia" w:asciiTheme="minorEastAsia" w:hAnsiTheme="minorEastAsia" w:eastAsiaTheme="minorEastAsia"/>
          <w:bCs/>
          <w:color w:val="auto"/>
          <w:sz w:val="28"/>
          <w:szCs w:val="28"/>
          <w:highlight w:val="none"/>
        </w:rPr>
        <w:t>一、磋商程序及方法</w:t>
      </w:r>
      <w:bookmarkEnd w:id="49"/>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（二）磋商小组对各供应商的资格条件、响应文件的有效性、完整性和响应程度进行审查。各供应商只有在完全符合要求的前提下，才能参与正式磋商。</w:t>
      </w:r>
    </w:p>
    <w:p>
      <w:pPr>
        <w:snapToGrid w:val="0"/>
        <w:spacing w:line="560" w:lineRule="exact"/>
        <w:ind w:firstLine="560" w:firstLineChars="200"/>
        <w:rPr>
          <w:rFonts w:cs="宋体" w:asciiTheme="minorEastAsia" w:hAnsiTheme="minorEastAsia" w:eastAsiaTheme="minorEastAsia"/>
          <w:color w:val="auto"/>
          <w:kern w:val="0"/>
          <w:szCs w:val="28"/>
          <w:highlight w:val="none"/>
        </w:rPr>
      </w:pPr>
      <w:r>
        <w:rPr>
          <w:rFonts w:hint="eastAsia" w:asciiTheme="minorEastAsia" w:hAnsiTheme="minorEastAsia" w:eastAsiaTheme="minorEastAsia"/>
          <w:color w:val="auto"/>
          <w:szCs w:val="28"/>
          <w:highlight w:val="none"/>
        </w:rPr>
        <w:t>1.</w:t>
      </w:r>
      <w:r>
        <w:rPr>
          <w:rFonts w:hint="eastAsia" w:cs="宋体" w:asciiTheme="minorEastAsia" w:hAnsiTheme="minorEastAsia" w:eastAsiaTheme="minorEastAsia"/>
          <w:color w:val="auto"/>
          <w:kern w:val="0"/>
          <w:szCs w:val="28"/>
          <w:highlight w:val="none"/>
        </w:rPr>
        <w:t>资格性检查。依据法律法规和竞争性磋商文件的规定，对响应文件中的资格证明、等进行审查，以确定供应商是否具备磋商资格。资格性检查资料表如下：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709"/>
        <w:gridCol w:w="2692"/>
        <w:gridCol w:w="5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序号</w:t>
            </w:r>
          </w:p>
        </w:tc>
        <w:tc>
          <w:tcPr>
            <w:tcW w:w="3401" w:type="dxa"/>
            <w:gridSpan w:val="2"/>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检查因素</w:t>
            </w:r>
          </w:p>
        </w:tc>
        <w:tc>
          <w:tcPr>
            <w:tcW w:w="5551" w:type="dxa"/>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676" w:type="dxa"/>
            <w:vMerge w:val="restart"/>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w:t>
            </w:r>
          </w:p>
        </w:tc>
        <w:tc>
          <w:tcPr>
            <w:tcW w:w="709" w:type="dxa"/>
            <w:vMerge w:val="restart"/>
            <w:vAlign w:val="center"/>
          </w:tcPr>
          <w:p>
            <w:pPr>
              <w:spacing w:line="560" w:lineRule="exact"/>
              <w:rPr>
                <w:rFonts w:cs="仿宋_GB2312" w:asciiTheme="minorEastAsia" w:hAnsiTheme="minorEastAsia" w:eastAsiaTheme="minorEastAsia"/>
                <w:color w:val="auto"/>
                <w:szCs w:val="28"/>
                <w:highlight w:val="none"/>
                <w:lang w:val="zh-CN"/>
              </w:rPr>
            </w:pPr>
            <w:r>
              <w:rPr>
                <w:rFonts w:hint="eastAsia" w:cs="仿宋_GB2312" w:asciiTheme="minorEastAsia" w:hAnsiTheme="minorEastAsia" w:eastAsiaTheme="minorEastAsia"/>
                <w:color w:val="auto"/>
                <w:szCs w:val="28"/>
                <w:highlight w:val="none"/>
              </w:rPr>
              <w:t>供应商</w:t>
            </w:r>
            <w:r>
              <w:rPr>
                <w:rFonts w:hint="eastAsia" w:cs="仿宋_GB2312" w:asciiTheme="minorEastAsia" w:hAnsiTheme="minorEastAsia" w:eastAsiaTheme="minorEastAsia"/>
                <w:color w:val="auto"/>
                <w:szCs w:val="28"/>
                <w:highlight w:val="none"/>
                <w:lang w:val="zh-CN"/>
              </w:rPr>
              <w:t>应符合的基本资格条件</w:t>
            </w:r>
          </w:p>
        </w:tc>
        <w:tc>
          <w:tcPr>
            <w:tcW w:w="2692"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（1）具有独立承担民事责任的能力</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①供应商法人营业执照（副本）或事业单位法人证书（副本）或个体工商户营业执照或有效的自然人身份证明、组织机构代码证复印件（注1）； </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②供应商法定代表人身份证明和法定代表人授权代表委托书。不具有独立法人的分公司、办事处等分支机构不能参加磋商。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560" w:lineRule="exact"/>
              <w:jc w:val="center"/>
              <w:rPr>
                <w:rFonts w:asciiTheme="minorEastAsia" w:hAnsiTheme="minorEastAsia" w:eastAsiaTheme="minorEastAsia"/>
                <w:color w:val="auto"/>
                <w:szCs w:val="28"/>
                <w:highlight w:val="none"/>
              </w:rPr>
            </w:pPr>
          </w:p>
        </w:tc>
        <w:tc>
          <w:tcPr>
            <w:tcW w:w="709" w:type="dxa"/>
            <w:vMerge w:val="continue"/>
            <w:vAlign w:val="center"/>
          </w:tcPr>
          <w:p>
            <w:pPr>
              <w:spacing w:line="560" w:lineRule="exact"/>
              <w:rPr>
                <w:rFonts w:cs="仿宋_GB2312" w:asciiTheme="minorEastAsia" w:hAnsiTheme="minorEastAsia" w:eastAsiaTheme="minorEastAsia"/>
                <w:color w:val="auto"/>
                <w:szCs w:val="28"/>
                <w:highlight w:val="none"/>
                <w:lang w:val="zh-CN"/>
              </w:rPr>
            </w:pPr>
          </w:p>
        </w:tc>
        <w:tc>
          <w:tcPr>
            <w:tcW w:w="2692" w:type="dxa"/>
            <w:vAlign w:val="center"/>
          </w:tcPr>
          <w:p>
            <w:pPr>
              <w:spacing w:line="560" w:lineRule="exact"/>
              <w:rPr>
                <w:rFonts w:asciiTheme="minorEastAsia" w:hAnsiTheme="minorEastAsia" w:eastAsiaTheme="minorEastAsia"/>
                <w:color w:val="auto"/>
                <w:szCs w:val="28"/>
                <w:highlight w:val="none"/>
              </w:rPr>
            </w:pPr>
            <w:r>
              <w:rPr>
                <w:rFonts w:hint="eastAsia" w:cs="仿宋_GB2312" w:asciiTheme="minorEastAsia" w:hAnsiTheme="minorEastAsia" w:eastAsiaTheme="minorEastAsia"/>
                <w:color w:val="auto"/>
                <w:szCs w:val="28"/>
                <w:highlight w:val="none"/>
                <w:lang w:val="zh-CN"/>
              </w:rPr>
              <w:t>（2）</w:t>
            </w:r>
            <w:r>
              <w:rPr>
                <w:rFonts w:hint="eastAsia" w:asciiTheme="minorEastAsia" w:hAnsiTheme="minorEastAsia" w:eastAsiaTheme="minorEastAsia"/>
                <w:color w:val="auto"/>
                <w:szCs w:val="28"/>
                <w:highlight w:val="none"/>
              </w:rPr>
              <w:t>具有良好的商业信誉和健全的财务会计制度</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①提供20</w:t>
            </w:r>
            <w:r>
              <w:rPr>
                <w:rFonts w:asciiTheme="minorEastAsia" w:hAnsiTheme="minorEastAsia" w:eastAsiaTheme="minorEastAsia"/>
                <w:color w:val="auto"/>
                <w:szCs w:val="28"/>
                <w:highlight w:val="none"/>
              </w:rPr>
              <w:t>21</w:t>
            </w:r>
            <w:r>
              <w:rPr>
                <w:rFonts w:hint="eastAsia" w:asciiTheme="minorEastAsia" w:hAnsiTheme="minorEastAsia" w:eastAsiaTheme="minorEastAsia"/>
                <w:color w:val="auto"/>
                <w:szCs w:val="28"/>
                <w:highlight w:val="none"/>
              </w:rPr>
              <w:t>或20</w:t>
            </w:r>
            <w:r>
              <w:rPr>
                <w:rFonts w:asciiTheme="minorEastAsia" w:hAnsiTheme="minorEastAsia" w:eastAsiaTheme="minorEastAsia"/>
                <w:color w:val="auto"/>
                <w:szCs w:val="28"/>
                <w:highlight w:val="none"/>
              </w:rPr>
              <w:t>22</w:t>
            </w:r>
            <w:r>
              <w:rPr>
                <w:rFonts w:hint="eastAsia" w:asciiTheme="minorEastAsia" w:hAnsiTheme="minorEastAsia" w:eastAsiaTheme="minorEastAsia"/>
                <w:color w:val="auto"/>
                <w:szCs w:val="28"/>
                <w:highlight w:val="none"/>
              </w:rPr>
              <w:t>年度财务状况报告（表）复印件，本年度新成立或成立不满一年的组织和自然人无法提供财务状况报告（表）的，可提供银行出具的资信证明复印件。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560" w:lineRule="exact"/>
              <w:jc w:val="center"/>
              <w:rPr>
                <w:rFonts w:asciiTheme="minorEastAsia" w:hAnsiTheme="minorEastAsia" w:eastAsiaTheme="minorEastAsia"/>
                <w:color w:val="auto"/>
                <w:szCs w:val="28"/>
                <w:highlight w:val="none"/>
              </w:rPr>
            </w:pPr>
          </w:p>
        </w:tc>
        <w:tc>
          <w:tcPr>
            <w:tcW w:w="709" w:type="dxa"/>
            <w:vMerge w:val="continue"/>
            <w:vAlign w:val="center"/>
          </w:tcPr>
          <w:p>
            <w:pPr>
              <w:spacing w:line="560" w:lineRule="exact"/>
              <w:rPr>
                <w:rFonts w:cs="仿宋_GB2312" w:asciiTheme="minorEastAsia" w:hAnsiTheme="minorEastAsia" w:eastAsiaTheme="minorEastAsia"/>
                <w:color w:val="auto"/>
                <w:szCs w:val="28"/>
                <w:highlight w:val="none"/>
                <w:lang w:val="zh-CN"/>
              </w:rPr>
            </w:pPr>
          </w:p>
        </w:tc>
        <w:tc>
          <w:tcPr>
            <w:tcW w:w="2692" w:type="dxa"/>
            <w:vAlign w:val="center"/>
          </w:tcPr>
          <w:p>
            <w:pPr>
              <w:spacing w:line="560" w:lineRule="exact"/>
              <w:rPr>
                <w:rFonts w:cs="仿宋_GB2312" w:asciiTheme="minorEastAsia" w:hAnsiTheme="minorEastAsia" w:eastAsiaTheme="minorEastAsia"/>
                <w:color w:val="auto"/>
                <w:szCs w:val="28"/>
                <w:highlight w:val="none"/>
                <w:lang w:val="zh-CN"/>
              </w:rPr>
            </w:pPr>
            <w:r>
              <w:rPr>
                <w:rFonts w:hint="eastAsia" w:cs="仿宋_GB2312" w:asciiTheme="minorEastAsia" w:hAnsiTheme="minorEastAsia" w:eastAsiaTheme="minorEastAsia"/>
                <w:color w:val="auto"/>
                <w:szCs w:val="28"/>
                <w:highlight w:val="none"/>
                <w:lang w:val="zh-CN"/>
              </w:rPr>
              <w:t>（3）具有履行合同所必需的设备和专业技术能力</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①供应商提供书面声明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676" w:type="dxa"/>
            <w:vMerge w:val="continue"/>
            <w:vAlign w:val="center"/>
          </w:tcPr>
          <w:p>
            <w:pPr>
              <w:spacing w:line="560" w:lineRule="exact"/>
              <w:jc w:val="center"/>
              <w:rPr>
                <w:rFonts w:asciiTheme="minorEastAsia" w:hAnsiTheme="minorEastAsia" w:eastAsiaTheme="minorEastAsia"/>
                <w:color w:val="auto"/>
                <w:szCs w:val="28"/>
                <w:highlight w:val="none"/>
              </w:rPr>
            </w:pPr>
          </w:p>
        </w:tc>
        <w:tc>
          <w:tcPr>
            <w:tcW w:w="709" w:type="dxa"/>
            <w:vMerge w:val="continue"/>
            <w:vAlign w:val="center"/>
          </w:tcPr>
          <w:p>
            <w:pPr>
              <w:spacing w:line="560" w:lineRule="exact"/>
              <w:rPr>
                <w:rFonts w:cs="仿宋_GB2312" w:asciiTheme="minorEastAsia" w:hAnsiTheme="minorEastAsia" w:eastAsiaTheme="minorEastAsia"/>
                <w:color w:val="auto"/>
                <w:szCs w:val="28"/>
                <w:highlight w:val="none"/>
                <w:lang w:val="zh-CN"/>
              </w:rPr>
            </w:pPr>
          </w:p>
        </w:tc>
        <w:tc>
          <w:tcPr>
            <w:tcW w:w="2692" w:type="dxa"/>
            <w:vAlign w:val="center"/>
          </w:tcPr>
          <w:p>
            <w:pPr>
              <w:spacing w:line="560" w:lineRule="exact"/>
              <w:rPr>
                <w:rFonts w:cs="仿宋_GB2312" w:asciiTheme="minorEastAsia" w:hAnsiTheme="minorEastAsia" w:eastAsiaTheme="minorEastAsia"/>
                <w:color w:val="auto"/>
                <w:szCs w:val="28"/>
                <w:highlight w:val="none"/>
                <w:lang w:val="zh-CN"/>
              </w:rPr>
            </w:pPr>
            <w:r>
              <w:rPr>
                <w:rFonts w:hint="eastAsia" w:cs="仿宋_GB2312" w:asciiTheme="minorEastAsia" w:hAnsiTheme="minorEastAsia" w:eastAsiaTheme="minorEastAsia"/>
                <w:color w:val="auto"/>
                <w:szCs w:val="28"/>
                <w:highlight w:val="none"/>
                <w:lang w:val="zh-CN"/>
              </w:rPr>
              <w:t>（4）有依法缴纳税收和社会保障金的良好记录</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①税务登记证（副本）复印件（注2）</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②缴纳社会保障金的证明材料复印件（缴纳社会保障金的证明材料指：社会保险登记证或缴纳社会保险的凭据（专用收据或社会保险缴纳清单）。</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Merge w:val="continue"/>
            <w:vAlign w:val="center"/>
          </w:tcPr>
          <w:p>
            <w:pPr>
              <w:spacing w:line="560" w:lineRule="exact"/>
              <w:jc w:val="center"/>
              <w:rPr>
                <w:rFonts w:asciiTheme="minorEastAsia" w:hAnsiTheme="minorEastAsia" w:eastAsiaTheme="minorEastAsia"/>
                <w:color w:val="auto"/>
                <w:szCs w:val="28"/>
                <w:highlight w:val="none"/>
              </w:rPr>
            </w:pPr>
          </w:p>
        </w:tc>
        <w:tc>
          <w:tcPr>
            <w:tcW w:w="709" w:type="dxa"/>
            <w:vMerge w:val="continue"/>
            <w:vAlign w:val="center"/>
          </w:tcPr>
          <w:p>
            <w:pPr>
              <w:spacing w:line="560" w:lineRule="exact"/>
              <w:rPr>
                <w:rFonts w:cs="仿宋_GB2312" w:asciiTheme="minorEastAsia" w:hAnsiTheme="minorEastAsia" w:eastAsiaTheme="minorEastAsia"/>
                <w:color w:val="auto"/>
                <w:szCs w:val="28"/>
                <w:highlight w:val="none"/>
                <w:lang w:val="zh-CN"/>
              </w:rPr>
            </w:pPr>
          </w:p>
        </w:tc>
        <w:tc>
          <w:tcPr>
            <w:tcW w:w="2692" w:type="dxa"/>
            <w:vAlign w:val="center"/>
          </w:tcPr>
          <w:p>
            <w:pPr>
              <w:spacing w:line="560" w:lineRule="exact"/>
              <w:rPr>
                <w:rFonts w:cs="仿宋_GB2312" w:asciiTheme="minorEastAsia" w:hAnsiTheme="minorEastAsia" w:eastAsiaTheme="minorEastAsia"/>
                <w:color w:val="auto"/>
                <w:szCs w:val="28"/>
                <w:highlight w:val="none"/>
                <w:lang w:val="zh-CN"/>
              </w:rPr>
            </w:pPr>
            <w:r>
              <w:rPr>
                <w:rFonts w:hint="eastAsia" w:asciiTheme="minorEastAsia" w:hAnsiTheme="minorEastAsia" w:eastAsiaTheme="minorEastAsia"/>
                <w:color w:val="auto"/>
                <w:szCs w:val="28"/>
                <w:highlight w:val="none"/>
              </w:rPr>
              <w:t>（5）参加政府采购活动前三年内，在经营活动中没有重大违法记录（注3）</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①供应商提供书面声明（见格式文件）；</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②采购人或采购代理机构将通过 “信用中国”网站(www.creditchina.gov.cn)、"中国政府采购网"(www.ccgp.gov.cn)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76" w:type="dxa"/>
            <w:vMerge w:val="continue"/>
            <w:vAlign w:val="center"/>
          </w:tcPr>
          <w:p>
            <w:pPr>
              <w:spacing w:line="560" w:lineRule="exact"/>
              <w:jc w:val="center"/>
              <w:rPr>
                <w:rFonts w:asciiTheme="minorEastAsia" w:hAnsiTheme="minorEastAsia" w:eastAsiaTheme="minorEastAsia"/>
                <w:color w:val="auto"/>
                <w:szCs w:val="28"/>
                <w:highlight w:val="none"/>
              </w:rPr>
            </w:pPr>
          </w:p>
        </w:tc>
        <w:tc>
          <w:tcPr>
            <w:tcW w:w="709" w:type="dxa"/>
            <w:vMerge w:val="continue"/>
            <w:vAlign w:val="center"/>
          </w:tcPr>
          <w:p>
            <w:pPr>
              <w:spacing w:line="560" w:lineRule="exact"/>
              <w:rPr>
                <w:rFonts w:cs="仿宋_GB2312" w:asciiTheme="minorEastAsia" w:hAnsiTheme="minorEastAsia" w:eastAsiaTheme="minorEastAsia"/>
                <w:color w:val="auto"/>
                <w:szCs w:val="28"/>
                <w:highlight w:val="none"/>
                <w:lang w:val="zh-CN"/>
              </w:rPr>
            </w:pPr>
          </w:p>
        </w:tc>
        <w:tc>
          <w:tcPr>
            <w:tcW w:w="2692"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（6）法律、行政法规规定的其他条件</w:t>
            </w:r>
          </w:p>
        </w:tc>
        <w:tc>
          <w:tcPr>
            <w:tcW w:w="5551" w:type="dxa"/>
            <w:vAlign w:val="center"/>
          </w:tcPr>
          <w:p>
            <w:pPr>
              <w:spacing w:line="560" w:lineRule="exact"/>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w:t>
            </w:r>
          </w:p>
        </w:tc>
        <w:tc>
          <w:tcPr>
            <w:tcW w:w="3401" w:type="dxa"/>
            <w:gridSpan w:val="2"/>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特定资格条件</w:t>
            </w:r>
          </w:p>
        </w:tc>
        <w:tc>
          <w:tcPr>
            <w:tcW w:w="5551"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无</w:t>
            </w:r>
          </w:p>
        </w:tc>
      </w:tr>
    </w:tbl>
    <w:p>
      <w:pPr>
        <w:snapToGrid w:val="0"/>
        <w:spacing w:line="560" w:lineRule="exact"/>
        <w:ind w:firstLine="560" w:firstLineChars="200"/>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注1：供应商按“多证合一”登记制度办理营业执照的，组织机构代码证和税务登记证（副本）以供应商所提供的营业执照（副本）复印件为准。</w:t>
      </w:r>
    </w:p>
    <w:p>
      <w:pPr>
        <w:snapToGrid w:val="0"/>
        <w:spacing w:line="560" w:lineRule="exact"/>
        <w:ind w:firstLine="560" w:firstLineChars="200"/>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注2：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2.符合性检查。依据竞争性磋商文件的规定，从响应文件的有效性、完整性和对竞争性磋商文件的响应程度进行审查，以确定是否对竞争性磋商文件的实质性要求作出响应。</w:t>
      </w:r>
      <w:r>
        <w:rPr>
          <w:rFonts w:hint="eastAsia" w:asciiTheme="minorEastAsia" w:hAnsiTheme="minorEastAsia" w:eastAsiaTheme="minorEastAsia"/>
          <w:color w:val="auto"/>
          <w:kern w:val="0"/>
          <w:szCs w:val="28"/>
          <w:highlight w:val="none"/>
        </w:rPr>
        <w:t>符合性检查资料表如下：</w:t>
      </w:r>
    </w:p>
    <w:tbl>
      <w:tblPr>
        <w:tblStyle w:val="5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701"/>
        <w:gridCol w:w="1985"/>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序号</w:t>
            </w:r>
          </w:p>
        </w:tc>
        <w:tc>
          <w:tcPr>
            <w:tcW w:w="3686" w:type="dxa"/>
            <w:gridSpan w:val="2"/>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评审因素</w:t>
            </w:r>
          </w:p>
        </w:tc>
        <w:tc>
          <w:tcPr>
            <w:tcW w:w="5125" w:type="dxa"/>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1</w:t>
            </w:r>
          </w:p>
        </w:tc>
        <w:tc>
          <w:tcPr>
            <w:tcW w:w="1701" w:type="dxa"/>
            <w:vMerge w:val="restart"/>
            <w:vAlign w:val="center"/>
          </w:tcPr>
          <w:p>
            <w:pPr>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有效性审查</w:t>
            </w:r>
          </w:p>
        </w:tc>
        <w:tc>
          <w:tcPr>
            <w:tcW w:w="198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asciiTheme="minorEastAsia" w:hAnsiTheme="minorEastAsia" w:eastAsiaTheme="minorEastAsia"/>
                <w:color w:val="auto"/>
                <w:szCs w:val="28"/>
                <w:highlight w:val="none"/>
              </w:rPr>
              <w:t>响应文件签署</w:t>
            </w:r>
          </w:p>
        </w:tc>
        <w:tc>
          <w:tcPr>
            <w:tcW w:w="512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asciiTheme="minorEastAsia" w:hAnsiTheme="minorEastAsia" w:eastAsiaTheme="minorEastAsia"/>
                <w:color w:val="auto"/>
                <w:szCs w:val="28"/>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vAlign w:val="center"/>
          </w:tcPr>
          <w:p>
            <w:pPr>
              <w:spacing w:line="560" w:lineRule="exact"/>
              <w:jc w:val="center"/>
              <w:rPr>
                <w:rFonts w:cs="宋体" w:asciiTheme="minorEastAsia" w:hAnsiTheme="minorEastAsia" w:eastAsiaTheme="minorEastAsia"/>
                <w:color w:val="auto"/>
                <w:kern w:val="0"/>
                <w:szCs w:val="28"/>
                <w:highlight w:val="none"/>
              </w:rPr>
            </w:pPr>
          </w:p>
        </w:tc>
        <w:tc>
          <w:tcPr>
            <w:tcW w:w="1701" w:type="dxa"/>
            <w:vMerge w:val="continue"/>
            <w:vAlign w:val="center"/>
          </w:tcPr>
          <w:p>
            <w:pPr>
              <w:spacing w:line="560" w:lineRule="exact"/>
              <w:rPr>
                <w:rFonts w:cs="宋体" w:asciiTheme="minorEastAsia" w:hAnsiTheme="minorEastAsia" w:eastAsiaTheme="minorEastAsia"/>
                <w:color w:val="auto"/>
                <w:kern w:val="0"/>
                <w:szCs w:val="28"/>
                <w:highlight w:val="none"/>
              </w:rPr>
            </w:pPr>
          </w:p>
        </w:tc>
        <w:tc>
          <w:tcPr>
            <w:tcW w:w="1985"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法定代表人身份证明及授权委托书</w:t>
            </w:r>
          </w:p>
        </w:tc>
        <w:tc>
          <w:tcPr>
            <w:tcW w:w="5125" w:type="dxa"/>
            <w:vAlign w:val="center"/>
          </w:tcPr>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vAlign w:val="center"/>
          </w:tcPr>
          <w:p>
            <w:pPr>
              <w:spacing w:line="560" w:lineRule="exact"/>
              <w:jc w:val="center"/>
              <w:rPr>
                <w:rFonts w:cs="宋体" w:asciiTheme="minorEastAsia" w:hAnsiTheme="minorEastAsia" w:eastAsiaTheme="minorEastAsia"/>
                <w:color w:val="auto"/>
                <w:kern w:val="0"/>
                <w:szCs w:val="28"/>
                <w:highlight w:val="none"/>
              </w:rPr>
            </w:pPr>
          </w:p>
        </w:tc>
        <w:tc>
          <w:tcPr>
            <w:tcW w:w="1701" w:type="dxa"/>
            <w:vMerge w:val="continue"/>
            <w:vAlign w:val="center"/>
          </w:tcPr>
          <w:p>
            <w:pPr>
              <w:spacing w:line="560" w:lineRule="exact"/>
              <w:rPr>
                <w:rFonts w:cs="宋体" w:asciiTheme="minorEastAsia" w:hAnsiTheme="minorEastAsia" w:eastAsiaTheme="minorEastAsia"/>
                <w:color w:val="auto"/>
                <w:kern w:val="0"/>
                <w:szCs w:val="28"/>
                <w:highlight w:val="none"/>
              </w:rPr>
            </w:pPr>
          </w:p>
        </w:tc>
        <w:tc>
          <w:tcPr>
            <w:tcW w:w="1985" w:type="dxa"/>
            <w:vAlign w:val="center"/>
          </w:tcPr>
          <w:p>
            <w:pPr>
              <w:spacing w:line="560" w:lineRule="exact"/>
              <w:rPr>
                <w:rFonts w:cs="仿宋_GB2312" w:asciiTheme="minorEastAsia" w:hAnsiTheme="minorEastAsia" w:eastAsiaTheme="minorEastAsia"/>
                <w:color w:val="auto"/>
                <w:szCs w:val="28"/>
                <w:highlight w:val="none"/>
                <w:lang w:val="zh-CN"/>
              </w:rPr>
            </w:pPr>
            <w:r>
              <w:rPr>
                <w:rFonts w:hint="eastAsia" w:cs="仿宋_GB2312" w:asciiTheme="minorEastAsia" w:hAnsiTheme="minorEastAsia" w:eastAsiaTheme="minorEastAsia"/>
                <w:color w:val="auto"/>
                <w:szCs w:val="28"/>
                <w:highlight w:val="none"/>
              </w:rPr>
              <w:t>响应</w:t>
            </w:r>
            <w:r>
              <w:rPr>
                <w:rFonts w:hint="eastAsia" w:cs="仿宋_GB2312" w:asciiTheme="minorEastAsia" w:hAnsiTheme="minorEastAsia" w:eastAsiaTheme="minorEastAsia"/>
                <w:color w:val="auto"/>
                <w:szCs w:val="28"/>
                <w:highlight w:val="none"/>
                <w:lang w:val="zh-CN"/>
              </w:rPr>
              <w:t>方案</w:t>
            </w:r>
          </w:p>
        </w:tc>
        <w:tc>
          <w:tcPr>
            <w:tcW w:w="512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仿宋_GB2312" w:asciiTheme="minorEastAsia" w:hAnsiTheme="minorEastAsia" w:eastAsiaTheme="minorEastAsia"/>
                <w:color w:val="auto"/>
                <w:szCs w:val="28"/>
                <w:highlight w:val="none"/>
                <w:lang w:val="zh-CN"/>
              </w:rPr>
              <w:t>每个分包只能有一个</w:t>
            </w:r>
            <w:r>
              <w:rPr>
                <w:rFonts w:hint="eastAsia" w:cs="仿宋_GB2312" w:asciiTheme="minorEastAsia" w:hAnsiTheme="minorEastAsia" w:eastAsiaTheme="minorEastAsia"/>
                <w:color w:val="auto"/>
                <w:szCs w:val="28"/>
                <w:highlight w:val="none"/>
              </w:rPr>
              <w:t>响应</w:t>
            </w:r>
            <w:r>
              <w:rPr>
                <w:rFonts w:hint="eastAsia" w:cs="仿宋_GB2312" w:asciiTheme="minorEastAsia" w:hAnsiTheme="minorEastAsia" w:eastAsiaTheme="minorEastAsia"/>
                <w:color w:val="auto"/>
                <w:szCs w:val="28"/>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17" w:type="dxa"/>
            <w:vMerge w:val="continue"/>
            <w:vAlign w:val="center"/>
          </w:tcPr>
          <w:p>
            <w:pPr>
              <w:spacing w:line="560" w:lineRule="exact"/>
              <w:jc w:val="center"/>
              <w:rPr>
                <w:rFonts w:cs="宋体" w:asciiTheme="minorEastAsia" w:hAnsiTheme="minorEastAsia" w:eastAsiaTheme="minorEastAsia"/>
                <w:color w:val="auto"/>
                <w:kern w:val="0"/>
                <w:szCs w:val="28"/>
                <w:highlight w:val="none"/>
              </w:rPr>
            </w:pPr>
          </w:p>
        </w:tc>
        <w:tc>
          <w:tcPr>
            <w:tcW w:w="1701" w:type="dxa"/>
            <w:vMerge w:val="continue"/>
            <w:vAlign w:val="center"/>
          </w:tcPr>
          <w:p>
            <w:pPr>
              <w:spacing w:line="560" w:lineRule="exact"/>
              <w:rPr>
                <w:rFonts w:cs="宋体" w:asciiTheme="minorEastAsia" w:hAnsiTheme="minorEastAsia" w:eastAsiaTheme="minorEastAsia"/>
                <w:color w:val="auto"/>
                <w:kern w:val="0"/>
                <w:szCs w:val="28"/>
                <w:highlight w:val="none"/>
              </w:rPr>
            </w:pPr>
          </w:p>
        </w:tc>
        <w:tc>
          <w:tcPr>
            <w:tcW w:w="1985" w:type="dxa"/>
            <w:vAlign w:val="center"/>
          </w:tcPr>
          <w:p>
            <w:pPr>
              <w:spacing w:line="560" w:lineRule="exact"/>
              <w:rPr>
                <w:rFonts w:cs="仿宋_GB2312" w:asciiTheme="minorEastAsia" w:hAnsiTheme="minorEastAsia" w:eastAsiaTheme="minorEastAsia"/>
                <w:color w:val="auto"/>
                <w:szCs w:val="28"/>
                <w:highlight w:val="none"/>
                <w:lang w:val="zh-CN"/>
              </w:rPr>
            </w:pPr>
            <w:r>
              <w:rPr>
                <w:rFonts w:hint="eastAsia" w:asciiTheme="minorEastAsia" w:hAnsiTheme="minorEastAsia" w:eastAsiaTheme="minorEastAsia"/>
                <w:color w:val="auto"/>
                <w:szCs w:val="28"/>
                <w:highlight w:val="none"/>
              </w:rPr>
              <w:t>报价唯一</w:t>
            </w:r>
          </w:p>
        </w:tc>
        <w:tc>
          <w:tcPr>
            <w:tcW w:w="512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仿宋_GB2312" w:asciiTheme="minorEastAsia" w:hAnsiTheme="minorEastAsia" w:eastAsiaTheme="minorEastAsia"/>
                <w:color w:val="auto"/>
                <w:szCs w:val="28"/>
                <w:highlight w:val="none"/>
                <w:lang w:val="zh-CN"/>
              </w:rPr>
              <w:t>只能在采购预算范围内报价，</w:t>
            </w:r>
            <w:r>
              <w:rPr>
                <w:rFonts w:hint="eastAsia" w:asciiTheme="minorEastAsia" w:hAnsiTheme="minorEastAsia" w:eastAsiaTheme="minorEastAsia"/>
                <w:color w:val="auto"/>
                <w:szCs w:val="28"/>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17" w:type="dxa"/>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2</w:t>
            </w:r>
          </w:p>
        </w:tc>
        <w:tc>
          <w:tcPr>
            <w:tcW w:w="1701"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完整性审查</w:t>
            </w:r>
          </w:p>
        </w:tc>
        <w:tc>
          <w:tcPr>
            <w:tcW w:w="198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仿宋_GB2312" w:asciiTheme="minorEastAsia" w:hAnsiTheme="minorEastAsia" w:eastAsiaTheme="minorEastAsia"/>
                <w:color w:val="auto"/>
                <w:szCs w:val="28"/>
                <w:highlight w:val="none"/>
              </w:rPr>
              <w:t>响应</w:t>
            </w:r>
            <w:r>
              <w:rPr>
                <w:rFonts w:hint="eastAsia" w:cs="仿宋_GB2312" w:asciiTheme="minorEastAsia" w:hAnsiTheme="minorEastAsia" w:eastAsiaTheme="minorEastAsia"/>
                <w:color w:val="auto"/>
                <w:szCs w:val="28"/>
                <w:highlight w:val="none"/>
                <w:lang w:val="zh-CN"/>
              </w:rPr>
              <w:t>文件份数</w:t>
            </w:r>
          </w:p>
        </w:tc>
        <w:tc>
          <w:tcPr>
            <w:tcW w:w="512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仿宋_GB2312" w:asciiTheme="minorEastAsia" w:hAnsiTheme="minorEastAsia" w:eastAsiaTheme="minorEastAsia"/>
                <w:color w:val="auto"/>
                <w:szCs w:val="28"/>
                <w:highlight w:val="none"/>
              </w:rPr>
              <w:t>响应</w:t>
            </w:r>
            <w:r>
              <w:rPr>
                <w:rFonts w:hint="eastAsia" w:cs="仿宋_GB2312" w:asciiTheme="minorEastAsia" w:hAnsiTheme="minorEastAsia" w:eastAsiaTheme="minorEastAsia"/>
                <w:color w:val="auto"/>
                <w:szCs w:val="28"/>
                <w:highlight w:val="none"/>
                <w:lang w:val="zh-CN"/>
              </w:rPr>
              <w:t>文件正、副本数量（含电子文档）符合</w:t>
            </w:r>
            <w:r>
              <w:rPr>
                <w:rFonts w:hint="eastAsia" w:cs="仿宋_GB2312" w:asciiTheme="minorEastAsia" w:hAnsiTheme="minorEastAsia" w:eastAsiaTheme="minorEastAsia"/>
                <w:color w:val="auto"/>
                <w:szCs w:val="28"/>
                <w:highlight w:val="none"/>
              </w:rPr>
              <w:t>竞争性磋商</w:t>
            </w:r>
            <w:r>
              <w:rPr>
                <w:rFonts w:hint="eastAsia" w:cs="仿宋_GB2312" w:asciiTheme="minorEastAsia" w:hAnsiTheme="minorEastAsia" w:eastAsiaTheme="minorEastAsia"/>
                <w:color w:val="auto"/>
                <w:szCs w:val="28"/>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vAlign w:val="center"/>
          </w:tcPr>
          <w:p>
            <w:pPr>
              <w:spacing w:line="560" w:lineRule="exact"/>
              <w:jc w:val="center"/>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3</w:t>
            </w:r>
          </w:p>
        </w:tc>
        <w:tc>
          <w:tcPr>
            <w:tcW w:w="1701" w:type="dxa"/>
            <w:vMerge w:val="restart"/>
            <w:vAlign w:val="center"/>
          </w:tcPr>
          <w:p>
            <w:pPr>
              <w:spacing w:line="560" w:lineRule="exact"/>
              <w:rPr>
                <w:rFonts w:cs="仿宋_GB2312" w:asciiTheme="minorEastAsia" w:hAnsiTheme="minorEastAsia" w:eastAsiaTheme="minorEastAsia"/>
                <w:color w:val="auto"/>
                <w:szCs w:val="28"/>
                <w:highlight w:val="none"/>
                <w:lang w:val="zh-CN"/>
              </w:rPr>
            </w:pPr>
            <w:r>
              <w:rPr>
                <w:rFonts w:hint="eastAsia" w:cs="宋体" w:asciiTheme="minorEastAsia" w:hAnsiTheme="minorEastAsia" w:eastAsiaTheme="minorEastAsia"/>
                <w:color w:val="auto"/>
                <w:kern w:val="0"/>
                <w:szCs w:val="28"/>
                <w:highlight w:val="none"/>
              </w:rPr>
              <w:t>竞争性磋商文件的响应程度审查</w:t>
            </w:r>
          </w:p>
        </w:tc>
        <w:tc>
          <w:tcPr>
            <w:tcW w:w="198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响应文件内容</w:t>
            </w:r>
          </w:p>
        </w:tc>
        <w:tc>
          <w:tcPr>
            <w:tcW w:w="5125" w:type="dxa"/>
            <w:vAlign w:val="center"/>
          </w:tcPr>
          <w:p>
            <w:pPr>
              <w:pStyle w:val="32"/>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对竞争性磋商文件第二篇规定的磋商内容作出响应。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vAlign w:val="center"/>
          </w:tcPr>
          <w:p>
            <w:pPr>
              <w:spacing w:line="560" w:lineRule="exact"/>
              <w:jc w:val="center"/>
              <w:rPr>
                <w:rFonts w:cs="宋体" w:asciiTheme="minorEastAsia" w:hAnsiTheme="minorEastAsia" w:eastAsiaTheme="minorEastAsia"/>
                <w:color w:val="auto"/>
                <w:kern w:val="0"/>
                <w:szCs w:val="28"/>
                <w:highlight w:val="none"/>
              </w:rPr>
            </w:pPr>
          </w:p>
        </w:tc>
        <w:tc>
          <w:tcPr>
            <w:tcW w:w="1701" w:type="dxa"/>
            <w:vMerge w:val="continue"/>
            <w:vAlign w:val="center"/>
          </w:tcPr>
          <w:p>
            <w:pPr>
              <w:spacing w:line="560" w:lineRule="exact"/>
              <w:rPr>
                <w:rFonts w:cs="仿宋_GB2312" w:asciiTheme="minorEastAsia" w:hAnsiTheme="minorEastAsia" w:eastAsiaTheme="minorEastAsia"/>
                <w:color w:val="auto"/>
                <w:szCs w:val="28"/>
                <w:highlight w:val="none"/>
                <w:lang w:val="zh-CN"/>
              </w:rPr>
            </w:pPr>
          </w:p>
        </w:tc>
        <w:tc>
          <w:tcPr>
            <w:tcW w:w="198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磋商有效期</w:t>
            </w:r>
          </w:p>
        </w:tc>
        <w:tc>
          <w:tcPr>
            <w:tcW w:w="5125" w:type="dxa"/>
            <w:vAlign w:val="center"/>
          </w:tcPr>
          <w:p>
            <w:pPr>
              <w:spacing w:line="560" w:lineRule="exact"/>
              <w:rPr>
                <w:rFonts w:cs="宋体" w:asciiTheme="minorEastAsia" w:hAnsiTheme="minorEastAsia" w:eastAsiaTheme="minorEastAsia"/>
                <w:color w:val="auto"/>
                <w:kern w:val="0"/>
                <w:szCs w:val="28"/>
                <w:highlight w:val="none"/>
              </w:rPr>
            </w:pPr>
            <w:r>
              <w:rPr>
                <w:rFonts w:hint="eastAsia" w:cs="宋体" w:asciiTheme="minorEastAsia" w:hAnsiTheme="minorEastAsia" w:eastAsiaTheme="minorEastAsia"/>
                <w:color w:val="auto"/>
                <w:kern w:val="0"/>
                <w:szCs w:val="28"/>
                <w:highlight w:val="none"/>
              </w:rPr>
              <w:t>满足磋商文件</w:t>
            </w:r>
            <w:r>
              <w:rPr>
                <w:rFonts w:hint="eastAsia" w:cs="仿宋_GB2312" w:asciiTheme="minorEastAsia" w:hAnsiTheme="minorEastAsia" w:eastAsiaTheme="minorEastAsia"/>
                <w:color w:val="auto"/>
                <w:szCs w:val="28"/>
                <w:highlight w:val="none"/>
                <w:lang w:val="zh-CN"/>
              </w:rPr>
              <w:t>规定。</w:t>
            </w:r>
          </w:p>
        </w:tc>
      </w:tr>
    </w:tbl>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（五）在磋商过程中磋商的任何一方不得向他人透露与磋商有关的服务资料、价格或其他信息。</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（七）供应商在磋商时作出的所有书面承诺须由法定代表人或其授权代表签字。</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八）经磋商确定最终采购需求且磋商结束后，供应商应当按照竞争性磋商文件的变动情况和磋商小组的要求重新提交响应文件或重新做出相关的书面承诺，最后书面提交最后报价及有关承诺（填写《最后报价表》并密封提交）。已提交响应文件但未在规定时间内进行最后报价的供应商，视为放弃最后报价，以供应商响应文件中的报价为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（九）磋商小组采用综合评分法对提交最后报价的供应商的响应文件和最后报价（含有效书面承诺）进行综合评分。</w:t>
      </w:r>
      <w:r>
        <w:rPr>
          <w:rFonts w:hint="eastAsia" w:cs="宋体" w:asciiTheme="minorEastAsia" w:hAnsiTheme="minorEastAsia" w:eastAsiaTheme="minorEastAsia"/>
          <w:color w:val="auto"/>
          <w:kern w:val="0"/>
          <w:szCs w:val="28"/>
          <w:highlight w:val="none"/>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100分</w:t>
      </w:r>
      <w:r>
        <w:rPr>
          <w:rFonts w:hint="eastAsia" w:asciiTheme="minorEastAsia" w:hAnsiTheme="minorEastAsia" w:eastAsiaTheme="minorEastAsia"/>
          <w:color w:val="auto"/>
          <w:szCs w:val="28"/>
          <w:highlight w:val="none"/>
        </w:rPr>
        <w:t>。</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（十）磋商小组各成员独立对每个有效响应（通过资格性检查、</w:t>
      </w:r>
      <w:r>
        <w:rPr>
          <w:rFonts w:hint="eastAsia" w:cs="宋体" w:asciiTheme="minorEastAsia" w:hAnsiTheme="minorEastAsia" w:eastAsiaTheme="minorEastAsia"/>
          <w:color w:val="auto"/>
          <w:kern w:val="0"/>
          <w:szCs w:val="28"/>
          <w:highlight w:val="none"/>
        </w:rPr>
        <w:t>符合性检查的供应商</w:t>
      </w:r>
      <w:r>
        <w:rPr>
          <w:rFonts w:hint="eastAsia" w:asciiTheme="minorEastAsia" w:hAnsiTheme="minorEastAsia" w:eastAsiaTheme="minorEastAsia"/>
          <w:color w:val="auto"/>
          <w:szCs w:val="28"/>
          <w:highlight w:val="none"/>
        </w:rPr>
        <w:t>）的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若供应商的服务部分为0分，将失去成为成交候选供应商的资格。</w:t>
      </w:r>
    </w:p>
    <w:p>
      <w:pPr>
        <w:pStyle w:val="4"/>
        <w:numPr>
          <w:ilvl w:val="0"/>
          <w:numId w:val="13"/>
        </w:numPr>
        <w:spacing w:before="0" w:after="0" w:line="560" w:lineRule="exact"/>
        <w:rPr>
          <w:rFonts w:asciiTheme="minorEastAsia" w:hAnsiTheme="minorEastAsia" w:eastAsiaTheme="minorEastAsia"/>
          <w:bCs/>
          <w:color w:val="auto"/>
          <w:sz w:val="28"/>
          <w:szCs w:val="28"/>
          <w:highlight w:val="none"/>
        </w:rPr>
      </w:pPr>
      <w:bookmarkStart w:id="50" w:name="_Toc105060902"/>
      <w:bookmarkStart w:id="51" w:name="_Toc102227320"/>
      <w:bookmarkStart w:id="52" w:name="_Toc342913394"/>
      <w:r>
        <w:rPr>
          <w:rFonts w:hint="eastAsia" w:asciiTheme="minorEastAsia" w:hAnsiTheme="minorEastAsia" w:eastAsiaTheme="minorEastAsia"/>
          <w:bCs/>
          <w:color w:val="auto"/>
          <w:sz w:val="28"/>
          <w:szCs w:val="28"/>
          <w:highlight w:val="none"/>
        </w:rPr>
        <w:t>评审标准</w:t>
      </w:r>
      <w:bookmarkEnd w:id="50"/>
    </w:p>
    <w:tbl>
      <w:tblPr>
        <w:tblStyle w:val="57"/>
        <w:tblW w:w="8974" w:type="dxa"/>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1279"/>
        <w:gridCol w:w="709"/>
        <w:gridCol w:w="5263"/>
        <w:gridCol w:w="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4" w:type="dxa"/>
            <w:tcBorders>
              <w:top w:val="single" w:color="auto" w:sz="12" w:space="0"/>
              <w:left w:val="single" w:color="auto" w:sz="12" w:space="0"/>
              <w:bottom w:val="single" w:color="auto" w:sz="12" w:space="0"/>
            </w:tcBorders>
            <w:vAlign w:val="center"/>
          </w:tcPr>
          <w:p>
            <w:pPr>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序号</w:t>
            </w:r>
          </w:p>
        </w:tc>
        <w:tc>
          <w:tcPr>
            <w:tcW w:w="1279" w:type="dxa"/>
            <w:tcBorders>
              <w:top w:val="single" w:color="auto" w:sz="12" w:space="0"/>
              <w:bottom w:val="single" w:color="auto" w:sz="12" w:space="0"/>
            </w:tcBorders>
            <w:vAlign w:val="center"/>
          </w:tcPr>
          <w:p>
            <w:pPr>
              <w:snapToGrid w:val="0"/>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评分因素</w:t>
            </w:r>
          </w:p>
          <w:p>
            <w:pPr>
              <w:snapToGrid w:val="0"/>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及权重</w:t>
            </w:r>
          </w:p>
        </w:tc>
        <w:tc>
          <w:tcPr>
            <w:tcW w:w="709" w:type="dxa"/>
            <w:tcBorders>
              <w:top w:val="single" w:color="auto" w:sz="12" w:space="0"/>
              <w:bottom w:val="single" w:color="auto" w:sz="12" w:space="0"/>
            </w:tcBorders>
            <w:vAlign w:val="center"/>
          </w:tcPr>
          <w:p>
            <w:pPr>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分值</w:t>
            </w:r>
          </w:p>
        </w:tc>
        <w:tc>
          <w:tcPr>
            <w:tcW w:w="5263" w:type="dxa"/>
            <w:tcBorders>
              <w:top w:val="single" w:color="auto" w:sz="12" w:space="0"/>
              <w:bottom w:val="single" w:color="auto" w:sz="12" w:space="0"/>
            </w:tcBorders>
            <w:vAlign w:val="center"/>
          </w:tcPr>
          <w:p>
            <w:pPr>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评分标准</w:t>
            </w:r>
          </w:p>
        </w:tc>
        <w:tc>
          <w:tcPr>
            <w:tcW w:w="909" w:type="dxa"/>
            <w:tcBorders>
              <w:top w:val="single" w:color="auto" w:sz="12" w:space="0"/>
              <w:bottom w:val="single" w:color="auto" w:sz="12" w:space="0"/>
              <w:right w:val="single" w:color="auto" w:sz="12" w:space="0"/>
            </w:tcBorders>
            <w:vAlign w:val="center"/>
          </w:tcPr>
          <w:p>
            <w:pPr>
              <w:jc w:val="cente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51" w:hRule="atLeast"/>
        </w:trPr>
        <w:tc>
          <w:tcPr>
            <w:tcW w:w="814" w:type="dxa"/>
            <w:tcBorders>
              <w:top w:val="single" w:color="auto" w:sz="12" w:space="0"/>
              <w:left w:val="single" w:color="auto" w:sz="12" w:space="0"/>
            </w:tcBorders>
            <w:vAlign w:val="center"/>
          </w:tcPr>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1</w:t>
            </w:r>
          </w:p>
        </w:tc>
        <w:tc>
          <w:tcPr>
            <w:tcW w:w="1279" w:type="dxa"/>
            <w:tcBorders>
              <w:top w:val="single" w:color="auto" w:sz="12" w:space="0"/>
            </w:tcBorders>
            <w:vAlign w:val="center"/>
          </w:tcPr>
          <w:p>
            <w:pPr>
              <w:ind w:firstLine="28"/>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磋商报价</w:t>
            </w:r>
            <w:r>
              <w:rPr>
                <w:rFonts w:asciiTheme="minorEastAsia" w:hAnsiTheme="minorEastAsia" w:eastAsiaTheme="minorEastAsia"/>
                <w:color w:val="auto"/>
                <w:sz w:val="24"/>
                <w:szCs w:val="24"/>
                <w:highlight w:val="none"/>
              </w:rPr>
              <w:t>（20%）</w:t>
            </w:r>
          </w:p>
        </w:tc>
        <w:tc>
          <w:tcPr>
            <w:tcW w:w="709" w:type="dxa"/>
            <w:tcBorders>
              <w:top w:val="single" w:color="auto" w:sz="12" w:space="0"/>
            </w:tcBorders>
            <w:vAlign w:val="center"/>
          </w:tcPr>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20</w:t>
            </w:r>
          </w:p>
        </w:tc>
        <w:tc>
          <w:tcPr>
            <w:tcW w:w="5263" w:type="dxa"/>
            <w:tcBorders>
              <w:top w:val="single" w:color="auto" w:sz="12" w:space="0"/>
            </w:tcBorders>
            <w:vAlign w:val="center"/>
          </w:tcPr>
          <w:p>
            <w:pPr>
              <w:snapToGrid w:val="0"/>
              <w:ind w:firstLine="48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价格分采用低价优先法计算，即满足磋商文件要求且最后报价最低的供应商的价格为磋商基准价，其价格分为满分。其他供应商的价格分统一按照下列公式计算：</w:t>
            </w:r>
          </w:p>
          <w:p>
            <w:pPr>
              <w:snapToGrid w:val="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磋商报价得分=（磋商基准价/最后磋商报价）×价格权值×100（按四舍五入法保留两位小数）</w:t>
            </w:r>
          </w:p>
          <w:p>
            <w:pPr>
              <w:snapToGrid w:val="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项目评审过程中，不得去掉最后报价中的最高报价和最低报价。</w:t>
            </w:r>
          </w:p>
        </w:tc>
        <w:tc>
          <w:tcPr>
            <w:tcW w:w="909" w:type="dxa"/>
            <w:tcBorders>
              <w:top w:val="single" w:color="auto" w:sz="12" w:space="0"/>
              <w:right w:val="single" w:color="auto" w:sz="12" w:space="0"/>
            </w:tcBorders>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trPr>
        <w:tc>
          <w:tcPr>
            <w:tcW w:w="814" w:type="dxa"/>
            <w:vMerge w:val="restart"/>
            <w:tcBorders>
              <w:left w:val="single" w:color="auto" w:sz="12" w:space="0"/>
            </w:tcBorders>
            <w:vAlign w:val="center"/>
          </w:tcPr>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2</w:t>
            </w:r>
          </w:p>
        </w:tc>
        <w:tc>
          <w:tcPr>
            <w:tcW w:w="1279" w:type="dxa"/>
            <w:vMerge w:val="restart"/>
            <w:vAlign w:val="center"/>
          </w:tcPr>
          <w:p>
            <w:pPr>
              <w:ind w:firstLine="28"/>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技术</w:t>
            </w:r>
            <w:r>
              <w:rPr>
                <w:rFonts w:hint="eastAsia" w:asciiTheme="minorEastAsia" w:hAnsiTheme="minorEastAsia" w:eastAsiaTheme="minorEastAsia"/>
                <w:color w:val="auto"/>
                <w:sz w:val="24"/>
                <w:szCs w:val="24"/>
                <w:highlight w:val="none"/>
              </w:rPr>
              <w:t>部分</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40</w:t>
            </w:r>
            <w:r>
              <w:rPr>
                <w:rFonts w:asciiTheme="minorEastAsia" w:hAnsiTheme="minorEastAsia" w:eastAsiaTheme="minorEastAsia"/>
                <w:color w:val="auto"/>
                <w:sz w:val="24"/>
                <w:szCs w:val="24"/>
                <w:highlight w:val="none"/>
              </w:rPr>
              <w:t>%）</w:t>
            </w:r>
          </w:p>
        </w:tc>
        <w:tc>
          <w:tcPr>
            <w:tcW w:w="709" w:type="dxa"/>
            <w:tcBorders>
              <w:bottom w:val="single" w:color="auto" w:sz="4" w:space="0"/>
            </w:tcBorders>
            <w:vAlign w:val="center"/>
          </w:tcPr>
          <w:p>
            <w:pP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lang w:val="en-US" w:eastAsia="zh-CN"/>
              </w:rPr>
              <w:t>1</w:t>
            </w:r>
            <w:r>
              <w:rPr>
                <w:rFonts w:asciiTheme="minorEastAsia" w:hAnsiTheme="minorEastAsia" w:eastAsiaTheme="minorEastAsia"/>
                <w:color w:val="auto"/>
                <w:sz w:val="24"/>
                <w:szCs w:val="24"/>
                <w:highlight w:val="none"/>
              </w:rPr>
              <w:t>0</w:t>
            </w:r>
          </w:p>
        </w:tc>
        <w:tc>
          <w:tcPr>
            <w:tcW w:w="5263" w:type="dxa"/>
            <w:tcBorders>
              <w:bottom w:val="single" w:color="auto" w:sz="4" w:space="0"/>
            </w:tcBorders>
          </w:tcPr>
          <w:p>
            <w:pPr>
              <w:snapToGrid w:val="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一、技术方案</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1</w:t>
            </w:r>
            <w:r>
              <w:rPr>
                <w:rFonts w:asciiTheme="minorEastAsia" w:hAnsiTheme="minorEastAsia" w:eastAsiaTheme="minorEastAsia"/>
                <w:color w:val="auto"/>
                <w:sz w:val="24"/>
                <w:szCs w:val="24"/>
                <w:highlight w:val="none"/>
              </w:rPr>
              <w:t>0</w:t>
            </w:r>
            <w:r>
              <w:rPr>
                <w:rFonts w:hint="eastAsia" w:asciiTheme="minorEastAsia" w:hAnsiTheme="minorEastAsia" w:eastAsiaTheme="minorEastAsia"/>
                <w:color w:val="auto"/>
                <w:sz w:val="24"/>
                <w:szCs w:val="24"/>
                <w:highlight w:val="none"/>
              </w:rPr>
              <w:t>分）</w:t>
            </w:r>
          </w:p>
          <w:p>
            <w:pPr>
              <w:snapToGrid w:val="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根据投标人对采购文件采购需求的响应情况进行打分，供应商所报内容的技术参数全部满足招标文件技术要求的，本项最高得 </w:t>
            </w:r>
            <w:r>
              <w:rPr>
                <w:rFonts w:hint="eastAsia" w:asciiTheme="minorEastAsia" w:hAnsiTheme="minorEastAsia" w:eastAsiaTheme="minorEastAsia"/>
                <w:color w:val="auto"/>
                <w:sz w:val="24"/>
                <w:szCs w:val="24"/>
                <w:highlight w:val="none"/>
                <w:lang w:val="en-US" w:eastAsia="zh-CN"/>
              </w:rPr>
              <w:t>1</w:t>
            </w:r>
            <w:r>
              <w:rPr>
                <w:rFonts w:hint="eastAsia" w:asciiTheme="minorEastAsia" w:hAnsiTheme="minorEastAsia" w:eastAsiaTheme="minorEastAsia"/>
                <w:color w:val="auto"/>
                <w:sz w:val="24"/>
                <w:szCs w:val="24"/>
                <w:highlight w:val="none"/>
              </w:rPr>
              <w:t>0分。负偏离：带“★”条款负偏离一项扣</w:t>
            </w:r>
            <w:r>
              <w:rPr>
                <w:rFonts w:hint="eastAsia" w:asciiTheme="minorEastAsia" w:hAnsiTheme="minorEastAsia" w:eastAsiaTheme="minorEastAsia"/>
                <w:color w:val="auto"/>
                <w:sz w:val="24"/>
                <w:szCs w:val="24"/>
                <w:highlight w:val="none"/>
                <w:lang w:val="en-US" w:eastAsia="zh-CN"/>
              </w:rPr>
              <w:t>2</w:t>
            </w:r>
            <w:r>
              <w:rPr>
                <w:rFonts w:hint="eastAsia" w:asciiTheme="minorEastAsia" w:hAnsiTheme="minorEastAsia" w:eastAsiaTheme="minorEastAsia"/>
                <w:color w:val="auto"/>
                <w:sz w:val="24"/>
                <w:szCs w:val="24"/>
                <w:highlight w:val="none"/>
              </w:rPr>
              <w:t>分，非“★”条款每负偏离一项扣</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分，扣完为止。</w:t>
            </w:r>
          </w:p>
        </w:tc>
        <w:tc>
          <w:tcPr>
            <w:tcW w:w="909" w:type="dxa"/>
            <w:tcBorders>
              <w:bottom w:val="single" w:color="auto" w:sz="4" w:space="0"/>
              <w:right w:val="single" w:color="auto" w:sz="12" w:space="0"/>
            </w:tcBorders>
          </w:tcPr>
          <w:p>
            <w:pPr>
              <w:ind w:firstLine="315" w:firstLineChars="150"/>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5" w:hRule="atLeast"/>
        </w:trPr>
        <w:tc>
          <w:tcPr>
            <w:tcW w:w="814" w:type="dxa"/>
            <w:vMerge w:val="continue"/>
            <w:tcBorders>
              <w:left w:val="single" w:color="auto" w:sz="12" w:space="0"/>
            </w:tcBorders>
            <w:vAlign w:val="center"/>
          </w:tcPr>
          <w:p>
            <w:pPr>
              <w:rPr>
                <w:rFonts w:asciiTheme="minorEastAsia" w:hAnsiTheme="minorEastAsia" w:eastAsiaTheme="minorEastAsia"/>
                <w:color w:val="auto"/>
                <w:sz w:val="24"/>
                <w:szCs w:val="24"/>
                <w:highlight w:val="none"/>
              </w:rPr>
            </w:pPr>
          </w:p>
        </w:tc>
        <w:tc>
          <w:tcPr>
            <w:tcW w:w="1279" w:type="dxa"/>
            <w:vMerge w:val="continue"/>
            <w:vAlign w:val="center"/>
          </w:tcPr>
          <w:p>
            <w:pPr>
              <w:ind w:firstLine="28"/>
              <w:rPr>
                <w:rFonts w:asciiTheme="minorEastAsia" w:hAnsiTheme="minorEastAsia" w:eastAsiaTheme="minorEastAsia"/>
                <w:color w:val="auto"/>
                <w:sz w:val="24"/>
                <w:szCs w:val="24"/>
                <w:highlight w:val="none"/>
              </w:rPr>
            </w:pPr>
          </w:p>
        </w:tc>
        <w:tc>
          <w:tcPr>
            <w:tcW w:w="709" w:type="dxa"/>
            <w:tcBorders>
              <w:bottom w:val="single" w:color="auto" w:sz="4" w:space="0"/>
            </w:tcBorders>
            <w:vAlign w:val="center"/>
          </w:tcPr>
          <w:p>
            <w:pPr>
              <w:rPr>
                <w:rFonts w:hint="eastAsia" w:asciiTheme="minorEastAsia" w:hAnsiTheme="minor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lang w:val="en-US" w:eastAsia="zh-CN"/>
              </w:rPr>
              <w:t>3</w:t>
            </w:r>
          </w:p>
        </w:tc>
        <w:tc>
          <w:tcPr>
            <w:tcW w:w="5263" w:type="dxa"/>
            <w:tcBorders>
              <w:bottom w:val="single" w:color="auto" w:sz="4" w:space="0"/>
            </w:tcBorders>
          </w:tcPr>
          <w:p>
            <w:pPr>
              <w:snapToGrid w:val="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二、知识图谱设计方案（</w:t>
            </w:r>
            <w:r>
              <w:rPr>
                <w:rFonts w:hint="eastAsia" w:asciiTheme="minorEastAsia" w:hAnsiTheme="minorEastAsia" w:eastAsiaTheme="minorEastAsia"/>
                <w:color w:val="auto"/>
                <w:sz w:val="24"/>
                <w:szCs w:val="24"/>
                <w:highlight w:val="none"/>
                <w:lang w:val="en-US" w:eastAsia="zh-CN"/>
              </w:rPr>
              <w:t>3</w:t>
            </w:r>
            <w:r>
              <w:rPr>
                <w:rFonts w:hint="eastAsia" w:asciiTheme="minorEastAsia" w:hAnsiTheme="minorEastAsia" w:eastAsiaTheme="minorEastAsia"/>
                <w:color w:val="auto"/>
                <w:sz w:val="24"/>
                <w:szCs w:val="24"/>
                <w:highlight w:val="none"/>
              </w:rPr>
              <w:t>分）</w:t>
            </w:r>
          </w:p>
          <w:p>
            <w:pPr>
              <w:snapToGrid w:val="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学科知识图谱的建设需要包括如下多个维度例如目标层、毕业要求层、学科能力层、问题体系、基础知识层、教学资源层（提供已制作完成的课程的设计方案以及具体的知识图谱内容，每提供一门得</w:t>
            </w:r>
            <w:r>
              <w:rPr>
                <w:rFonts w:hint="eastAsia" w:asciiTheme="minorEastAsia" w:hAnsiTheme="minorEastAsia" w:eastAsiaTheme="minorEastAsia"/>
                <w:color w:val="auto"/>
                <w:sz w:val="24"/>
                <w:szCs w:val="24"/>
                <w:highlight w:val="none"/>
                <w:lang w:val="en-US" w:eastAsia="zh-CN"/>
              </w:rPr>
              <w:t>1</w:t>
            </w:r>
            <w:r>
              <w:rPr>
                <w:rFonts w:hint="eastAsia" w:asciiTheme="minorEastAsia" w:hAnsiTheme="minorEastAsia" w:eastAsiaTheme="minorEastAsia"/>
                <w:color w:val="auto"/>
                <w:sz w:val="24"/>
                <w:szCs w:val="24"/>
                <w:highlight w:val="none"/>
              </w:rPr>
              <w:t>分，最高得</w:t>
            </w:r>
            <w:r>
              <w:rPr>
                <w:rFonts w:hint="eastAsia" w:asciiTheme="minorEastAsia" w:hAnsiTheme="minorEastAsia" w:eastAsiaTheme="minorEastAsia"/>
                <w:color w:val="auto"/>
                <w:sz w:val="24"/>
                <w:szCs w:val="24"/>
                <w:highlight w:val="none"/>
                <w:lang w:val="en-US" w:eastAsia="zh-CN"/>
              </w:rPr>
              <w:t>3</w:t>
            </w:r>
            <w:r>
              <w:rPr>
                <w:rFonts w:hint="eastAsia" w:asciiTheme="minorEastAsia" w:hAnsiTheme="minorEastAsia" w:eastAsiaTheme="minorEastAsia"/>
                <w:color w:val="auto"/>
                <w:sz w:val="24"/>
                <w:szCs w:val="24"/>
                <w:highlight w:val="none"/>
              </w:rPr>
              <w:t>分，不满足不得分。）</w:t>
            </w:r>
          </w:p>
        </w:tc>
        <w:tc>
          <w:tcPr>
            <w:tcW w:w="909" w:type="dxa"/>
            <w:tcBorders>
              <w:bottom w:val="single" w:color="auto" w:sz="4" w:space="0"/>
              <w:right w:val="single" w:color="auto" w:sz="12" w:space="0"/>
            </w:tcBorders>
          </w:tcPr>
          <w:p>
            <w:pPr>
              <w:ind w:firstLine="315" w:firstLineChars="150"/>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814" w:type="dxa"/>
            <w:vMerge w:val="continue"/>
            <w:tcBorders>
              <w:left w:val="single" w:color="auto" w:sz="12" w:space="0"/>
            </w:tcBorders>
            <w:vAlign w:val="center"/>
          </w:tcPr>
          <w:p>
            <w:pPr>
              <w:rPr>
                <w:rFonts w:asciiTheme="minorEastAsia" w:hAnsiTheme="minorEastAsia" w:eastAsiaTheme="minorEastAsia"/>
                <w:color w:val="auto"/>
                <w:sz w:val="24"/>
                <w:szCs w:val="24"/>
                <w:highlight w:val="none"/>
              </w:rPr>
            </w:pPr>
          </w:p>
        </w:tc>
        <w:tc>
          <w:tcPr>
            <w:tcW w:w="1279" w:type="dxa"/>
            <w:vMerge w:val="continue"/>
            <w:vAlign w:val="center"/>
          </w:tcPr>
          <w:p>
            <w:pPr>
              <w:ind w:firstLine="28"/>
              <w:rPr>
                <w:rFonts w:asciiTheme="minorEastAsia" w:hAnsiTheme="minorEastAsia" w:eastAsiaTheme="minorEastAsia"/>
                <w:color w:val="auto"/>
                <w:sz w:val="24"/>
                <w:szCs w:val="24"/>
                <w:highlight w:val="none"/>
              </w:rPr>
            </w:pPr>
          </w:p>
        </w:tc>
        <w:tc>
          <w:tcPr>
            <w:tcW w:w="709" w:type="dxa"/>
            <w:tcBorders>
              <w:top w:val="single" w:color="auto" w:sz="4" w:space="0"/>
            </w:tcBorders>
            <w:vAlign w:val="center"/>
          </w:tcPr>
          <w:p>
            <w:pPr>
              <w:rPr>
                <w:rFonts w:hint="eastAsia" w:asciiTheme="minorEastAsia" w:hAnsiTheme="minorEastAsia" w:eastAsiaTheme="minorEastAsia"/>
                <w:color w:val="auto"/>
                <w:sz w:val="24"/>
                <w:szCs w:val="24"/>
                <w:highlight w:val="none"/>
                <w:lang w:eastAsia="zh-CN"/>
              </w:rPr>
            </w:pP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lang w:val="en-US" w:eastAsia="zh-CN"/>
              </w:rPr>
              <w:t>7</w:t>
            </w:r>
          </w:p>
        </w:tc>
        <w:tc>
          <w:tcPr>
            <w:tcW w:w="5263" w:type="dxa"/>
            <w:tcBorders>
              <w:top w:val="single" w:color="auto" w:sz="4" w:space="0"/>
            </w:tcBorders>
          </w:tcPr>
          <w:p>
            <w:pPr>
              <w:snapToGrid w:val="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三、现场演示（2</w:t>
            </w:r>
            <w:r>
              <w:rPr>
                <w:rFonts w:hint="eastAsia" w:asciiTheme="minorEastAsia" w:hAnsiTheme="minorEastAsia" w:eastAsiaTheme="minorEastAsia"/>
                <w:color w:val="auto"/>
                <w:sz w:val="24"/>
                <w:szCs w:val="24"/>
                <w:highlight w:val="none"/>
                <w:lang w:val="en-US" w:eastAsia="zh-CN"/>
              </w:rPr>
              <w:t>7</w:t>
            </w:r>
            <w:r>
              <w:rPr>
                <w:rFonts w:hint="eastAsia" w:asciiTheme="minorEastAsia" w:hAnsiTheme="minorEastAsia" w:eastAsiaTheme="minorEastAsia"/>
                <w:color w:val="auto"/>
                <w:sz w:val="24"/>
                <w:szCs w:val="24"/>
                <w:highlight w:val="none"/>
              </w:rPr>
              <w:t>分）</w:t>
            </w:r>
          </w:p>
          <w:p>
            <w:pPr>
              <w:snapToGrid w:val="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★1）支持选择多种图谱框架类型：支持多种图谱框架类型，包括：知识型图谱、问题型图谱、综合型图谱、技能型图谱等，帮助学校更好地建设各个类型的课程图谱。</w:t>
            </w:r>
          </w:p>
          <w:p>
            <w:pPr>
              <w:snapToGrid w:val="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支持建设课程地图成果：系统可通过一键导入的形式完成课程地图的建设，多次导入可累计增加课程地图内容。建设内容包含：课程名称、课程主题、课程子主题、课程知识点、知识点内容与描述，其中知识点内容包含重点、难点、考点、概述、案例、训练/实操、总结、练习、问题（引例）、项目/任务/步骤、思政点、外延、讨论、情景引入、实验、岗位、证书与比赛等内容。系统可根据实际建设层级，生成对应的建设成果，实现学校的建设地图成果全公开。</w:t>
            </w:r>
          </w:p>
          <w:p>
            <w:pPr>
              <w:snapToGrid w:val="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★3）支持用户通过智能搜索得到与课程相关的网络教学资源，进行课外教学资源补充学习，资源类型包括知乎、视频、bilibili、百度百科等多种途径。</w:t>
            </w:r>
          </w:p>
          <w:p>
            <w:pPr>
              <w:snapToGrid w:val="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4）支持知识图谱云资源包：平台需要提供构建图谱的云资源包，总体不少于100门已有的同学科大类的慕课课程视频资源、相关电子教材资源、基于电子教材自动生成的概念集等，作为知识图谱构建的核心原始语料，资源包支持通过系统自动切取各个知识点对应教学资源，协助老师完成课程建设；</w:t>
            </w:r>
          </w:p>
          <w:p>
            <w:pPr>
              <w:snapToGrid w:val="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5）支持知识点资源自动推荐：系统每天根据知识点内容，在互联网中自动爬取相关网络教学资源，并提供给教师辅助课程建设，资源类型包含但不限于知乎、知网、百度百科、视频、电子书、bilibili等资源，资源推荐数量不低于100条。</w:t>
            </w:r>
          </w:p>
          <w:p>
            <w:pPr>
              <w:snapToGrid w:val="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支持AI自动推荐引用资源：在编辑单个知识点教学资源时，支持通过AI核心算法利用人工智能技术自动推荐知识点相关的教学视频片段、电子教材片段，方便用户快速选择，丰富知识点资源，推荐的资源需要包含资源的名称、来自课程名称、学校名称、教师、章节信息、视频时长、引用状态，对不起合适的视频资源可设置“不再推荐”；</w:t>
            </w:r>
          </w:p>
          <w:p>
            <w:pPr>
              <w:snapToGrid w:val="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7）支持知识点资源的片段标注：支持用户手动修改所引用的教学视频片段位置信息，对于视频资源可在视频时间轴上设置知识点片段的开始位置和截止位置，边设置时能同时看到视频对应的时间戳；对于电子教材书籍可直接设置对应知识点内容片段的起点和终点；</w:t>
            </w:r>
          </w:p>
          <w:p>
            <w:pPr>
              <w:snapToGrid w:val="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8）支持生成知识图谱知识点建设清单：通过清单，可快速了解本图谱的知识点建设情况，包括知识点列表、知识点的建设进度、知识点的属性建设情况、知识点各类资源的建设情况，并且通过清单可快速进入知识点编辑页面，完成知识点建设。</w:t>
            </w:r>
          </w:p>
          <w:p>
            <w:pPr>
              <w:snapToGrid w:val="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★9）支持用户一键登录小程序进行学习：已经入班的学生，可一键进入小程序，对于课程内容进行学习。小程序学习数据与网页版想像学习数据与记录。</w:t>
            </w:r>
          </w:p>
          <w:p>
            <w:pPr>
              <w:snapToGrid w:val="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每满足一项并提供相关截图，得3分，满分27分</w:t>
            </w:r>
          </w:p>
        </w:tc>
        <w:tc>
          <w:tcPr>
            <w:tcW w:w="909" w:type="dxa"/>
            <w:tcBorders>
              <w:top w:val="single" w:color="auto" w:sz="4" w:space="0"/>
              <w:right w:val="single" w:color="auto" w:sz="12" w:space="0"/>
            </w:tcBorders>
          </w:tcPr>
          <w:p>
            <w:pP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0" w:hRule="atLeast"/>
        </w:trPr>
        <w:tc>
          <w:tcPr>
            <w:tcW w:w="814" w:type="dxa"/>
            <w:vMerge w:val="restart"/>
            <w:tcBorders>
              <w:top w:val="single" w:color="auto" w:sz="12" w:space="0"/>
              <w:left w:val="single" w:color="auto" w:sz="12" w:space="0"/>
            </w:tcBorders>
            <w:vAlign w:val="center"/>
          </w:tcPr>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3</w:t>
            </w:r>
          </w:p>
        </w:tc>
        <w:tc>
          <w:tcPr>
            <w:tcW w:w="1279" w:type="dxa"/>
            <w:vMerge w:val="restart"/>
            <w:tcBorders>
              <w:top w:val="single" w:color="auto" w:sz="12" w:space="0"/>
            </w:tcBorders>
            <w:vAlign w:val="center"/>
          </w:tcPr>
          <w:p>
            <w:pPr>
              <w:ind w:firstLine="28"/>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商务</w:t>
            </w:r>
            <w:r>
              <w:rPr>
                <w:rFonts w:hint="eastAsia" w:asciiTheme="minorEastAsia" w:hAnsiTheme="minorEastAsia" w:eastAsiaTheme="minorEastAsia"/>
                <w:color w:val="auto"/>
                <w:sz w:val="24"/>
                <w:szCs w:val="24"/>
                <w:highlight w:val="none"/>
              </w:rPr>
              <w:t>部分</w:t>
            </w:r>
          </w:p>
          <w:p>
            <w:pPr>
              <w:ind w:firstLine="28"/>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40</w:t>
            </w:r>
            <w:r>
              <w:rPr>
                <w:rFonts w:asciiTheme="minorEastAsia" w:hAnsiTheme="minorEastAsia" w:eastAsiaTheme="minorEastAsia"/>
                <w:color w:val="auto"/>
                <w:sz w:val="24"/>
                <w:szCs w:val="24"/>
                <w:highlight w:val="none"/>
              </w:rPr>
              <w:t>%）</w:t>
            </w:r>
          </w:p>
        </w:tc>
        <w:tc>
          <w:tcPr>
            <w:tcW w:w="709" w:type="dxa"/>
            <w:tcBorders>
              <w:top w:val="single" w:color="auto" w:sz="12" w:space="0"/>
              <w:bottom w:val="single" w:color="auto" w:sz="12" w:space="0"/>
            </w:tcBorders>
            <w:vAlign w:val="center"/>
          </w:tcPr>
          <w:p>
            <w:pPr>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5</w:t>
            </w:r>
          </w:p>
        </w:tc>
        <w:tc>
          <w:tcPr>
            <w:tcW w:w="5263" w:type="dxa"/>
            <w:tcBorders>
              <w:top w:val="single" w:color="auto" w:sz="12" w:space="0"/>
              <w:bottom w:val="single" w:color="auto" w:sz="12" w:space="0"/>
            </w:tcBorders>
          </w:tcPr>
          <w:p>
            <w:pPr>
              <w:snapToGrid w:val="0"/>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一、</w:t>
            </w:r>
            <w:r>
              <w:rPr>
                <w:rFonts w:hint="eastAsia" w:asciiTheme="minorEastAsia" w:hAnsiTheme="minorEastAsia" w:eastAsiaTheme="minorEastAsia"/>
                <w:color w:val="auto"/>
                <w:sz w:val="24"/>
                <w:szCs w:val="24"/>
                <w:highlight w:val="none"/>
              </w:rPr>
              <w:t>企业实力</w:t>
            </w:r>
            <w:r>
              <w:rPr>
                <w:rFonts w:asciiTheme="minorEastAsia" w:hAnsiTheme="minorEastAsia" w:eastAsiaTheme="minorEastAsia"/>
                <w:color w:val="auto"/>
                <w:sz w:val="24"/>
                <w:szCs w:val="24"/>
                <w:highlight w:val="none"/>
              </w:rPr>
              <w:t>（5分）</w:t>
            </w:r>
          </w:p>
          <w:p>
            <w:pPr>
              <w:snapToGrid w:val="0"/>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lang w:val="en-US" w:eastAsia="zh-CN"/>
              </w:rPr>
              <w:t>1</w:t>
            </w: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rPr>
              <w:t>提供ISO9001质量管理体系认证证书（有效期内）得1分，并提供内审员培训证书，提供一份得1分，最高2分知识产权管理体系认证证书（认证范围：数字内容制作服务）得1分，共3分，不提供或提供无效证书0分。</w:t>
            </w:r>
          </w:p>
          <w:p>
            <w:pPr>
              <w:snapToGrid w:val="0"/>
              <w:ind w:firstLine="480" w:firstLineChars="200"/>
              <w:rPr>
                <w:rFonts w:hint="eastAsia" w:asciiTheme="minorEastAsia" w:hAnsiTheme="minor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lang w:val="en-US" w:eastAsia="zh-CN"/>
              </w:rPr>
              <w:t>2</w:t>
            </w:r>
            <w:r>
              <w:rPr>
                <w:rFonts w:hint="eastAsia" w:asciiTheme="minorEastAsia" w:hAnsiTheme="minorEastAsia" w:eastAsiaTheme="minorEastAsia"/>
                <w:color w:val="auto"/>
                <w:sz w:val="24"/>
                <w:szCs w:val="24"/>
                <w:highlight w:val="none"/>
                <w:lang w:eastAsia="zh-CN"/>
              </w:rPr>
              <w:t>）投标人能够提供院校开设的文化、创新创业、军事理论教育、艺术等慕课供学校选用。提供至少300门课程提供课程名单，得1分，</w:t>
            </w:r>
            <w:r>
              <w:rPr>
                <w:rFonts w:hint="eastAsia" w:asciiTheme="minorEastAsia" w:hAnsiTheme="minorEastAsia" w:eastAsiaTheme="minorEastAsia"/>
                <w:color w:val="auto"/>
                <w:sz w:val="24"/>
                <w:szCs w:val="24"/>
                <w:highlight w:val="none"/>
              </w:rPr>
              <w:t>不提供或提供无效证书0分。</w:t>
            </w:r>
          </w:p>
          <w:p>
            <w:pPr>
              <w:snapToGrid w:val="0"/>
              <w:ind w:firstLine="480" w:firstLineChars="200"/>
              <w:rPr>
                <w:rFonts w:hint="eastAsia" w:asciiTheme="minorEastAsia" w:hAnsiTheme="minor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lang w:val="en-US" w:eastAsia="zh-CN"/>
              </w:rPr>
              <w:t>3</w:t>
            </w:r>
            <w:r>
              <w:rPr>
                <w:rFonts w:hint="eastAsia" w:asciiTheme="minorEastAsia" w:hAnsiTheme="minorEastAsia" w:eastAsiaTheme="minorEastAsia"/>
                <w:color w:val="auto"/>
                <w:sz w:val="24"/>
                <w:szCs w:val="24"/>
                <w:highlight w:val="none"/>
                <w:lang w:eastAsia="zh-CN"/>
              </w:rPr>
              <w:t>）具有知识产权管理体系认证证书及审核报告的，得1分，不提供或提供无效证书0分；</w:t>
            </w:r>
          </w:p>
        </w:tc>
        <w:tc>
          <w:tcPr>
            <w:tcW w:w="909" w:type="dxa"/>
            <w:tcBorders>
              <w:top w:val="single" w:color="auto" w:sz="12" w:space="0"/>
              <w:bottom w:val="single" w:color="auto" w:sz="12" w:space="0"/>
              <w:right w:val="single" w:color="auto" w:sz="12" w:space="0"/>
            </w:tcBorders>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0" w:hRule="atLeast"/>
        </w:trPr>
        <w:tc>
          <w:tcPr>
            <w:tcW w:w="814" w:type="dxa"/>
            <w:vMerge w:val="continue"/>
            <w:tcBorders>
              <w:left w:val="single" w:color="auto" w:sz="12" w:space="0"/>
            </w:tcBorders>
            <w:vAlign w:val="center"/>
          </w:tcPr>
          <w:p>
            <w:pPr>
              <w:rPr>
                <w:rFonts w:asciiTheme="minorEastAsia" w:hAnsiTheme="minorEastAsia" w:eastAsiaTheme="minorEastAsia"/>
                <w:color w:val="auto"/>
                <w:sz w:val="24"/>
                <w:szCs w:val="24"/>
                <w:highlight w:val="none"/>
              </w:rPr>
            </w:pPr>
          </w:p>
        </w:tc>
        <w:tc>
          <w:tcPr>
            <w:tcW w:w="1279" w:type="dxa"/>
            <w:vMerge w:val="continue"/>
            <w:vAlign w:val="center"/>
          </w:tcPr>
          <w:p>
            <w:pPr>
              <w:ind w:firstLine="28"/>
              <w:rPr>
                <w:rFonts w:asciiTheme="minorEastAsia" w:hAnsiTheme="minorEastAsia" w:eastAsiaTheme="minorEastAsia"/>
                <w:color w:val="auto"/>
                <w:sz w:val="24"/>
                <w:szCs w:val="24"/>
                <w:highlight w:val="none"/>
              </w:rPr>
            </w:pPr>
          </w:p>
        </w:tc>
        <w:tc>
          <w:tcPr>
            <w:tcW w:w="709" w:type="dxa"/>
            <w:tcBorders>
              <w:top w:val="single" w:color="auto" w:sz="12" w:space="0"/>
              <w:bottom w:val="single" w:color="auto" w:sz="12" w:space="0"/>
            </w:tcBorders>
            <w:vAlign w:val="center"/>
          </w:tcPr>
          <w:p>
            <w:pPr>
              <w:rPr>
                <w:rFonts w:hint="default" w:asciiTheme="minorEastAsia" w:hAnsiTheme="minorEastAsia" w:eastAsiaTheme="minorEastAsia"/>
                <w:color w:val="auto"/>
                <w:sz w:val="24"/>
                <w:szCs w:val="24"/>
                <w:highlight w:val="none"/>
                <w:lang w:val="en-US" w:eastAsia="zh-CN"/>
              </w:rPr>
            </w:pPr>
            <w:r>
              <w:rPr>
                <w:rFonts w:hint="eastAsia" w:asciiTheme="minorEastAsia" w:hAnsiTheme="minorEastAsia" w:eastAsiaTheme="minorEastAsia"/>
                <w:color w:val="auto"/>
                <w:sz w:val="24"/>
                <w:szCs w:val="24"/>
                <w:highlight w:val="none"/>
                <w:lang w:val="en-US" w:eastAsia="zh-CN"/>
              </w:rPr>
              <w:t>24</w:t>
            </w:r>
          </w:p>
        </w:tc>
        <w:tc>
          <w:tcPr>
            <w:tcW w:w="5263" w:type="dxa"/>
            <w:tcBorders>
              <w:top w:val="single" w:color="auto" w:sz="12" w:space="0"/>
              <w:bottom w:val="single" w:color="auto" w:sz="12" w:space="0"/>
            </w:tcBorders>
          </w:tcPr>
          <w:p>
            <w:pPr>
              <w:snapToGrid w:val="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二、服务能力（</w:t>
            </w:r>
            <w:r>
              <w:rPr>
                <w:rFonts w:hint="eastAsia" w:asciiTheme="minorEastAsia" w:hAnsiTheme="minorEastAsia" w:eastAsiaTheme="minorEastAsia"/>
                <w:color w:val="auto"/>
                <w:sz w:val="24"/>
                <w:szCs w:val="24"/>
                <w:highlight w:val="none"/>
                <w:lang w:val="en-US" w:eastAsia="zh-CN"/>
              </w:rPr>
              <w:t>24</w:t>
            </w:r>
            <w:r>
              <w:rPr>
                <w:rFonts w:hint="eastAsia" w:asciiTheme="minorEastAsia" w:hAnsiTheme="minorEastAsia" w:eastAsiaTheme="minorEastAsia"/>
                <w:color w:val="auto"/>
                <w:sz w:val="24"/>
                <w:szCs w:val="24"/>
                <w:highlight w:val="none"/>
              </w:rPr>
              <w:t>分）</w:t>
            </w:r>
          </w:p>
          <w:p>
            <w:pPr>
              <w:snapToGrid w:val="0"/>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为保障制作完成的知识图谱能够有应用于教学所需的运行数据，供应商提供的知识图谱运行平台，可帮助老师在运行平台进行课程知识图谱设计，实现优质资源的共享，平台需对资源进行质量审核，能够实现教师备课资源用于教学、对学生学习行为进行分析，支持混合式教学见面课授课中本地和直播收视教室的的全景还原教学，互动直播，质量监控的需求，需要提供以下证书：</w:t>
            </w:r>
          </w:p>
          <w:p>
            <w:pPr>
              <w:snapToGrid w:val="0"/>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（1）资源中心软件有效的计算机软件著作权登记证书。得</w:t>
            </w:r>
            <w:r>
              <w:rPr>
                <w:rFonts w:hint="eastAsia" w:asciiTheme="minorEastAsia" w:hAnsiTheme="minorEastAsia" w:eastAsiaTheme="minorEastAsia"/>
                <w:color w:val="auto"/>
                <w:sz w:val="24"/>
                <w:szCs w:val="24"/>
                <w:highlight w:val="none"/>
                <w:lang w:val="en-US" w:eastAsia="zh-CN"/>
              </w:rPr>
              <w:t>4</w:t>
            </w:r>
            <w:r>
              <w:rPr>
                <w:rFonts w:hint="eastAsia" w:asciiTheme="minorEastAsia" w:hAnsiTheme="minorEastAsia" w:eastAsiaTheme="minorEastAsia"/>
                <w:color w:val="auto"/>
                <w:sz w:val="24"/>
                <w:szCs w:val="24"/>
                <w:highlight w:val="none"/>
              </w:rPr>
              <w:t>分。不满足不得分。</w:t>
            </w:r>
          </w:p>
          <w:p>
            <w:pPr>
              <w:snapToGrid w:val="0"/>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（2）质量审核平台软件有效的著作权登记，得</w:t>
            </w:r>
            <w:r>
              <w:rPr>
                <w:rFonts w:hint="eastAsia" w:asciiTheme="minorEastAsia" w:hAnsiTheme="minorEastAsia" w:eastAsiaTheme="minorEastAsia"/>
                <w:color w:val="auto"/>
                <w:sz w:val="24"/>
                <w:szCs w:val="24"/>
                <w:highlight w:val="none"/>
                <w:lang w:val="en-US" w:eastAsia="zh-CN"/>
              </w:rPr>
              <w:t>4</w:t>
            </w:r>
            <w:r>
              <w:rPr>
                <w:rFonts w:hint="eastAsia" w:asciiTheme="minorEastAsia" w:hAnsiTheme="minorEastAsia" w:eastAsiaTheme="minorEastAsia"/>
                <w:color w:val="auto"/>
                <w:sz w:val="24"/>
                <w:szCs w:val="24"/>
                <w:highlight w:val="none"/>
              </w:rPr>
              <w:t>分。不满足不得分。</w:t>
            </w:r>
          </w:p>
          <w:p>
            <w:pPr>
              <w:snapToGrid w:val="0"/>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3</w:t>
            </w:r>
            <w:r>
              <w:rPr>
                <w:rFonts w:hint="eastAsia" w:asciiTheme="minorEastAsia" w:hAnsiTheme="minorEastAsia" w:eastAsiaTheme="minorEastAsia"/>
                <w:color w:val="auto"/>
                <w:sz w:val="24"/>
                <w:szCs w:val="24"/>
                <w:highlight w:val="none"/>
              </w:rPr>
              <w:t>）课堂行为分析软件有效的计算机软件著作权登记证书，得</w:t>
            </w:r>
            <w:r>
              <w:rPr>
                <w:rFonts w:hint="eastAsia" w:asciiTheme="minorEastAsia" w:hAnsiTheme="minorEastAsia" w:eastAsiaTheme="minorEastAsia"/>
                <w:color w:val="auto"/>
                <w:sz w:val="24"/>
                <w:szCs w:val="24"/>
                <w:highlight w:val="none"/>
                <w:lang w:val="en-US" w:eastAsia="zh-CN"/>
              </w:rPr>
              <w:t>4</w:t>
            </w:r>
            <w:r>
              <w:rPr>
                <w:rFonts w:hint="eastAsia" w:asciiTheme="minorEastAsia" w:hAnsiTheme="minorEastAsia" w:eastAsiaTheme="minorEastAsia"/>
                <w:color w:val="auto"/>
                <w:sz w:val="24"/>
                <w:szCs w:val="24"/>
                <w:highlight w:val="none"/>
              </w:rPr>
              <w:t>分，不满足不得分。</w:t>
            </w:r>
          </w:p>
          <w:p>
            <w:pPr>
              <w:snapToGrid w:val="0"/>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4</w:t>
            </w:r>
            <w:r>
              <w:rPr>
                <w:rFonts w:hint="eastAsia" w:asciiTheme="minorEastAsia" w:hAnsiTheme="minorEastAsia" w:eastAsiaTheme="minorEastAsia"/>
                <w:color w:val="auto"/>
                <w:sz w:val="24"/>
                <w:szCs w:val="24"/>
                <w:highlight w:val="none"/>
              </w:rPr>
              <w:t>）教程制作和课程设计软件有效的计算机软件著作权登记证书，得</w:t>
            </w:r>
            <w:r>
              <w:rPr>
                <w:rFonts w:hint="eastAsia" w:asciiTheme="minorEastAsia" w:hAnsiTheme="minorEastAsia" w:eastAsiaTheme="minorEastAsia"/>
                <w:color w:val="auto"/>
                <w:sz w:val="24"/>
                <w:szCs w:val="24"/>
                <w:highlight w:val="none"/>
                <w:lang w:val="en-US" w:eastAsia="zh-CN"/>
              </w:rPr>
              <w:t>4</w:t>
            </w:r>
            <w:r>
              <w:rPr>
                <w:rFonts w:hint="eastAsia" w:asciiTheme="minorEastAsia" w:hAnsiTheme="minorEastAsia" w:eastAsiaTheme="minorEastAsia"/>
                <w:color w:val="auto"/>
                <w:sz w:val="24"/>
                <w:szCs w:val="24"/>
                <w:highlight w:val="none"/>
              </w:rPr>
              <w:t>分。不满足不得分。</w:t>
            </w:r>
          </w:p>
          <w:p>
            <w:pPr>
              <w:snapToGrid w:val="0"/>
              <w:ind w:firstLine="480" w:firstLineChars="20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5</w:t>
            </w:r>
            <w:r>
              <w:rPr>
                <w:rFonts w:hint="eastAsia" w:asciiTheme="minorEastAsia" w:hAnsiTheme="minorEastAsia" w:eastAsiaTheme="minorEastAsia"/>
                <w:color w:val="auto"/>
                <w:sz w:val="24"/>
                <w:szCs w:val="24"/>
                <w:highlight w:val="none"/>
              </w:rPr>
              <w:t>）互动教学质量监控保障软件的计算机软件著作权登记证书，得</w:t>
            </w:r>
            <w:r>
              <w:rPr>
                <w:rFonts w:hint="eastAsia" w:asciiTheme="minorEastAsia" w:hAnsiTheme="minorEastAsia" w:eastAsiaTheme="minorEastAsia"/>
                <w:color w:val="auto"/>
                <w:sz w:val="24"/>
                <w:szCs w:val="24"/>
                <w:highlight w:val="none"/>
                <w:lang w:val="en-US" w:eastAsia="zh-CN"/>
              </w:rPr>
              <w:t>4</w:t>
            </w:r>
            <w:r>
              <w:rPr>
                <w:rFonts w:hint="eastAsia" w:asciiTheme="minorEastAsia" w:hAnsiTheme="minorEastAsia" w:eastAsiaTheme="minorEastAsia"/>
                <w:color w:val="auto"/>
                <w:sz w:val="24"/>
                <w:szCs w:val="24"/>
                <w:highlight w:val="none"/>
              </w:rPr>
              <w:t>分。不满足不得分。</w:t>
            </w:r>
          </w:p>
          <w:p>
            <w:pPr>
              <w:snapToGrid w:val="0"/>
              <w:ind w:firstLine="480" w:firstLineChars="200"/>
              <w:rPr>
                <w:rFonts w:hint="eastAsia" w:asciiTheme="minorEastAsia" w:hAnsiTheme="minor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6</w:t>
            </w:r>
            <w:r>
              <w:rPr>
                <w:rFonts w:hint="eastAsia" w:asciiTheme="minorEastAsia" w:hAnsiTheme="minorEastAsia" w:eastAsiaTheme="minorEastAsia"/>
                <w:color w:val="auto"/>
                <w:sz w:val="24"/>
                <w:szCs w:val="24"/>
                <w:highlight w:val="none"/>
              </w:rPr>
              <w:t>）2D全景还原教学软件有效的计算机软件著作权登记证书，得</w:t>
            </w:r>
            <w:r>
              <w:rPr>
                <w:rFonts w:hint="eastAsia" w:asciiTheme="minorEastAsia" w:hAnsiTheme="minorEastAsia" w:eastAsiaTheme="minorEastAsia"/>
                <w:color w:val="auto"/>
                <w:sz w:val="24"/>
                <w:szCs w:val="24"/>
                <w:highlight w:val="none"/>
                <w:lang w:val="en-US" w:eastAsia="zh-CN"/>
              </w:rPr>
              <w:t>4</w:t>
            </w:r>
            <w:r>
              <w:rPr>
                <w:rFonts w:hint="eastAsia" w:asciiTheme="minorEastAsia" w:hAnsiTheme="minorEastAsia" w:eastAsiaTheme="minorEastAsia"/>
                <w:color w:val="auto"/>
                <w:sz w:val="24"/>
                <w:szCs w:val="24"/>
                <w:highlight w:val="none"/>
              </w:rPr>
              <w:t>分。不满足不得分。</w:t>
            </w:r>
          </w:p>
        </w:tc>
        <w:tc>
          <w:tcPr>
            <w:tcW w:w="909" w:type="dxa"/>
            <w:tcBorders>
              <w:top w:val="single" w:color="auto" w:sz="12" w:space="0"/>
              <w:bottom w:val="single" w:color="auto" w:sz="12" w:space="0"/>
              <w:right w:val="single" w:color="auto" w:sz="12" w:space="0"/>
            </w:tcBorders>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7" w:hRule="atLeast"/>
        </w:trPr>
        <w:tc>
          <w:tcPr>
            <w:tcW w:w="814" w:type="dxa"/>
            <w:vMerge w:val="continue"/>
            <w:tcBorders>
              <w:left w:val="single" w:color="auto" w:sz="12" w:space="0"/>
            </w:tcBorders>
            <w:vAlign w:val="center"/>
          </w:tcPr>
          <w:p>
            <w:pPr>
              <w:rPr>
                <w:rFonts w:asciiTheme="minorEastAsia" w:hAnsiTheme="minorEastAsia" w:eastAsiaTheme="minorEastAsia"/>
                <w:color w:val="auto"/>
                <w:sz w:val="24"/>
                <w:szCs w:val="24"/>
                <w:highlight w:val="none"/>
              </w:rPr>
            </w:pPr>
          </w:p>
        </w:tc>
        <w:tc>
          <w:tcPr>
            <w:tcW w:w="1279" w:type="dxa"/>
            <w:vMerge w:val="continue"/>
            <w:vAlign w:val="center"/>
          </w:tcPr>
          <w:p>
            <w:pPr>
              <w:ind w:firstLine="28"/>
              <w:rPr>
                <w:rFonts w:asciiTheme="minorEastAsia" w:hAnsiTheme="minorEastAsia" w:eastAsiaTheme="minorEastAsia"/>
                <w:color w:val="auto"/>
                <w:sz w:val="24"/>
                <w:szCs w:val="24"/>
                <w:highlight w:val="none"/>
              </w:rPr>
            </w:pPr>
          </w:p>
        </w:tc>
        <w:tc>
          <w:tcPr>
            <w:tcW w:w="709" w:type="dxa"/>
            <w:tcBorders>
              <w:top w:val="single" w:color="auto" w:sz="12" w:space="0"/>
              <w:bottom w:val="single" w:color="auto" w:sz="12" w:space="0"/>
            </w:tcBorders>
            <w:vAlign w:val="center"/>
          </w:tcPr>
          <w:p>
            <w:pPr>
              <w:rPr>
                <w:rFonts w:hint="default" w:asciiTheme="minorEastAsia" w:hAnsiTheme="minorEastAsia" w:eastAsiaTheme="minorEastAsia"/>
                <w:color w:val="auto"/>
                <w:sz w:val="24"/>
                <w:szCs w:val="24"/>
                <w:highlight w:val="none"/>
                <w:lang w:val="en-US" w:eastAsia="zh-CN"/>
              </w:rPr>
            </w:pPr>
            <w:r>
              <w:rPr>
                <w:rFonts w:hint="eastAsia" w:asciiTheme="minorEastAsia" w:hAnsiTheme="minorEastAsia" w:eastAsiaTheme="minorEastAsia"/>
                <w:color w:val="auto"/>
                <w:sz w:val="24"/>
                <w:szCs w:val="24"/>
                <w:highlight w:val="none"/>
                <w:lang w:val="en-US" w:eastAsia="zh-CN"/>
              </w:rPr>
              <w:t>9</w:t>
            </w:r>
          </w:p>
        </w:tc>
        <w:tc>
          <w:tcPr>
            <w:tcW w:w="5263" w:type="dxa"/>
            <w:tcBorders>
              <w:top w:val="single" w:color="auto" w:sz="12" w:space="0"/>
              <w:bottom w:val="single" w:color="auto" w:sz="12" w:space="0"/>
            </w:tcBorders>
          </w:tcPr>
          <w:p>
            <w:pPr>
              <w:snapToGrid w:val="0"/>
              <w:rPr>
                <w:rFonts w:hint="eastAsia"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w:t>
            </w:r>
            <w:r>
              <w:rPr>
                <w:rFonts w:hint="eastAsia" w:asciiTheme="minorEastAsia" w:hAnsiTheme="minorEastAsia" w:eastAsiaTheme="minorEastAsia"/>
                <w:color w:val="auto"/>
                <w:sz w:val="24"/>
                <w:szCs w:val="24"/>
                <w:highlight w:val="none"/>
                <w:lang w:val="en-US" w:eastAsia="zh-CN"/>
              </w:rPr>
              <w:t>投标人业绩</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9分</w:t>
            </w:r>
            <w:r>
              <w:rPr>
                <w:rFonts w:hint="eastAsia" w:asciiTheme="minorEastAsia" w:hAnsiTheme="minorEastAsia" w:eastAsiaTheme="minorEastAsia"/>
                <w:color w:val="auto"/>
                <w:sz w:val="24"/>
                <w:szCs w:val="24"/>
                <w:highlight w:val="none"/>
              </w:rPr>
              <w:t>）</w:t>
            </w:r>
          </w:p>
          <w:p>
            <w:pPr>
              <w:snapToGrid w:val="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投标人具有类似项目业绩的，“类似项目业绩”指具有知识图谱服务业绩，每提供一份案例合同加</w:t>
            </w:r>
            <w:r>
              <w:rPr>
                <w:rFonts w:hint="eastAsia" w:asciiTheme="minorEastAsia" w:hAnsiTheme="minorEastAsia" w:eastAsiaTheme="minorEastAsia"/>
                <w:color w:val="auto"/>
                <w:sz w:val="24"/>
                <w:szCs w:val="24"/>
                <w:highlight w:val="none"/>
                <w:lang w:val="en-US" w:eastAsia="zh-CN"/>
              </w:rPr>
              <w:t>1</w:t>
            </w:r>
            <w:r>
              <w:rPr>
                <w:rFonts w:hint="eastAsia" w:asciiTheme="minorEastAsia" w:hAnsiTheme="minorEastAsia" w:eastAsiaTheme="minorEastAsia"/>
                <w:color w:val="auto"/>
                <w:sz w:val="24"/>
                <w:szCs w:val="24"/>
                <w:highlight w:val="none"/>
              </w:rPr>
              <w:t>分，满分</w:t>
            </w:r>
            <w:r>
              <w:rPr>
                <w:rFonts w:hint="eastAsia" w:asciiTheme="minorEastAsia" w:hAnsiTheme="minorEastAsia" w:eastAsiaTheme="minorEastAsia"/>
                <w:color w:val="auto"/>
                <w:sz w:val="24"/>
                <w:szCs w:val="24"/>
                <w:highlight w:val="none"/>
                <w:lang w:val="en-US" w:eastAsia="zh-CN"/>
              </w:rPr>
              <w:t>9</w:t>
            </w:r>
            <w:r>
              <w:rPr>
                <w:rFonts w:hint="eastAsia" w:asciiTheme="minorEastAsia" w:hAnsiTheme="minorEastAsia" w:eastAsiaTheme="minorEastAsia"/>
                <w:color w:val="auto"/>
                <w:sz w:val="24"/>
                <w:szCs w:val="24"/>
                <w:highlight w:val="none"/>
              </w:rPr>
              <w:t>分。未附有效证明材料的业绩在评分时将不予承认。</w:t>
            </w:r>
          </w:p>
        </w:tc>
        <w:tc>
          <w:tcPr>
            <w:tcW w:w="909" w:type="dxa"/>
            <w:tcBorders>
              <w:top w:val="single" w:color="auto" w:sz="12" w:space="0"/>
              <w:bottom w:val="single" w:color="auto" w:sz="12" w:space="0"/>
              <w:right w:val="single" w:color="auto" w:sz="12" w:space="0"/>
            </w:tcBorders>
          </w:tcPr>
          <w:p>
            <w:pPr>
              <w:jc w:val="center"/>
              <w:rPr>
                <w:rFonts w:asciiTheme="minorEastAsia" w:hAnsiTheme="minorEastAsia" w:eastAsiaTheme="minorEastAsia"/>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1" w:hRule="atLeast"/>
        </w:trPr>
        <w:tc>
          <w:tcPr>
            <w:tcW w:w="814" w:type="dxa"/>
            <w:vMerge w:val="continue"/>
            <w:tcBorders>
              <w:left w:val="single" w:color="auto" w:sz="12" w:space="0"/>
              <w:bottom w:val="single" w:color="auto" w:sz="12" w:space="0"/>
            </w:tcBorders>
            <w:vAlign w:val="center"/>
          </w:tcPr>
          <w:p>
            <w:pPr>
              <w:rPr>
                <w:rFonts w:asciiTheme="minorEastAsia" w:hAnsiTheme="minorEastAsia" w:eastAsiaTheme="minorEastAsia"/>
                <w:color w:val="auto"/>
                <w:sz w:val="24"/>
                <w:szCs w:val="24"/>
                <w:highlight w:val="none"/>
              </w:rPr>
            </w:pPr>
          </w:p>
        </w:tc>
        <w:tc>
          <w:tcPr>
            <w:tcW w:w="1279" w:type="dxa"/>
            <w:vMerge w:val="continue"/>
            <w:tcBorders>
              <w:bottom w:val="single" w:color="auto" w:sz="12" w:space="0"/>
            </w:tcBorders>
            <w:vAlign w:val="center"/>
          </w:tcPr>
          <w:p>
            <w:pPr>
              <w:ind w:firstLine="28"/>
              <w:rPr>
                <w:rFonts w:asciiTheme="minorEastAsia" w:hAnsiTheme="minorEastAsia" w:eastAsiaTheme="minorEastAsia"/>
                <w:color w:val="auto"/>
                <w:sz w:val="24"/>
                <w:szCs w:val="24"/>
                <w:highlight w:val="none"/>
              </w:rPr>
            </w:pPr>
          </w:p>
        </w:tc>
        <w:tc>
          <w:tcPr>
            <w:tcW w:w="709" w:type="dxa"/>
            <w:tcBorders>
              <w:top w:val="single" w:color="auto" w:sz="12" w:space="0"/>
              <w:bottom w:val="single" w:color="auto" w:sz="12" w:space="0"/>
            </w:tcBorders>
            <w:vAlign w:val="center"/>
          </w:tcPr>
          <w:p>
            <w:pPr>
              <w:jc w:val="left"/>
              <w:rPr>
                <w:rFonts w:hint="eastAsia" w:asciiTheme="minorEastAsia" w:hAnsiTheme="minorEastAsia" w:eastAsiaTheme="minorEastAsia"/>
                <w:color w:val="auto"/>
                <w:sz w:val="24"/>
                <w:szCs w:val="24"/>
                <w:highlight w:val="none"/>
                <w:lang w:eastAsia="zh-CN"/>
              </w:rPr>
            </w:pPr>
            <w:r>
              <w:rPr>
                <w:rFonts w:hint="eastAsia" w:asciiTheme="minorEastAsia" w:hAnsiTheme="minorEastAsia" w:eastAsiaTheme="minorEastAsia"/>
                <w:color w:val="auto"/>
                <w:sz w:val="24"/>
                <w:szCs w:val="24"/>
                <w:highlight w:val="none"/>
                <w:lang w:val="en-US" w:eastAsia="zh-CN"/>
              </w:rPr>
              <w:t>2</w:t>
            </w:r>
          </w:p>
        </w:tc>
        <w:tc>
          <w:tcPr>
            <w:tcW w:w="5263" w:type="dxa"/>
            <w:tcBorders>
              <w:top w:val="single" w:color="auto" w:sz="12" w:space="0"/>
              <w:bottom w:val="single" w:color="auto" w:sz="12" w:space="0"/>
            </w:tcBorders>
          </w:tcPr>
          <w:p>
            <w:pPr>
              <w:snapToGrid w:val="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四、拟派团队人员（</w:t>
            </w:r>
            <w:r>
              <w:rPr>
                <w:rFonts w:hint="eastAsia" w:asciiTheme="minorEastAsia" w:hAnsiTheme="minorEastAsia" w:eastAsiaTheme="minorEastAsia"/>
                <w:color w:val="auto"/>
                <w:sz w:val="24"/>
                <w:szCs w:val="24"/>
                <w:highlight w:val="none"/>
                <w:lang w:val="en-US" w:eastAsia="zh-CN"/>
              </w:rPr>
              <w:t>2</w:t>
            </w:r>
            <w:r>
              <w:rPr>
                <w:rFonts w:hint="eastAsia" w:asciiTheme="minorEastAsia" w:hAnsiTheme="minorEastAsia" w:eastAsiaTheme="minorEastAsia"/>
                <w:color w:val="auto"/>
                <w:sz w:val="24"/>
                <w:szCs w:val="24"/>
                <w:highlight w:val="none"/>
              </w:rPr>
              <w:t>分）</w:t>
            </w:r>
          </w:p>
          <w:p>
            <w:pPr>
              <w:snapToGrid w:val="0"/>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提供的服务团队中，有医学类专业背景的，</w:t>
            </w:r>
            <w:r>
              <w:rPr>
                <w:rFonts w:hint="eastAsia" w:asciiTheme="minorEastAsia" w:hAnsiTheme="minorEastAsia" w:eastAsiaTheme="minorEastAsia"/>
                <w:color w:val="auto"/>
                <w:sz w:val="24"/>
                <w:szCs w:val="24"/>
                <w:highlight w:val="none"/>
                <w:lang w:val="en-US" w:eastAsia="zh-CN"/>
              </w:rPr>
              <w:t>每</w:t>
            </w:r>
            <w:r>
              <w:rPr>
                <w:rFonts w:hint="eastAsia" w:asciiTheme="minorEastAsia" w:hAnsiTheme="minorEastAsia" w:eastAsiaTheme="minorEastAsia"/>
                <w:color w:val="auto"/>
                <w:sz w:val="24"/>
                <w:szCs w:val="24"/>
                <w:highlight w:val="none"/>
              </w:rPr>
              <w:t>提供</w:t>
            </w:r>
            <w:r>
              <w:rPr>
                <w:rFonts w:hint="eastAsia" w:asciiTheme="minorEastAsia" w:hAnsiTheme="minorEastAsia" w:eastAsiaTheme="minorEastAsia"/>
                <w:color w:val="auto"/>
                <w:sz w:val="24"/>
                <w:szCs w:val="24"/>
                <w:highlight w:val="none"/>
                <w:lang w:val="en-US" w:eastAsia="zh-CN"/>
              </w:rPr>
              <w:t>一个得0.2分</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lang w:val="en-US" w:eastAsia="zh-CN"/>
              </w:rPr>
              <w:t>满分2</w:t>
            </w:r>
            <w:r>
              <w:rPr>
                <w:rFonts w:hint="eastAsia" w:asciiTheme="minorEastAsia" w:hAnsiTheme="minorEastAsia" w:eastAsiaTheme="minorEastAsia"/>
                <w:color w:val="auto"/>
                <w:sz w:val="24"/>
                <w:szCs w:val="24"/>
                <w:highlight w:val="none"/>
              </w:rPr>
              <w:t>分。（需要提供毕业证以及近3个月以来的社保证明</w:t>
            </w:r>
            <w:r>
              <w:rPr>
                <w:rFonts w:hint="eastAsia" w:asciiTheme="minorEastAsia" w:hAnsiTheme="minorEastAsia" w:eastAsiaTheme="minorEastAsia"/>
                <w:color w:val="auto"/>
                <w:sz w:val="24"/>
                <w:szCs w:val="24"/>
                <w:highlight w:val="none"/>
                <w:lang w:val="en-US" w:eastAsia="zh-CN"/>
              </w:rPr>
              <w:t>以及对应的劳动合同，原件备查</w:t>
            </w:r>
            <w:r>
              <w:rPr>
                <w:rFonts w:hint="eastAsia" w:asciiTheme="minorEastAsia" w:hAnsiTheme="minorEastAsia" w:eastAsiaTheme="minorEastAsia"/>
                <w:color w:val="auto"/>
                <w:sz w:val="24"/>
                <w:szCs w:val="24"/>
                <w:highlight w:val="none"/>
              </w:rPr>
              <w:t>）</w:t>
            </w:r>
          </w:p>
        </w:tc>
        <w:tc>
          <w:tcPr>
            <w:tcW w:w="909" w:type="dxa"/>
            <w:tcBorders>
              <w:top w:val="single" w:color="auto" w:sz="12" w:space="0"/>
              <w:bottom w:val="single" w:color="auto" w:sz="12" w:space="0"/>
              <w:right w:val="single" w:color="auto" w:sz="12" w:space="0"/>
            </w:tcBorders>
          </w:tcPr>
          <w:p>
            <w:pPr>
              <w:rPr>
                <w:rFonts w:asciiTheme="minorEastAsia" w:hAnsiTheme="minorEastAsia" w:eastAsiaTheme="minorEastAsia"/>
                <w:color w:val="auto"/>
                <w:sz w:val="24"/>
                <w:szCs w:val="24"/>
                <w:highlight w:val="none"/>
              </w:rPr>
            </w:pPr>
          </w:p>
        </w:tc>
      </w:tr>
    </w:tbl>
    <w:p>
      <w:pPr>
        <w:snapToGrid w:val="0"/>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注：关于小微企业报价扣除比例说明</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1.供应商为非联合体参与磋商的，对小型企业给予6%的扣除，微型企业给予8%的扣除（注册资金十五万及以下的微型企业给予10%的扣除），以扣除后的报价参与评审。</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2.监狱企业、残疾人福利性单位属于微型企业的，应提供企业所在地的县级以上中小企业主管部门本年度出具的证明文件复印件和微型企业承诺书（详见第七篇 五、其他应提供的资料“书面承诺书”）。未提供以上资料的监狱企业、残疾人福利性单位视同小型企业。</w:t>
      </w:r>
    </w:p>
    <w:p>
      <w:pPr>
        <w:pStyle w:val="4"/>
        <w:spacing w:before="0" w:after="0" w:line="560" w:lineRule="exact"/>
        <w:rPr>
          <w:rFonts w:asciiTheme="minorEastAsia" w:hAnsiTheme="minorEastAsia" w:eastAsiaTheme="minorEastAsia"/>
          <w:color w:val="auto"/>
          <w:sz w:val="28"/>
          <w:szCs w:val="28"/>
          <w:highlight w:val="none"/>
        </w:rPr>
      </w:pPr>
      <w:bookmarkStart w:id="53" w:name="_Toc105060903"/>
      <w:r>
        <w:rPr>
          <w:rFonts w:hint="eastAsia" w:asciiTheme="minorEastAsia" w:hAnsiTheme="minorEastAsia" w:eastAsiaTheme="minorEastAsia"/>
          <w:color w:val="auto"/>
          <w:sz w:val="28"/>
          <w:szCs w:val="28"/>
          <w:highlight w:val="none"/>
        </w:rPr>
        <w:t>三、无效响应</w:t>
      </w:r>
      <w:bookmarkEnd w:id="53"/>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供应商发生以下条款情况之一者，视为无效响应，其响应文件将被拒绝：</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（一）供应商不符合规定的基本资格条件或特定资格条件的；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（二）供应商未按磋商文件规定购买磋商文件的；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（三）供应商的法定代表人或其授权代表未参加磋商；</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（四）供应商所提交的响应文件不按第七篇“响应文件编制要求”规定签字、盖章；</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（五）供应商的最后报价超过采购预算的；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（六）法定代表人为同一个人的两个及两个以上法人，母公司、全资子公司及其控股公司，在同一分包采购中同时参与磋商；</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（七）单位负责人为同一人或者存在直接控股、管理关系的不同供应商，参加同一合同项下的政府采购活动的；</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（八）为采购项目提供整体设计、规范编制或者项目管理、监理、检测等服务的供应商，再参加该采购项目的其他采购活动；</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（九）供应商磋商有效期不满足竞争性磋商文件要求的；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（十）供应商响应文件内容有与国家现行法律法规相违背的内容，或附有采购人无法接受的条件。</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（十一）供应商被列入失信被执行人、重大税收违法案件当事人名单、政府采购严重违法失信行为记录名单及其他不符合《中华人民共和国政府采购法》第二十二条规定条件的。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（十二）供应商如会上不能解答磋商文件的技术问题，视为无效磋商。</w:t>
      </w:r>
    </w:p>
    <w:p>
      <w:pPr>
        <w:pStyle w:val="4"/>
        <w:spacing w:before="0" w:after="0" w:line="560" w:lineRule="exact"/>
        <w:rPr>
          <w:rFonts w:asciiTheme="minorEastAsia" w:hAnsiTheme="minorEastAsia" w:eastAsiaTheme="minorEastAsia"/>
          <w:color w:val="auto"/>
          <w:sz w:val="28"/>
          <w:szCs w:val="28"/>
          <w:highlight w:val="none"/>
        </w:rPr>
      </w:pPr>
      <w:bookmarkStart w:id="54" w:name="_Toc105060904"/>
      <w:r>
        <w:rPr>
          <w:rFonts w:hint="eastAsia" w:asciiTheme="minorEastAsia" w:hAnsiTheme="minorEastAsia" w:eastAsiaTheme="minorEastAsia"/>
          <w:color w:val="auto"/>
          <w:sz w:val="28"/>
          <w:szCs w:val="28"/>
          <w:highlight w:val="none"/>
        </w:rPr>
        <w:t>四、采购终止</w:t>
      </w:r>
      <w:bookmarkEnd w:id="54"/>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出现下列情形之一的，采购人或者采购代理机构应当终止竞争性磋商采购活动，发布项目终止公告并说明原因，重新开展采购活动：</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（一）因情况变化，不再符合规定的竞争性磋商采购方式适用情形的；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（二）出现影响采购公正的违法、违规行为的；</w:t>
      </w:r>
    </w:p>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（三）在采购过程中符合要求的供应商或者报价未超过采购预算的供应商不足3家的，但《政府采购竞争性磋商采购方式管理暂行办法》第二十一条第三款规定的情形除外。</w:t>
      </w:r>
    </w:p>
    <w:p>
      <w:pPr>
        <w:spacing w:line="560" w:lineRule="exact"/>
        <w:ind w:firstLine="560" w:firstLineChars="200"/>
        <w:rPr>
          <w:rFonts w:asciiTheme="minorEastAsia" w:hAnsiTheme="minorEastAsia" w:eastAsiaTheme="minorEastAsia"/>
          <w:color w:val="auto"/>
          <w:szCs w:val="28"/>
          <w:highlight w:val="none"/>
        </w:rPr>
        <w:sectPr>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Theme="minorEastAsia" w:hAnsiTheme="minorEastAsia" w:eastAsiaTheme="minorEastAsia"/>
          <w:color w:val="auto"/>
          <w:sz w:val="44"/>
          <w:szCs w:val="44"/>
          <w:highlight w:val="none"/>
        </w:rPr>
      </w:pPr>
      <w:bookmarkStart w:id="55" w:name="_Toc102227313"/>
      <w:bookmarkStart w:id="56" w:name="_Toc105060905"/>
      <w:r>
        <w:rPr>
          <w:rFonts w:hint="eastAsia" w:asciiTheme="minorEastAsia" w:hAnsiTheme="minorEastAsia" w:eastAsiaTheme="minorEastAsia"/>
          <w:color w:val="auto"/>
          <w:sz w:val="44"/>
          <w:szCs w:val="44"/>
          <w:highlight w:val="none"/>
        </w:rPr>
        <w:t>第五篇  供应商须知</w:t>
      </w:r>
      <w:bookmarkEnd w:id="55"/>
      <w:bookmarkEnd w:id="56"/>
    </w:p>
    <w:p>
      <w:pPr>
        <w:pStyle w:val="4"/>
        <w:spacing w:before="0" w:after="0" w:line="560" w:lineRule="exact"/>
        <w:rPr>
          <w:rFonts w:asciiTheme="minorEastAsia" w:hAnsiTheme="minorEastAsia" w:eastAsiaTheme="minorEastAsia"/>
          <w:color w:val="auto"/>
          <w:sz w:val="28"/>
          <w:szCs w:val="28"/>
          <w:highlight w:val="none"/>
        </w:rPr>
      </w:pPr>
      <w:bookmarkStart w:id="57" w:name="_Toc342913389"/>
      <w:bookmarkStart w:id="58" w:name="_Toc105060906"/>
      <w:r>
        <w:rPr>
          <w:rFonts w:hint="eastAsia" w:asciiTheme="minorEastAsia" w:hAnsiTheme="minorEastAsia" w:eastAsiaTheme="minorEastAsia"/>
          <w:color w:val="auto"/>
          <w:sz w:val="28"/>
          <w:szCs w:val="28"/>
          <w:highlight w:val="none"/>
        </w:rPr>
        <w:t>一、磋商费用</w:t>
      </w:r>
      <w:bookmarkEnd w:id="57"/>
      <w:bookmarkEnd w:id="58"/>
    </w:p>
    <w:p>
      <w:pPr>
        <w:pStyle w:val="205"/>
        <w:spacing w:line="560" w:lineRule="exact"/>
        <w:ind w:firstLine="560" w:firstLineChars="20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参与磋商的供应商应承担其编制响应文件与递交响应文件所涉及的一切费用，不论磋商结果如何，采购人和采购代理机构在任何情况下无义务也无责任承担这些费用。</w:t>
      </w:r>
    </w:p>
    <w:p>
      <w:pPr>
        <w:pStyle w:val="4"/>
        <w:tabs>
          <w:tab w:val="left" w:pos="2640"/>
        </w:tabs>
        <w:spacing w:before="0" w:after="0" w:line="560" w:lineRule="exact"/>
        <w:rPr>
          <w:rFonts w:asciiTheme="minorEastAsia" w:hAnsiTheme="minorEastAsia" w:eastAsiaTheme="minorEastAsia"/>
          <w:color w:val="auto"/>
          <w:sz w:val="28"/>
          <w:szCs w:val="28"/>
          <w:highlight w:val="none"/>
        </w:rPr>
      </w:pPr>
      <w:bookmarkStart w:id="59" w:name="_Toc342913391"/>
      <w:bookmarkStart w:id="60" w:name="_Toc105060907"/>
      <w:r>
        <w:rPr>
          <w:rFonts w:hint="eastAsia" w:asciiTheme="minorEastAsia" w:hAnsiTheme="minorEastAsia" w:eastAsiaTheme="minorEastAsia"/>
          <w:color w:val="auto"/>
          <w:sz w:val="28"/>
          <w:szCs w:val="28"/>
          <w:highlight w:val="none"/>
        </w:rPr>
        <w:t>二、竞争性磋商文件</w:t>
      </w:r>
      <w:bookmarkEnd w:id="59"/>
      <w:bookmarkEnd w:id="60"/>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（一）竞争性磋商文件由采购邀请书、项目服务需求、供应商须知、项目商务需求、磋商程序及方法、评审标准、无效响应和采购终止、供应商须知、政府采购合同、响应文件编制要求七部分组成。</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（二）采购人（或采购代理机构）所作的一切有效的书面通知、修改及补充，都是竞争性磋商文件不可分割的部分。</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（三）竞争性磋商文件的解释</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如对竞争性磋商文件有疑问，必须以书面形式在提交响应文件截止时间3个工作日前向采购人（或采购代理机构）要求澄清，采购人（或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61" w:name="_Toc318159780"/>
      <w:bookmarkStart w:id="62" w:name="_Toc318159160"/>
      <w:bookmarkStart w:id="63" w:name="_Toc318166429"/>
      <w:bookmarkStart w:id="64" w:name="_Toc318159349"/>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（四）本竞争性磋商文件中，磋商小组根据与供应商进行磋商可能实质性变动的内容为竞争性磋商文件第二、三、四篇全部内容。</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（五）评审的依据为竞争性磋商文件和响应文件（含有效的书面承诺）。磋商小组判断响应文件对竞争性磋商文件的响应，仅基于响应文件本身而不靠外部证据。</w:t>
      </w:r>
    </w:p>
    <w:bookmarkEnd w:id="61"/>
    <w:bookmarkEnd w:id="62"/>
    <w:bookmarkEnd w:id="63"/>
    <w:bookmarkEnd w:id="64"/>
    <w:p>
      <w:pPr>
        <w:pStyle w:val="4"/>
        <w:spacing w:before="0" w:after="0" w:line="560" w:lineRule="exact"/>
        <w:rPr>
          <w:rFonts w:asciiTheme="minorEastAsia" w:hAnsiTheme="minorEastAsia" w:eastAsiaTheme="minorEastAsia"/>
          <w:color w:val="auto"/>
          <w:sz w:val="28"/>
          <w:szCs w:val="28"/>
          <w:highlight w:val="none"/>
        </w:rPr>
      </w:pPr>
      <w:bookmarkStart w:id="65" w:name="_Toc342913392"/>
      <w:bookmarkStart w:id="66" w:name="_Toc102227318"/>
      <w:bookmarkStart w:id="67" w:name="_Toc179714297"/>
      <w:bookmarkStart w:id="68" w:name="_Toc105060908"/>
      <w:r>
        <w:rPr>
          <w:rFonts w:hint="eastAsia" w:asciiTheme="minorEastAsia" w:hAnsiTheme="minorEastAsia" w:eastAsiaTheme="minorEastAsia"/>
          <w:color w:val="auto"/>
          <w:sz w:val="28"/>
          <w:szCs w:val="28"/>
          <w:highlight w:val="none"/>
        </w:rPr>
        <w:t>三、磋商要求</w:t>
      </w:r>
      <w:bookmarkEnd w:id="65"/>
      <w:bookmarkEnd w:id="66"/>
      <w:bookmarkEnd w:id="67"/>
      <w:bookmarkEnd w:id="68"/>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（一）响应文件</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1.供应商应当按照竞争性磋商文件的要求编制响应文件，并对竞争性磋商文件提出的要求和条件作出实质性响应，响应文件原则上采用软面订本，同时应编制完整的页码、目录。</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2.响应文件组成</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（二）磋商有效期：响应文件及有关承诺文件有效期为提交响应文件截止时间起90天。</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（三）修正错误</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1.若供应商所递交的响应文件或最后报价中的价格出现大写金额和小写金额不一致的错误，以大写金额修正为准。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（四）提交响应文件的份数和签署</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2.在响应文件正本中，竞争性磋商文件第六篇响应文件编制要求中规定签字、盖章的地方必须按其规定签字、盖章。</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（五）响应文件的递交</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1.响应文件的密封与标记</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1.1响应文件的正本、副本以及电子文档均应密封送达磋商地点，应在封套上注明磋商项目名称、供应商名称。若正本、副本以及电子文档分别进行密封的，还应在封套上注明“正本”、“副本”、“电子文档”字样。</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1.2封套的封口处应加盖供应商公章或由法定代表人授权代表签字。</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2.如果响应文件通过邮寄递交，供应商应将响应文件用内、外两层封套密封。</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2.1内层封套的封装与标记同 “1、”款规定。</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2.2外层封套装入“1、”款所述全部内封资料，并注明项目号、磋商项目编号、磋商项目名称、采购代理机构名称及地址。同时应写明供应商的名称、地址，以便将迟交的响应文件原封退还。</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3.如果未按上述规定进行密封和标记，采购代理机构对响应文件误投、丢失或提前拆封不负责任。</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（六）供应商参与人员</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各个供应商应当派1-2名代表参与磋商，至少1人应为法定代表人或具有法定代表人授权委托书的授权代表。</w:t>
      </w:r>
    </w:p>
    <w:p>
      <w:pPr>
        <w:pStyle w:val="4"/>
        <w:spacing w:before="0" w:after="0" w:line="560" w:lineRule="exact"/>
        <w:rPr>
          <w:rFonts w:asciiTheme="minorEastAsia" w:hAnsiTheme="minorEastAsia" w:eastAsiaTheme="minorEastAsia"/>
          <w:color w:val="auto"/>
          <w:sz w:val="28"/>
          <w:szCs w:val="28"/>
          <w:highlight w:val="none"/>
        </w:rPr>
      </w:pPr>
      <w:bookmarkStart w:id="69" w:name="_Toc105060909"/>
      <w:r>
        <w:rPr>
          <w:rFonts w:hint="eastAsia" w:asciiTheme="minorEastAsia" w:hAnsiTheme="minorEastAsia" w:eastAsiaTheme="minorEastAsia"/>
          <w:color w:val="auto"/>
          <w:sz w:val="28"/>
          <w:szCs w:val="28"/>
          <w:highlight w:val="none"/>
        </w:rPr>
        <w:t>四、成交供应商的确认和变更</w:t>
      </w:r>
      <w:bookmarkEnd w:id="69"/>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（一）成交供应商的确认</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（二）成交供应商的变更</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成交供应商拒绝与采购人签订合同的，采购人可以按照评标报告推荐的成交候选供应商顺序，确定排名下一位的候选人为成交供应商，也可以重新开展政府采购活动。</w:t>
      </w:r>
    </w:p>
    <w:p>
      <w:pPr>
        <w:pStyle w:val="4"/>
        <w:spacing w:before="0" w:after="0" w:line="560" w:lineRule="exact"/>
        <w:rPr>
          <w:rFonts w:asciiTheme="minorEastAsia" w:hAnsiTheme="minorEastAsia" w:eastAsiaTheme="minorEastAsia"/>
          <w:color w:val="auto"/>
          <w:sz w:val="28"/>
          <w:szCs w:val="28"/>
          <w:highlight w:val="none"/>
        </w:rPr>
      </w:pPr>
      <w:bookmarkStart w:id="70" w:name="_Toc105060910"/>
      <w:bookmarkStart w:id="71" w:name="_Toc102227321"/>
      <w:bookmarkStart w:id="72" w:name="_Toc342913395"/>
      <w:r>
        <w:rPr>
          <w:rFonts w:hint="eastAsia" w:asciiTheme="minorEastAsia" w:hAnsiTheme="minorEastAsia" w:eastAsiaTheme="minorEastAsia"/>
          <w:color w:val="auto"/>
          <w:sz w:val="28"/>
          <w:szCs w:val="28"/>
          <w:highlight w:val="none"/>
        </w:rPr>
        <w:t>五、成交通知</w:t>
      </w:r>
      <w:bookmarkEnd w:id="70"/>
      <w:bookmarkEnd w:id="71"/>
      <w:bookmarkEnd w:id="72"/>
    </w:p>
    <w:p>
      <w:pPr>
        <w:spacing w:line="560" w:lineRule="exact"/>
        <w:ind w:firstLine="560" w:firstLineChars="200"/>
        <w:jc w:val="lef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（一）成交供应商确定后，采购代理机构将在重庆医科大学校园网上（主页-服务大厅-招投标信息）上发布成交结果公告。</w:t>
      </w:r>
    </w:p>
    <w:p>
      <w:pPr>
        <w:spacing w:line="40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（二）网上成交结果公告将作为签订合同的依据。</w:t>
      </w:r>
    </w:p>
    <w:p>
      <w:pPr>
        <w:pStyle w:val="4"/>
        <w:spacing w:before="0" w:after="0" w:line="560" w:lineRule="exact"/>
        <w:rPr>
          <w:rFonts w:asciiTheme="minorEastAsia" w:hAnsiTheme="minorEastAsia" w:eastAsiaTheme="minorEastAsia"/>
          <w:color w:val="auto"/>
          <w:sz w:val="28"/>
          <w:szCs w:val="28"/>
          <w:highlight w:val="none"/>
        </w:rPr>
      </w:pPr>
      <w:bookmarkStart w:id="73" w:name="_Toc105060911"/>
      <w:r>
        <w:rPr>
          <w:rFonts w:hint="eastAsia" w:asciiTheme="minorEastAsia" w:hAnsiTheme="minorEastAsia" w:eastAsiaTheme="minorEastAsia"/>
          <w:color w:val="auto"/>
          <w:sz w:val="28"/>
          <w:szCs w:val="28"/>
          <w:highlight w:val="none"/>
        </w:rPr>
        <w:t>六、关于质疑和投诉</w:t>
      </w:r>
      <w:bookmarkEnd w:id="73"/>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（一）质疑</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供应商认为采购文件、采购过程和成交结果使自己的权益收到伤害的，可向采购人或采购代理机构以书面形式提出质疑。</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提出质疑的应当是参与所质疑项目采购活动的供应商。 </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1.质疑时限、内容</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供应商认为采购文件、采购过程、成交结果使自己的权益受到损害的，可以在知道或者应知其权益受到损害之日起7个工作日内，以书面形式向采购人、采购代理机构提出质疑。</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1.2供应商提出质疑应当提交质疑函和必要的证明材料，质疑函应当包括下列内容：</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1.2.1供应商的姓名或者名称、地址、邮编、联系人及联系电话；</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1.2.2质疑项目的名称、项目号以及磋商项目编号；</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1.2.3具体、明确的质疑事项和与质疑事项相关的请求；</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1.2.4事实依据；</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1.2.5必要的法律依据；</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1.2.6提出质疑的日期；</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1.2.7营业执照（或事业单位法人证书，或个体工商户营业执照或有效的自然人身份证明、组织机构代码证）复印件；</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1.2.8法定代表人授权委托书原件、法定代表人身份证复印件和其授权代表的身份证复印件（供应商为自然人的提供自然人身份证复印件）；</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1.3供应商为自然人的，质疑函应当由本人签字；供应商为法人或者其他组织的，质疑函应当由法定代表人、主要负责人，或者其授权代表签字或者盖章，并加盖公章。</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2.质疑答复</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采购人、采购代理机构应当在收到供应商的书面质疑后七个工作日内作出答复，并以书面形式通知质疑供应商和其他有关供应商。</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3.其他</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3.1供应商应按照《政府采购质疑和投诉办法》（财政部令第94号）及相关法律法规要求，在法定质疑期内一次性提出针对同一采购程序环节的质疑。</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3.2质疑函范本可在财政部门户网站和中国政府采购网下载。</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（二）投诉</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1.供应商对采购人、采购代理机构的答复不满意，或者采购人、采购代理机构未在规定时间内作出答复的，可以在答复期满后15个工作日内按照相关法律法规向财政部门提起投诉。</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2.供应商应按照《政府采购质疑和投诉办法》（财政部令第94号）及相关法律法规要求递交投诉书和必要的证明材料。投诉书范本可在财政部门户网站和中国政府采购网下载。</w:t>
      </w:r>
    </w:p>
    <w:p>
      <w:pPr>
        <w:spacing w:line="560" w:lineRule="exact"/>
        <w:ind w:firstLine="48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cs="仿宋" w:asciiTheme="minorEastAsia" w:hAnsiTheme="minorEastAsia" w:eastAsiaTheme="minorEastAsia"/>
          <w:color w:val="auto"/>
          <w:szCs w:val="28"/>
          <w:highlight w:val="none"/>
        </w:rPr>
      </w:pPr>
      <w:r>
        <w:rPr>
          <w:rFonts w:hint="eastAsia" w:cs="仿宋" w:asciiTheme="minorEastAsia" w:hAnsiTheme="minorEastAsia" w:eastAsiaTheme="minorEastAsia"/>
          <w:color w:val="auto"/>
          <w:szCs w:val="28"/>
          <w:highlight w:val="none"/>
        </w:rPr>
        <w:t>4.在确定受理投诉后，财政部门自受理投诉之日起30个工作日内（需要检验、检测、鉴定、专家评审以及需要投诉人补正材料的，所需时间不计算在投诉处理期限内）对投诉事项做出处理决定。</w:t>
      </w:r>
      <w:bookmarkStart w:id="74" w:name="_Toc102227322"/>
      <w:bookmarkStart w:id="75" w:name="_Toc342913396"/>
      <w:bookmarkStart w:id="76" w:name="_Toc11641055"/>
      <w:bookmarkStart w:id="77" w:name="_Toc12789059"/>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b/>
          <w:color w:val="auto"/>
          <w:szCs w:val="28"/>
          <w:highlight w:val="none"/>
        </w:rPr>
        <w:t>七、签订</w:t>
      </w:r>
      <w:bookmarkEnd w:id="74"/>
      <w:r>
        <w:rPr>
          <w:rFonts w:hint="eastAsia" w:asciiTheme="minorEastAsia" w:hAnsiTheme="minorEastAsia" w:eastAsiaTheme="minorEastAsia"/>
          <w:b/>
          <w:color w:val="auto"/>
          <w:szCs w:val="28"/>
          <w:highlight w:val="none"/>
        </w:rPr>
        <w:t>合同</w:t>
      </w:r>
      <w:bookmarkEnd w:id="75"/>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一）采购人应当自网上成交结果公告发出之日起三十日内，按照竞争性磋商文件和成交供应商响应文件的约定，与成交供应商签订书面合同。所签订的合同不得对竞争性磋商文件和供应商的响应文件作实质性修改。 </w:t>
      </w:r>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（二）竞争性磋商文件、供应商的响应文件及澄清文件等，均为签订采购合同的依据。</w:t>
      </w:r>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（三）合同生效条款由供需双方约定，法律、行政法规规定应当办理批准、登记等手续后生效的合同，依照其规定。</w:t>
      </w:r>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（四）合同原则上应按照《重庆医科大学经济合同》签订，相关单位要求适用合同通用格式版本的，应按其要求另行签订其他合同。</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（五）采购人要求成交供应商提供履约保证金的，应当在竞争性磋商文件中予以约定。成交供应商履约完毕后，采购人根据采购文件规定无息退还其履约保证金。</w:t>
      </w:r>
    </w:p>
    <w:p>
      <w:pPr>
        <w:pStyle w:val="3"/>
        <w:spacing w:before="0" w:after="0" w:line="560" w:lineRule="exact"/>
        <w:jc w:val="center"/>
        <w:rPr>
          <w:rFonts w:asciiTheme="minorEastAsia" w:hAnsiTheme="minorEastAsia" w:eastAsiaTheme="minorEastAsia"/>
          <w:color w:val="auto"/>
          <w:sz w:val="44"/>
          <w:szCs w:val="44"/>
          <w:highlight w:val="none"/>
        </w:rPr>
      </w:pPr>
      <w:r>
        <w:rPr>
          <w:rFonts w:hint="eastAsia" w:asciiTheme="minorEastAsia" w:hAnsiTheme="minorEastAsia" w:eastAsiaTheme="minorEastAsia"/>
          <w:b w:val="0"/>
          <w:color w:val="auto"/>
          <w:sz w:val="28"/>
          <w:szCs w:val="28"/>
          <w:highlight w:val="none"/>
        </w:rPr>
        <w:br w:type="page"/>
      </w:r>
      <w:bookmarkStart w:id="78" w:name="_Toc105060912"/>
      <w:r>
        <w:rPr>
          <w:rFonts w:hint="eastAsia" w:asciiTheme="minorEastAsia" w:hAnsiTheme="minorEastAsia" w:eastAsiaTheme="minorEastAsia"/>
          <w:color w:val="auto"/>
          <w:sz w:val="44"/>
          <w:szCs w:val="44"/>
          <w:highlight w:val="none"/>
        </w:rPr>
        <w:t xml:space="preserve">第六篇  </w:t>
      </w:r>
      <w:bookmarkEnd w:id="76"/>
      <w:bookmarkEnd w:id="77"/>
      <w:r>
        <w:rPr>
          <w:rFonts w:hint="eastAsia" w:asciiTheme="minorEastAsia" w:hAnsiTheme="minorEastAsia" w:eastAsiaTheme="minorEastAsia"/>
          <w:color w:val="auto"/>
          <w:sz w:val="44"/>
          <w:szCs w:val="44"/>
          <w:highlight w:val="none"/>
        </w:rPr>
        <w:t>采购合同</w:t>
      </w:r>
      <w:bookmarkEnd w:id="78"/>
    </w:p>
    <w:p>
      <w:pPr>
        <w:rPr>
          <w:color w:val="auto"/>
          <w:highlight w:val="none"/>
        </w:rPr>
      </w:pPr>
    </w:p>
    <w:p>
      <w:pPr>
        <w:spacing w:line="560" w:lineRule="exact"/>
        <w:jc w:val="center"/>
        <w:rPr>
          <w:rFonts w:asciiTheme="minorEastAsia" w:hAnsiTheme="minorEastAsia" w:eastAsiaTheme="minorEastAsia"/>
          <w:color w:val="auto"/>
          <w:sz w:val="32"/>
          <w:szCs w:val="32"/>
          <w:highlight w:val="none"/>
          <w:u w:val="single"/>
        </w:rPr>
      </w:pPr>
      <w:r>
        <w:rPr>
          <w:rFonts w:hint="eastAsia" w:asciiTheme="minorEastAsia" w:hAnsiTheme="minorEastAsia" w:eastAsiaTheme="minorEastAsia"/>
          <w:color w:val="auto"/>
          <w:szCs w:val="28"/>
          <w:highlight w:val="none"/>
        </w:rPr>
        <w:t xml:space="preserve">                       </w:t>
      </w:r>
      <w:r>
        <w:rPr>
          <w:rFonts w:hint="eastAsia" w:asciiTheme="minorEastAsia" w:hAnsiTheme="minorEastAsia" w:eastAsiaTheme="minorEastAsia"/>
          <w:color w:val="auto"/>
          <w:sz w:val="32"/>
          <w:szCs w:val="32"/>
          <w:highlight w:val="none"/>
        </w:rPr>
        <w:t xml:space="preserve">  合同编号：</w:t>
      </w:r>
      <w:r>
        <w:rPr>
          <w:rFonts w:hint="eastAsia" w:asciiTheme="minorEastAsia" w:hAnsiTheme="minorEastAsia" w:eastAsiaTheme="minorEastAsia"/>
          <w:color w:val="auto"/>
          <w:sz w:val="32"/>
          <w:szCs w:val="32"/>
          <w:highlight w:val="none"/>
          <w:u w:val="single"/>
        </w:rPr>
        <w:t xml:space="preserve">         </w:t>
      </w:r>
    </w:p>
    <w:p>
      <w:pPr>
        <w:spacing w:line="560" w:lineRule="exact"/>
        <w:jc w:val="center"/>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 xml:space="preserve">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正本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副本</w:t>
      </w:r>
    </w:p>
    <w:p>
      <w:pPr>
        <w:spacing w:line="560" w:lineRule="exact"/>
        <w:rPr>
          <w:rFonts w:asciiTheme="minorEastAsia" w:hAnsiTheme="minorEastAsia" w:eastAsiaTheme="minorEastAsia"/>
          <w:color w:val="auto"/>
          <w:szCs w:val="28"/>
          <w:highlight w:val="none"/>
        </w:rPr>
      </w:pPr>
    </w:p>
    <w:p>
      <w:pPr>
        <w:spacing w:line="560" w:lineRule="exact"/>
        <w:rPr>
          <w:rFonts w:asciiTheme="minorEastAsia" w:hAnsiTheme="minorEastAsia" w:eastAsiaTheme="minorEastAsia"/>
          <w:color w:val="auto"/>
          <w:szCs w:val="28"/>
          <w:highlight w:val="none"/>
        </w:rPr>
      </w:pPr>
    </w:p>
    <w:p>
      <w:pPr>
        <w:spacing w:line="560" w:lineRule="exact"/>
        <w:rPr>
          <w:rFonts w:asciiTheme="minorEastAsia" w:hAnsiTheme="minorEastAsia" w:eastAsiaTheme="minorEastAsia"/>
          <w:color w:val="auto"/>
          <w:szCs w:val="28"/>
          <w:highlight w:val="none"/>
        </w:rPr>
      </w:pPr>
    </w:p>
    <w:p>
      <w:pPr>
        <w:spacing w:line="900" w:lineRule="exact"/>
        <w:jc w:val="center"/>
        <w:rPr>
          <w:rFonts w:asciiTheme="minorEastAsia" w:hAnsiTheme="minorEastAsia" w:eastAsiaTheme="minorEastAsia"/>
          <w:color w:val="auto"/>
          <w:sz w:val="72"/>
          <w:szCs w:val="72"/>
          <w:highlight w:val="none"/>
        </w:rPr>
      </w:pPr>
      <w:r>
        <w:rPr>
          <w:rFonts w:hint="eastAsia" w:asciiTheme="minorEastAsia" w:hAnsiTheme="minorEastAsia" w:eastAsiaTheme="minorEastAsia"/>
          <w:color w:val="auto"/>
          <w:sz w:val="72"/>
          <w:szCs w:val="72"/>
          <w:highlight w:val="none"/>
        </w:rPr>
        <w:t>重庆医科大学经济合同</w:t>
      </w:r>
    </w:p>
    <w:p>
      <w:pPr>
        <w:spacing w:line="640" w:lineRule="exact"/>
        <w:jc w:val="center"/>
        <w:rPr>
          <w:rFonts w:asciiTheme="minorEastAsia" w:hAnsiTheme="minorEastAsia" w:eastAsiaTheme="minorEastAsia"/>
          <w:color w:val="auto"/>
          <w:szCs w:val="28"/>
          <w:highlight w:val="none"/>
        </w:rPr>
      </w:pPr>
    </w:p>
    <w:p>
      <w:pPr>
        <w:spacing w:line="640" w:lineRule="exact"/>
        <w:rPr>
          <w:rFonts w:asciiTheme="minorEastAsia" w:hAnsiTheme="minorEastAsia" w:eastAsiaTheme="minorEastAsia"/>
          <w:color w:val="auto"/>
          <w:szCs w:val="28"/>
          <w:highlight w:val="none"/>
        </w:rPr>
      </w:pPr>
    </w:p>
    <w:p>
      <w:pPr>
        <w:spacing w:line="640" w:lineRule="exact"/>
        <w:ind w:firstLine="480" w:firstLineChars="1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 xml:space="preserve">合同类型：■买卖合同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技术合同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建设工程合同</w:t>
      </w:r>
    </w:p>
    <w:p>
      <w:pPr>
        <w:spacing w:line="640" w:lineRule="exact"/>
        <w:ind w:firstLine="2080" w:firstLineChars="6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委托合同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租赁合同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承揽合同</w:t>
      </w:r>
    </w:p>
    <w:p>
      <w:pPr>
        <w:spacing w:line="640" w:lineRule="exact"/>
        <w:ind w:firstLine="2080" w:firstLineChars="65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赠与合同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 xml:space="preserve">运输合同 </w:t>
      </w: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物业服务合同</w:t>
      </w:r>
    </w:p>
    <w:p>
      <w:pPr>
        <w:spacing w:line="640" w:lineRule="exact"/>
        <w:ind w:firstLine="2080" w:firstLineChars="650"/>
        <w:rPr>
          <w:rFonts w:asciiTheme="minorEastAsia" w:hAnsiTheme="minorEastAsia" w:eastAsiaTheme="minorEastAsia"/>
          <w:color w:val="auto"/>
          <w:sz w:val="32"/>
          <w:szCs w:val="32"/>
          <w:highlight w:val="none"/>
          <w:u w:val="single"/>
        </w:rPr>
      </w:pPr>
      <w:r>
        <w:rPr>
          <w:rFonts w:hint="eastAsia" w:asciiTheme="minorEastAsia" w:hAnsiTheme="minorEastAsia" w:eastAsiaTheme="minorEastAsia"/>
          <w:color w:val="auto"/>
          <w:sz w:val="32"/>
          <w:szCs w:val="32"/>
          <w:highlight w:val="none"/>
        </w:rPr>
        <w:sym w:font="Wingdings 2" w:char="00A3"/>
      </w:r>
      <w:r>
        <w:rPr>
          <w:rFonts w:hint="eastAsia" w:asciiTheme="minorEastAsia" w:hAnsiTheme="minorEastAsia" w:eastAsiaTheme="minorEastAsia"/>
          <w:color w:val="auto"/>
          <w:sz w:val="32"/>
          <w:szCs w:val="32"/>
          <w:highlight w:val="none"/>
        </w:rPr>
        <w:t>其它典型合同</w:t>
      </w:r>
      <w:r>
        <w:rPr>
          <w:rFonts w:hint="eastAsia" w:asciiTheme="minorEastAsia" w:hAnsiTheme="minorEastAsia" w:eastAsiaTheme="minorEastAsia"/>
          <w:color w:val="auto"/>
          <w:sz w:val="32"/>
          <w:szCs w:val="32"/>
          <w:highlight w:val="none"/>
          <w:u w:val="single"/>
        </w:rPr>
        <w:t xml:space="preserve">                       </w:t>
      </w:r>
    </w:p>
    <w:p>
      <w:pPr>
        <w:spacing w:line="640" w:lineRule="exact"/>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 xml:space="preserve">    合同甲方：重庆医科大学</w:t>
      </w:r>
    </w:p>
    <w:p>
      <w:pPr>
        <w:spacing w:line="640" w:lineRule="exact"/>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合同乙方：</w:t>
      </w:r>
    </w:p>
    <w:p>
      <w:pPr>
        <w:spacing w:line="640" w:lineRule="exact"/>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合同金额：人民币     元</w:t>
      </w:r>
    </w:p>
    <w:p>
      <w:pPr>
        <w:spacing w:line="640" w:lineRule="exact"/>
        <w:ind w:firstLine="640" w:firstLineChars="200"/>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经费项目：</w:t>
      </w:r>
    </w:p>
    <w:p>
      <w:pPr>
        <w:spacing w:line="640" w:lineRule="exact"/>
        <w:jc w:val="center"/>
        <w:rPr>
          <w:rFonts w:asciiTheme="minorEastAsia" w:hAnsiTheme="minorEastAsia" w:eastAsiaTheme="minorEastAsia"/>
          <w:color w:val="auto"/>
          <w:sz w:val="32"/>
          <w:szCs w:val="32"/>
          <w:highlight w:val="none"/>
        </w:rPr>
      </w:pPr>
    </w:p>
    <w:p>
      <w:pPr>
        <w:spacing w:line="640" w:lineRule="exact"/>
        <w:jc w:val="center"/>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签订时间：     年   月   日</w:t>
      </w:r>
    </w:p>
    <w:p>
      <w:pPr>
        <w:spacing w:line="640" w:lineRule="exact"/>
        <w:jc w:val="center"/>
        <w:rPr>
          <w:rFonts w:asciiTheme="minorEastAsia" w:hAnsiTheme="minorEastAsia" w:eastAsiaTheme="minorEastAsia"/>
          <w:color w:val="auto"/>
          <w:sz w:val="32"/>
          <w:szCs w:val="32"/>
          <w:highlight w:val="none"/>
        </w:rPr>
      </w:pPr>
    </w:p>
    <w:p>
      <w:pPr>
        <w:spacing w:line="640" w:lineRule="exact"/>
        <w:jc w:val="center"/>
        <w:rPr>
          <w:rFonts w:asciiTheme="minorEastAsia" w:hAnsiTheme="minorEastAsia" w:eastAsiaTheme="minorEastAsia"/>
          <w:color w:val="auto"/>
          <w:sz w:val="32"/>
          <w:szCs w:val="32"/>
          <w:highlight w:val="none"/>
        </w:rPr>
      </w:pPr>
      <w:r>
        <w:rPr>
          <w:rFonts w:hint="eastAsia" w:asciiTheme="minorEastAsia" w:hAnsiTheme="minorEastAsia" w:eastAsiaTheme="minorEastAsia"/>
          <w:color w:val="auto"/>
          <w:sz w:val="32"/>
          <w:szCs w:val="32"/>
          <w:highlight w:val="none"/>
        </w:rPr>
        <w:t>重庆医科大学财务处 监制</w:t>
      </w:r>
    </w:p>
    <w:p>
      <w:pPr>
        <w:snapToGrid w:val="0"/>
        <w:spacing w:line="500" w:lineRule="exact"/>
        <w:jc w:val="center"/>
        <w:outlineLvl w:val="0"/>
        <w:rPr>
          <w:rFonts w:asciiTheme="minorEastAsia" w:hAnsiTheme="minorEastAsia" w:eastAsiaTheme="minorEastAsia"/>
          <w:color w:val="auto"/>
          <w:sz w:val="44"/>
          <w:highlight w:val="none"/>
        </w:rPr>
        <w:sectPr>
          <w:headerReference r:id="rId13" w:type="default"/>
          <w:pgSz w:w="11907" w:h="16840"/>
          <w:pgMar w:top="1134" w:right="1191" w:bottom="1134" w:left="1304" w:header="964" w:footer="992" w:gutter="0"/>
          <w:pgNumType w:fmt="numberInDash"/>
          <w:cols w:space="720" w:num="1"/>
          <w:docGrid w:linePitch="312" w:charSpace="0"/>
        </w:sectPr>
      </w:pPr>
    </w:p>
    <w:p>
      <w:pPr>
        <w:spacing w:line="480" w:lineRule="exact"/>
        <w:jc w:val="center"/>
        <w:rPr>
          <w:rFonts w:asciiTheme="minorEastAsia" w:hAnsiTheme="minorEastAsia" w:eastAsiaTheme="minorEastAsia"/>
          <w:b/>
          <w:color w:val="auto"/>
          <w:sz w:val="44"/>
          <w:highlight w:val="none"/>
        </w:rPr>
      </w:pPr>
      <w:r>
        <w:rPr>
          <w:rFonts w:hint="eastAsia" w:asciiTheme="minorEastAsia" w:hAnsiTheme="minorEastAsia" w:eastAsiaTheme="minorEastAsia"/>
          <w:b/>
          <w:color w:val="auto"/>
          <w:sz w:val="44"/>
          <w:highlight w:val="none"/>
        </w:rPr>
        <w:t>经济合同</w:t>
      </w:r>
    </w:p>
    <w:p>
      <w:pPr>
        <w:spacing w:line="480" w:lineRule="exact"/>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（项目号：     ）</w:t>
      </w:r>
    </w:p>
    <w:p>
      <w:pPr>
        <w:spacing w:line="48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甲方（需方、</w:t>
      </w:r>
      <w:r>
        <w:rPr>
          <w:rFonts w:hint="eastAsia" w:asciiTheme="minorEastAsia" w:hAnsiTheme="minorEastAsia" w:eastAsiaTheme="minorEastAsia"/>
          <w:bCs/>
          <w:color w:val="auto"/>
          <w:sz w:val="24"/>
          <w:highlight w:val="none"/>
        </w:rPr>
        <w:t>采购人</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_ _重庆医科大学_ _</w:t>
      </w:r>
      <w:r>
        <w:rPr>
          <w:rFonts w:hint="eastAsia" w:asciiTheme="minorEastAsia" w:hAnsiTheme="minorEastAsia" w:eastAsiaTheme="minorEastAsia"/>
          <w:color w:val="auto"/>
          <w:sz w:val="24"/>
          <w:highlight w:val="none"/>
        </w:rPr>
        <w:t xml:space="preserve">       计价单位：</w:t>
      </w:r>
      <w:r>
        <w:rPr>
          <w:rFonts w:hint="eastAsia" w:asciiTheme="minorEastAsia" w:hAnsiTheme="minorEastAsia" w:eastAsiaTheme="minorEastAsia"/>
          <w:color w:val="auto"/>
          <w:sz w:val="24"/>
          <w:highlight w:val="none"/>
          <w:u w:val="single"/>
        </w:rPr>
        <w:t>_人民币：元__</w:t>
      </w:r>
    </w:p>
    <w:p>
      <w:pPr>
        <w:spacing w:line="480" w:lineRule="exac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乙方（供方、</w:t>
      </w:r>
      <w:r>
        <w:rPr>
          <w:rFonts w:hint="eastAsia" w:asciiTheme="minorEastAsia" w:hAnsiTheme="minorEastAsia" w:eastAsiaTheme="minorEastAsia"/>
          <w:bCs/>
          <w:color w:val="auto"/>
          <w:sz w:val="24"/>
          <w:highlight w:val="none"/>
        </w:rPr>
        <w:t>中标人</w:t>
      </w:r>
      <w:r>
        <w:rPr>
          <w:rFonts w:hint="eastAsia" w:asciiTheme="minorEastAsia" w:hAnsiTheme="minorEastAsia" w:eastAsiaTheme="minorEastAsia"/>
          <w:color w:val="auto"/>
          <w:sz w:val="24"/>
          <w:highlight w:val="none"/>
        </w:rPr>
        <w:t>）：___________________      计量单位：_____________</w:t>
      </w:r>
    </w:p>
    <w:p>
      <w:pPr>
        <w:spacing w:line="480" w:lineRule="exact"/>
        <w:rPr>
          <w:rFonts w:asciiTheme="minorEastAsia" w:hAnsiTheme="minorEastAsia" w:eastAsiaTheme="minorEastAsia"/>
          <w:color w:val="auto"/>
          <w:sz w:val="24"/>
          <w:highlight w:val="none"/>
        </w:rPr>
      </w:pPr>
    </w:p>
    <w:p>
      <w:pPr>
        <w:spacing w:line="48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根据《中华人民共和国民法典》《中华人民共和国政府采购法》等法律规定，经双方协商一致，达成以下经济合同：</w:t>
      </w: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717"/>
        <w:gridCol w:w="865"/>
        <w:gridCol w:w="850"/>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项目名称</w:t>
            </w:r>
          </w:p>
        </w:tc>
        <w:tc>
          <w:tcPr>
            <w:tcW w:w="1741"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规格型号</w:t>
            </w:r>
          </w:p>
        </w:tc>
        <w:tc>
          <w:tcPr>
            <w:tcW w:w="984"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数量</w:t>
            </w:r>
          </w:p>
        </w:tc>
        <w:tc>
          <w:tcPr>
            <w:tcW w:w="1582" w:type="dxa"/>
            <w:gridSpan w:val="2"/>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单价（元）</w:t>
            </w:r>
          </w:p>
        </w:tc>
        <w:tc>
          <w:tcPr>
            <w:tcW w:w="850"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总价（元）</w:t>
            </w:r>
          </w:p>
        </w:tc>
        <w:tc>
          <w:tcPr>
            <w:tcW w:w="1559"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交货时间</w:t>
            </w:r>
          </w:p>
        </w:tc>
        <w:tc>
          <w:tcPr>
            <w:tcW w:w="1567"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402" w:hRule="atLeast"/>
          <w:jc w:val="center"/>
        </w:trPr>
        <w:tc>
          <w:tcPr>
            <w:tcW w:w="1330" w:type="dxa"/>
            <w:vAlign w:val="center"/>
          </w:tcPr>
          <w:p>
            <w:pPr>
              <w:spacing w:line="240" w:lineRule="atLeast"/>
              <w:jc w:val="center"/>
              <w:rPr>
                <w:rFonts w:asciiTheme="minorEastAsia" w:hAnsiTheme="minorEastAsia" w:eastAsiaTheme="minorEastAsia"/>
                <w:color w:val="auto"/>
                <w:sz w:val="24"/>
                <w:szCs w:val="24"/>
                <w:highlight w:val="none"/>
              </w:rPr>
            </w:pPr>
          </w:p>
        </w:tc>
        <w:tc>
          <w:tcPr>
            <w:tcW w:w="1741"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见附件1</w:t>
            </w:r>
          </w:p>
        </w:tc>
        <w:tc>
          <w:tcPr>
            <w:tcW w:w="984"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见附件1</w:t>
            </w:r>
          </w:p>
        </w:tc>
        <w:tc>
          <w:tcPr>
            <w:tcW w:w="1582" w:type="dxa"/>
            <w:gridSpan w:val="2"/>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见附件1</w:t>
            </w:r>
          </w:p>
        </w:tc>
        <w:tc>
          <w:tcPr>
            <w:tcW w:w="850"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见附件1</w:t>
            </w:r>
          </w:p>
        </w:tc>
        <w:tc>
          <w:tcPr>
            <w:tcW w:w="1559"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年 月 日</w:t>
            </w:r>
          </w:p>
        </w:tc>
        <w:tc>
          <w:tcPr>
            <w:tcW w:w="1567" w:type="dxa"/>
            <w:vAlign w:val="center"/>
          </w:tcPr>
          <w:p>
            <w:pPr>
              <w:spacing w:line="240" w:lineRule="atLeast"/>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268" w:hRule="atLeast"/>
          <w:jc w:val="center"/>
        </w:trPr>
        <w:tc>
          <w:tcPr>
            <w:tcW w:w="9613" w:type="dxa"/>
            <w:gridSpan w:val="8"/>
            <w:vAlign w:val="center"/>
          </w:tcPr>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合同总价（含税）：人民币（小写）</w:t>
            </w:r>
          </w:p>
          <w:p>
            <w:pPr>
              <w:spacing w:line="240" w:lineRule="atLeast"/>
              <w:ind w:firstLine="2040" w:firstLineChars="85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人民币（大写）</w:t>
            </w:r>
          </w:p>
          <w:p>
            <w:pPr>
              <w:spacing w:line="240" w:lineRule="atLeast"/>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备注：</w:t>
            </w:r>
          </w:p>
          <w:p>
            <w:pPr>
              <w:spacing w:line="240" w:lineRule="atLeast"/>
              <w:jc w:val="lef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本项目为“交钥匙工程”，上述合同总价为“包干价”，包括但不限于：乙方为履行合同所需的货款、技术资料费、安装调试费、运输费、保险费、包装费、装卸费及与所有税费。乙方投标时已充分考虑到所有费用，甲方后续不额外支付任何费用。</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2.本合同技术参数详见附件，甲方用户单位已逐页确认，符合其采购需求。</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3.税率为：</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1268" w:hRule="atLeast"/>
          <w:jc w:val="center"/>
        </w:trPr>
        <w:tc>
          <w:tcPr>
            <w:tcW w:w="9613" w:type="dxa"/>
            <w:gridSpan w:val="8"/>
            <w:vAlign w:val="center"/>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一、质量要求和技术标准。乙方提供的商品必须是全新的（按招标文件规定的服务性能、技术要求、质量标准），完全符合国家有关技术标准。乙方的质量保证及售后服务承诺如下：</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（一）质保期限：</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年。自验收合格之日起计算。</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（二）保修范围：上述列表所示的所有服务均属保修范围。质保期限内，乙方应当对甲方正常使用中、非人为原因、基于不可抗力出现质量及安全问题的服务，负责处理解决并承担一切费用。</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（三）服务措施：</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 质保期限内，乙方提供的服务因服务本身的质量问题发生故障，乙方应负责免费更换。对达不到技术要求者，甲方可根据实际情况，选择按以下第</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类办法处理：</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（1）更换：由乙方承担所发生的全部费用。</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（2）退货处理：乙方应退还甲方支付的全部合同款，同时应承担该服务的直接费用（运输、保险、检验、货款利息及银行手续费等）。</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 质保期限内，乙方应当即时采取以下措施，并承担所有费用：</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（1）电话或网络在线咨询：甲方用户单位求助时，乙方应当立即响应，提供相关的技术支持，帮助用户单位迅速解决问题。</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上门服务：当不能解决产品问题时，乙方应当在24小时内到达甲方现场处置，确保产品正常工作；到达后，无法在8小时内解决的，应当在24小时内提供符合质量标准且确保正常工作的备用品，协助甲方用户单位正常开展科研教学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（四）质保期后服务： </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 继续提供或网络在线咨询；乙方接到甲方的求助后应当立即响应，提供技术咨询服务。</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 继续提供上门服务：在无法解决时，乙方应当于24小时内达到甲方现场处置。若维护维修甲方服务涉及费用，乙方应当按成本价及最惠价据实收取原厂零配件费、服务费；若甲方需要添购，乙方应当依法与甲方另行达成补充协议。</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 继续提供技术升级：乙方向甲方交付服务所附随的所有软件，乙方终身提供免费维护、升级服务。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二、随机备品、附件、工具数量及供应方法：</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服务所附的备件、产品使用说明书、技术资料及配套工具应当随服务主体一次性交付至甲方，由甲方用户单位统一保管。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三、交提货方式：</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本合同范围的服务，应由乙方直接供应，不得转让他人供应；非经甲方书面同意，乙方不得将本合同范围的服务全部或部分分包给他人供应；如有转让和未经甲方书面同意的分包行为，甲方有权解除合同，没收履约保证金并追究乙方的违约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（二）乙方应当在本合同签订后</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个自然日内，将服务交付至甲方用户单位指定地点并完成安装调试。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四、验收标准、方法：</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（一）交付服务时，乙方应与甲方用户单位共同核验，做好验收记录并完成双方签字确认。</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（二）乙方应随服务提供涉及的相关产品合格证、质量证明文件、检验报告等资料。</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乙方所交服务的质量指标不得低于甲方招标文件要求、乙方提供样品的质量指标、乙方承诺的质量指标或有关国家标准（标准不一致的，以高标准计）；售后服务质量要求，按招标文件和投标文件的内容执行。乙方交货时，甲方可根据需要随机抽取一部分服务送有关权威检测部门检测；如检测不合格，乙方应承担甲方所支出的检测费用并向甲方赔偿一切损失。</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（四）如验收不合格，甲方有权解除本合同并没收履约保证金；乙方应当赔偿甲方一切损失，并返还甲方已支付的全部合同款，并接受被全市通报、被取消两年政府采购供应商资格的处理结果。</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五）甲方对乙方交付服务的验收仅为表面验收，验收合格不视为乙方对质量问题免责；甲方验收时未提出异议不视为对乙方服务质量合格之认定。若乙方服务存在任何质量问题，甲方有权要求乙方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五、付款方式：</w:t>
            </w:r>
          </w:p>
          <w:p>
            <w:pPr>
              <w:pStyle w:val="32"/>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（一）甲方按以下第</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种方式，向乙方付款。</w:t>
            </w:r>
          </w:p>
          <w:p>
            <w:pPr>
              <w:pStyle w:val="32"/>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1. 银行转账。2. 现金支票。 </w:t>
            </w:r>
          </w:p>
          <w:p>
            <w:pPr>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付款方法：服务全部到货并验收合格后，乙方按合同总价的5%向甲方交纳质保金，甲方向乙方按合同总价支付价款，乙方未支付质保金的，甲方有权拒绝支付货款。质保期内乙方提供的服务无质量问题且没有其他违约行为，质保期届满后由甲方全额无息退还。</w:t>
            </w:r>
          </w:p>
          <w:p>
            <w:pPr>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甲方要求乙方提供的履约保证金，其收取和退还应按招标文件相关要求处理（合同履行期内，履约保证金减少的，乙方应当补足，逾期未补足的视为违约）。涉及提供担保的，按《中华人民共和国民法典》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六、合同争议及违约责任：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（一）乙方在投标时未明确提出异议，视为完全响应甲方在本合同内的各项要求。</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乙方应按本合同第一条“质量要求和技术标准”提供服务。若乙方超过7个自然日未履行上述服务承诺的，或者在紧急情况下未在甲方指定时间内履行服务承诺的，甲方有权自行联系其他单位提供维保服务，涉及的费用从乙方缴纳的质保金或履约保证金内扣除。若质保金或履约保证金不足以抵扣维保服务费用的，甲方有权向乙方主张进行补足。</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乙方应当按第三条“交提货方式”按时交付服务。若乙方逾期，每延期1个自然日应当按合同总价的1‰向甲方支付违约金（最高不超过合同总价的10%），甲方可在乙方缴纳的质保金或履约保证金内扣除；若乙方逾期超过</w:t>
            </w:r>
            <w:r>
              <w:rPr>
                <w:rFonts w:hint="eastAsia" w:asciiTheme="minorEastAsia" w:hAnsiTheme="minorEastAsia" w:eastAsiaTheme="minorEastAsia"/>
                <w:color w:val="auto"/>
                <w:sz w:val="24"/>
                <w:szCs w:val="24"/>
                <w:highlight w:val="none"/>
                <w:u w:val="single"/>
              </w:rPr>
              <w:t>60</w:t>
            </w:r>
            <w:r>
              <w:rPr>
                <w:rFonts w:hint="eastAsia" w:asciiTheme="minorEastAsia" w:hAnsiTheme="minorEastAsia" w:eastAsiaTheme="minorEastAsia"/>
                <w:color w:val="auto"/>
                <w:sz w:val="24"/>
                <w:szCs w:val="24"/>
                <w:highlight w:val="none"/>
              </w:rPr>
              <w:t>个自然日的，甲方有权解除本合同，没收全部履约保证金，并要求乙方返还甲方已支付款项，赔偿甲方全部损失。</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乙方应当按照本合同列明的服务名称、规格、数量全面履行义务。若乙方向甲方交付的服务与本合同不符，甲方有权拒绝接收并不延长交付时间，乙方应承担由此造成甲方的损失以及逾期交付的违约责任。若甲方同意让步接收的，除要求乙方赔偿损失外，甲方有权根据服务的疵劣和受损程度要求乙方降低服务价格并承担违约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四）甲方、乙方中的任何一方违约，不履行合同义务或者履行合同义务不符合约定的，应当向守约方承担继续履行、采取补救措施、赔偿损失等违约责任。乙方因过错给甲方造成损失的，或乙方超越权限行使代理权给甲方造成损失的，乙方承担赔偿损失的责任。双方都违反合同的，应当各自承担相应的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（五）履约保证金减少的，乙方未按照甲方要求补足履约保证金的，每逾期1个自然日，甲方有权要求乙方支付履约保证金总额</w:t>
            </w:r>
            <w:r>
              <w:rPr>
                <w:rFonts w:hint="eastAsia" w:asciiTheme="minorEastAsia" w:hAnsiTheme="minorEastAsia" w:eastAsiaTheme="minorEastAsia"/>
                <w:color w:val="auto"/>
                <w:sz w:val="24"/>
                <w:szCs w:val="24"/>
                <w:highlight w:val="none"/>
                <w:u w:val="single"/>
              </w:rPr>
              <w:t xml:space="preserve"> 0.1 </w:t>
            </w:r>
            <w:r>
              <w:rPr>
                <w:rFonts w:hint="eastAsia" w:asciiTheme="minorEastAsia" w:hAnsiTheme="minorEastAsia" w:eastAsiaTheme="minorEastAsia"/>
                <w:color w:val="auto"/>
                <w:sz w:val="24"/>
                <w:szCs w:val="24"/>
                <w:highlight w:val="none"/>
              </w:rPr>
              <w:t>%的违约金；逾期超过</w:t>
            </w:r>
            <w:r>
              <w:rPr>
                <w:rFonts w:hint="eastAsia" w:asciiTheme="minorEastAsia" w:hAnsiTheme="minorEastAsia" w:eastAsiaTheme="minorEastAsia"/>
                <w:color w:val="auto"/>
                <w:sz w:val="24"/>
                <w:szCs w:val="24"/>
                <w:highlight w:val="none"/>
                <w:u w:val="single"/>
              </w:rPr>
              <w:t xml:space="preserve"> 60 </w:t>
            </w:r>
            <w:r>
              <w:rPr>
                <w:rFonts w:hint="eastAsia" w:asciiTheme="minorEastAsia" w:hAnsiTheme="minorEastAsia" w:eastAsiaTheme="minorEastAsia"/>
                <w:color w:val="auto"/>
                <w:sz w:val="24"/>
                <w:szCs w:val="24"/>
                <w:highlight w:val="none"/>
              </w:rPr>
              <w:t>个自然日，甲方有权解除合同，要求乙方支付前述违约金并没收剩余的履约保证金。</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六）因台风、地震、水灾、政府政策变化、传染性疾病以及其它非一方责任造成的，不能预见、不能避免、并不能克服的客观情况为不可抗力。因不可抗力致使本经济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七）乙方承诺本合同履行期间持续具有履行本经济合同所需合法、有效资质，否则视为重大违约，甲方有权立即解除本合同，已交付的费用乙方须无条件全额退还，甲方没收全部履约保证金并追究乙方违约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（八）甲乙双方若不能按互谅互惠原则协商解决争议，任何一方均可向重庆仲裁委员会提请仲裁。</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（十）本合同项下各违约责任相互独立，可同时、一并适用。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628" w:type="dxa"/>
            <w:gridSpan w:val="9"/>
          </w:tcPr>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七、其他约定事项：</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一）甲方招标文件及其补遗文件、乙方投标文件和承诺不可分割，与本合同具有同等法律效力。若本经济合同存在歧义或不一致，则根据如下优先次序来判断：合同签订后达成的有关会议纪要或补充文件、本经济合同、中标通知书、招标文件及其补遗文件、投标文件及其承诺，上述各项合同文件包括合同当事人就该项合同文件所作出的补充和修改，属于同一类内容的文件，应以最新签署的为准。未尽事宜，执行《中华人民共和国民法典》《中华人民共和国政府采购法》规定，由甲乙双方共商解决。</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二）甲方在中华人民共和国境内使用乙方提供的合同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（三）乙方负责及时将服务包装材料清运离开甲方所在地，由此产生的费用由乙方自行承担。</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（四）乙方向甲方申请付款时，应当按甲方财务管理要求开具增值税专用发票。若乙方未提供有效增值税专用发票的，甲方有权拒绝支付合同价款且不承担任何延迟履行的责任。</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五）本经济合同尾部载明的联系方式为一方通知对方、以及涉及诉讼或者仲裁时接收法律文书的送达地址。地址应当真实有效。任何一方送达地址变更的，应当自变更之日起5个工作日内书面通知对方。如地址有误、地址变更、未及时书面通知对方而导致法律文书送达不能的，应当自行承担后果。</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（六）本经济合同的任何修订、变更或调整，须经甲方、乙方共同书面确认。补充协议与本经济合同具有同等法律效力，不一致之处，以补充协议为准。</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（七）合同有效期：本合同有效期</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 xml:space="preserve">年（不超过叁年），自 </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 xml:space="preserve">日- </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年</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月</w:t>
            </w:r>
            <w:r>
              <w:rPr>
                <w:rFonts w:hint="eastAsia"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rPr>
              <w:t>日。</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（八）本合同</w:t>
            </w:r>
            <w:r>
              <w:rPr>
                <w:rFonts w:hint="eastAsia" w:asciiTheme="minorEastAsia" w:hAnsiTheme="minorEastAsia" w:eastAsiaTheme="minorEastAsia"/>
                <w:color w:val="auto"/>
                <w:sz w:val="24"/>
                <w:szCs w:val="24"/>
                <w:highlight w:val="none"/>
                <w:u w:val="single"/>
              </w:rPr>
              <w:t xml:space="preserve"> 壹 </w:t>
            </w:r>
            <w:r>
              <w:rPr>
                <w:rFonts w:hint="eastAsia" w:asciiTheme="minorEastAsia" w:hAnsiTheme="minorEastAsia" w:eastAsiaTheme="minorEastAsia"/>
                <w:color w:val="auto"/>
                <w:sz w:val="24"/>
                <w:szCs w:val="24"/>
                <w:highlight w:val="none"/>
              </w:rPr>
              <w:t>式</w:t>
            </w:r>
            <w:r>
              <w:rPr>
                <w:rFonts w:hint="eastAsia" w:asciiTheme="minorEastAsia" w:hAnsiTheme="minorEastAsia" w:eastAsiaTheme="minorEastAsia"/>
                <w:color w:val="auto"/>
                <w:sz w:val="24"/>
                <w:szCs w:val="24"/>
                <w:highlight w:val="none"/>
                <w:u w:val="single"/>
              </w:rPr>
              <w:t xml:space="preserve"> 陆 </w:t>
            </w:r>
            <w:r>
              <w:rPr>
                <w:rFonts w:hint="eastAsia" w:asciiTheme="minorEastAsia" w:hAnsiTheme="minorEastAsia" w:eastAsiaTheme="minorEastAsia"/>
                <w:color w:val="auto"/>
                <w:sz w:val="24"/>
                <w:szCs w:val="24"/>
                <w:highlight w:val="none"/>
              </w:rPr>
              <w:t>份，甲方执正本</w:t>
            </w:r>
            <w:r>
              <w:rPr>
                <w:rFonts w:hint="eastAsia" w:asciiTheme="minorEastAsia" w:hAnsiTheme="minorEastAsia" w:eastAsiaTheme="minorEastAsia"/>
                <w:color w:val="auto"/>
                <w:sz w:val="24"/>
                <w:szCs w:val="24"/>
                <w:highlight w:val="none"/>
                <w:u w:val="single"/>
              </w:rPr>
              <w:t xml:space="preserve"> 壹 </w:t>
            </w:r>
            <w:r>
              <w:rPr>
                <w:rFonts w:hint="eastAsia" w:asciiTheme="minorEastAsia" w:hAnsiTheme="minorEastAsia" w:eastAsiaTheme="minorEastAsia"/>
                <w:color w:val="auto"/>
                <w:sz w:val="24"/>
                <w:szCs w:val="24"/>
                <w:highlight w:val="none"/>
              </w:rPr>
              <w:t xml:space="preserve">份、副本 </w:t>
            </w:r>
            <w:r>
              <w:rPr>
                <w:rFonts w:hint="eastAsia" w:asciiTheme="minorEastAsia" w:hAnsiTheme="minorEastAsia" w:eastAsiaTheme="minorEastAsia"/>
                <w:color w:val="auto"/>
                <w:sz w:val="24"/>
                <w:szCs w:val="24"/>
                <w:highlight w:val="none"/>
                <w:u w:val="single"/>
              </w:rPr>
              <w:t xml:space="preserve">肆 </w:t>
            </w:r>
            <w:r>
              <w:rPr>
                <w:rFonts w:hint="eastAsia" w:asciiTheme="minorEastAsia" w:hAnsiTheme="minorEastAsia" w:eastAsiaTheme="minorEastAsia"/>
                <w:color w:val="auto"/>
                <w:sz w:val="24"/>
                <w:szCs w:val="24"/>
                <w:highlight w:val="none"/>
              </w:rPr>
              <w:t>份，乙方执正本</w:t>
            </w:r>
            <w:r>
              <w:rPr>
                <w:rFonts w:hint="eastAsia" w:asciiTheme="minorEastAsia" w:hAnsiTheme="minorEastAsia" w:eastAsiaTheme="minorEastAsia"/>
                <w:color w:val="auto"/>
                <w:sz w:val="24"/>
                <w:szCs w:val="24"/>
                <w:highlight w:val="none"/>
                <w:u w:val="single"/>
              </w:rPr>
              <w:t xml:space="preserve"> 壹</w:t>
            </w:r>
            <w:r>
              <w:rPr>
                <w:rFonts w:hint="eastAsia" w:asciiTheme="minorEastAsia" w:hAnsiTheme="minorEastAsia" w:eastAsiaTheme="minorEastAsia"/>
                <w:color w:val="auto"/>
                <w:sz w:val="24"/>
                <w:szCs w:val="24"/>
                <w:highlight w:val="none"/>
              </w:rPr>
              <w:t xml:space="preserve"> 份，均具备同等法律效力。</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（九）本经济合同自当事人法定代表人或委托代理人签字并加盖双方合同专用章或公章后生效。</w:t>
            </w:r>
          </w:p>
          <w:p>
            <w:pPr>
              <w:spacing w:line="240" w:lineRule="atLeas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jc w:val="center"/>
        </w:trPr>
        <w:tc>
          <w:tcPr>
            <w:tcW w:w="4772" w:type="dxa"/>
            <w:gridSpan w:val="4"/>
          </w:tcPr>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甲方（需方）：重庆医科大学</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地址：重庆市渝中区医学院路1号</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统一社会信用代码：</w:t>
            </w:r>
            <w:r>
              <w:rPr>
                <w:rFonts w:asciiTheme="minorEastAsia" w:hAnsiTheme="minorEastAsia" w:eastAsiaTheme="minorEastAsia"/>
                <w:color w:val="auto"/>
                <w:sz w:val="24"/>
                <w:szCs w:val="24"/>
                <w:highlight w:val="none"/>
              </w:rPr>
              <w:t>12500000450401805G</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开户行：中国建设银行股份有限公司重庆高新区分行</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账号：</w:t>
            </w:r>
            <w:r>
              <w:rPr>
                <w:rFonts w:asciiTheme="minorEastAsia" w:hAnsiTheme="minorEastAsia" w:eastAsiaTheme="minorEastAsia"/>
                <w:color w:val="auto"/>
                <w:sz w:val="24"/>
                <w:szCs w:val="24"/>
                <w:highlight w:val="none"/>
              </w:rPr>
              <w:t>50001033600050008726</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法定代表人：</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授权代表人：</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联系电话：（请备注用户单位联系人电话）</w:t>
            </w:r>
          </w:p>
          <w:p>
            <w:pPr>
              <w:spacing w:line="240" w:lineRule="atLeast"/>
              <w:rPr>
                <w:rFonts w:asciiTheme="minorEastAsia" w:hAnsiTheme="minorEastAsia" w:eastAsiaTheme="minorEastAsia"/>
                <w:color w:val="auto"/>
                <w:sz w:val="24"/>
                <w:szCs w:val="24"/>
                <w:highlight w:val="none"/>
              </w:rPr>
            </w:pPr>
          </w:p>
        </w:tc>
        <w:tc>
          <w:tcPr>
            <w:tcW w:w="4856" w:type="dxa"/>
            <w:gridSpan w:val="5"/>
          </w:tcPr>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乙方（供方）：</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地址：</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统一社会信用代码：</w:t>
            </w: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开户行：</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账号：</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法定代表人：</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授权代表人：</w:t>
            </w: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p>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联系电话：</w:t>
            </w:r>
          </w:p>
          <w:p>
            <w:pPr>
              <w:spacing w:line="240" w:lineRule="atLeast"/>
              <w:rPr>
                <w:rFonts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628" w:type="dxa"/>
            <w:gridSpan w:val="9"/>
          </w:tcPr>
          <w:p>
            <w:pPr>
              <w:spacing w:line="240" w:lineRule="atLeast"/>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备注：</w:t>
            </w:r>
          </w:p>
        </w:tc>
      </w:tr>
    </w:tbl>
    <w:p>
      <w:pPr>
        <w:spacing w:line="560" w:lineRule="exact"/>
        <w:jc w:val="left"/>
        <w:rPr>
          <w:rFonts w:asciiTheme="minorEastAsia" w:hAnsiTheme="minorEastAsia" w:eastAsiaTheme="minorEastAsia"/>
          <w:color w:val="auto"/>
          <w:sz w:val="24"/>
          <w:szCs w:val="24"/>
          <w:highlight w:val="none"/>
        </w:rPr>
      </w:pPr>
    </w:p>
    <w:p>
      <w:pPr>
        <w:spacing w:line="500" w:lineRule="exact"/>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签约时间：           年   月   日      签约地点：重庆医科大学袁家岗校区</w:t>
      </w:r>
    </w:p>
    <w:p>
      <w:pPr>
        <w:spacing w:line="560" w:lineRule="exact"/>
        <w:jc w:val="left"/>
        <w:rPr>
          <w:rFonts w:asciiTheme="minorEastAsia" w:hAnsiTheme="minorEastAsia" w:eastAsiaTheme="minorEastAsia"/>
          <w:color w:val="auto"/>
          <w:sz w:val="24"/>
          <w:szCs w:val="24"/>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附件1</w:t>
      </w:r>
    </w:p>
    <w:p>
      <w:pPr>
        <w:spacing w:line="560" w:lineRule="exact"/>
        <w:jc w:val="center"/>
        <w:rPr>
          <w:rFonts w:asciiTheme="minorEastAsia" w:hAnsiTheme="minorEastAsia" w:eastAsiaTheme="minorEastAsia"/>
          <w:b/>
          <w:color w:val="auto"/>
          <w:szCs w:val="28"/>
          <w:highlight w:val="none"/>
        </w:rPr>
      </w:pPr>
    </w:p>
    <w:p>
      <w:pPr>
        <w:spacing w:line="560" w:lineRule="exact"/>
        <w:jc w:val="center"/>
        <w:rPr>
          <w:rFonts w:asciiTheme="minorEastAsia" w:hAnsiTheme="minorEastAsia" w:eastAsiaTheme="minorEastAsia"/>
          <w:b/>
          <w:color w:val="auto"/>
          <w:szCs w:val="28"/>
          <w:highlight w:val="none"/>
        </w:rPr>
      </w:pPr>
      <w:r>
        <w:rPr>
          <w:rFonts w:hint="eastAsia" w:asciiTheme="minorEastAsia" w:hAnsiTheme="minorEastAsia" w:eastAsiaTheme="minorEastAsia"/>
          <w:b/>
          <w:color w:val="auto"/>
          <w:szCs w:val="28"/>
          <w:highlight w:val="none"/>
        </w:rPr>
        <w:t>商务参数明细</w:t>
      </w:r>
    </w:p>
    <w:tbl>
      <w:tblPr>
        <w:tblStyle w:val="5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3118"/>
        <w:gridCol w:w="1276"/>
        <w:gridCol w:w="1751"/>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221"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货物名称</w:t>
            </w:r>
          </w:p>
        </w:tc>
        <w:tc>
          <w:tcPr>
            <w:tcW w:w="3118"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规格型号</w:t>
            </w:r>
          </w:p>
        </w:tc>
        <w:tc>
          <w:tcPr>
            <w:tcW w:w="1276"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数量</w:t>
            </w:r>
          </w:p>
        </w:tc>
        <w:tc>
          <w:tcPr>
            <w:tcW w:w="1751"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单价（不变价）</w:t>
            </w:r>
          </w:p>
        </w:tc>
        <w:tc>
          <w:tcPr>
            <w:tcW w:w="1262" w:type="dxa"/>
            <w:vAlign w:val="center"/>
          </w:tcPr>
          <w:p>
            <w:pPr>
              <w:spacing w:line="360" w:lineRule="auto"/>
              <w:jc w:val="center"/>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3118"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76"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75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62"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3118"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76"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75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62"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3118"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76"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75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62"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3118"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76"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75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62"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2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3118"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76"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751"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c>
          <w:tcPr>
            <w:tcW w:w="1262" w:type="dxa"/>
            <w:vAlign w:val="center"/>
          </w:tcPr>
          <w:p>
            <w:pPr>
              <w:widowControl/>
              <w:adjustRightInd w:val="0"/>
              <w:spacing w:line="360" w:lineRule="auto"/>
              <w:jc w:val="center"/>
              <w:textAlignment w:val="center"/>
              <w:rPr>
                <w:rFonts w:cs="宋体" w:asciiTheme="minorEastAsia" w:hAnsiTheme="minorEastAsia" w:eastAsiaTheme="minorEastAsia"/>
                <w:color w:val="auto"/>
                <w:kern w:val="0"/>
                <w:sz w:val="24"/>
                <w:szCs w:val="24"/>
                <w:highlight w:val="none"/>
              </w:rPr>
            </w:pPr>
          </w:p>
        </w:tc>
      </w:tr>
    </w:tbl>
    <w:p>
      <w:pPr>
        <w:rPr>
          <w:rFonts w:asciiTheme="minorEastAsia" w:hAnsiTheme="minorEastAsia" w:eastAsiaTheme="minorEastAsia"/>
          <w:color w:val="auto"/>
          <w:highlight w:val="none"/>
        </w:rPr>
      </w:pPr>
    </w:p>
    <w:p>
      <w:pPr>
        <w:rPr>
          <w:rFonts w:asciiTheme="minorEastAsia" w:hAnsiTheme="minorEastAsia" w:eastAsiaTheme="minorEastAsia"/>
          <w:color w:val="auto"/>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p>
    <w:p>
      <w:pPr>
        <w:spacing w:line="560" w:lineRule="exact"/>
        <w:jc w:val="lef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附件2</w:t>
      </w:r>
    </w:p>
    <w:p>
      <w:pPr>
        <w:spacing w:line="560" w:lineRule="exact"/>
        <w:jc w:val="center"/>
        <w:rPr>
          <w:rFonts w:asciiTheme="minorEastAsia" w:hAnsiTheme="minorEastAsia" w:eastAsiaTheme="minorEastAsia"/>
          <w:b/>
          <w:color w:val="auto"/>
          <w:szCs w:val="28"/>
          <w:highlight w:val="none"/>
        </w:rPr>
      </w:pPr>
      <w:r>
        <w:rPr>
          <w:rFonts w:hint="eastAsia" w:asciiTheme="minorEastAsia" w:hAnsiTheme="minorEastAsia" w:eastAsiaTheme="minorEastAsia"/>
          <w:b/>
          <w:color w:val="auto"/>
          <w:szCs w:val="28"/>
          <w:highlight w:val="none"/>
        </w:rPr>
        <w:t>技术参数明细</w:t>
      </w:r>
    </w:p>
    <w:tbl>
      <w:tblPr>
        <w:tblStyle w:val="57"/>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706" w:type="dxa"/>
            <w:vAlign w:val="center"/>
          </w:tcPr>
          <w:p>
            <w:pPr>
              <w:adjustRightInd w:val="0"/>
              <w:snapToGrid w:val="0"/>
              <w:spacing w:line="360" w:lineRule="auto"/>
              <w:jc w:val="center"/>
              <w:outlineLvl w:val="2"/>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序号</w:t>
            </w:r>
          </w:p>
        </w:tc>
        <w:tc>
          <w:tcPr>
            <w:tcW w:w="1297" w:type="dxa"/>
            <w:vAlign w:val="center"/>
          </w:tcPr>
          <w:p>
            <w:pPr>
              <w:adjustRightInd w:val="0"/>
              <w:snapToGrid w:val="0"/>
              <w:spacing w:line="360" w:lineRule="auto"/>
              <w:jc w:val="center"/>
              <w:outlineLvl w:val="2"/>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商品名称</w:t>
            </w:r>
          </w:p>
        </w:tc>
        <w:tc>
          <w:tcPr>
            <w:tcW w:w="7514" w:type="dxa"/>
            <w:noWrap/>
            <w:vAlign w:val="center"/>
          </w:tcPr>
          <w:p>
            <w:pPr>
              <w:adjustRightInd w:val="0"/>
              <w:snapToGrid w:val="0"/>
              <w:spacing w:line="360" w:lineRule="auto"/>
              <w:jc w:val="center"/>
              <w:outlineLvl w:val="2"/>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1297"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7514" w:type="dxa"/>
            <w:vAlign w:val="center"/>
          </w:tcPr>
          <w:p>
            <w:pPr>
              <w:adjustRightInd w:val="0"/>
              <w:spacing w:line="288" w:lineRule="auto"/>
              <w:textAlignment w:val="center"/>
              <w:rPr>
                <w:rFonts w:cs="宋体"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1297"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7514" w:type="dxa"/>
            <w:vAlign w:val="center"/>
          </w:tcPr>
          <w:p>
            <w:pPr>
              <w:adjustRightInd w:val="0"/>
              <w:spacing w:line="288" w:lineRule="auto"/>
              <w:textAlignment w:val="center"/>
              <w:rPr>
                <w:rFonts w:cs="宋体"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706"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1297"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7514" w:type="dxa"/>
            <w:vAlign w:val="center"/>
          </w:tcPr>
          <w:p>
            <w:pPr>
              <w:adjustRightInd w:val="0"/>
              <w:spacing w:line="288" w:lineRule="auto"/>
              <w:textAlignment w:val="center"/>
              <w:rPr>
                <w:rFonts w:cs="宋体"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1297"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7514" w:type="dxa"/>
            <w:vAlign w:val="center"/>
          </w:tcPr>
          <w:p>
            <w:pPr>
              <w:adjustRightInd w:val="0"/>
              <w:spacing w:line="288" w:lineRule="auto"/>
              <w:textAlignment w:val="center"/>
              <w:rPr>
                <w:rFonts w:cs="宋体" w:asciiTheme="minorEastAsia" w:hAnsiTheme="minorEastAsia" w:eastAsia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1297" w:type="dxa"/>
            <w:vAlign w:val="center"/>
          </w:tcPr>
          <w:p>
            <w:pPr>
              <w:adjustRightInd w:val="0"/>
              <w:snapToGrid w:val="0"/>
              <w:spacing w:line="360" w:lineRule="auto"/>
              <w:outlineLvl w:val="2"/>
              <w:rPr>
                <w:rFonts w:asciiTheme="minorEastAsia" w:hAnsiTheme="minorEastAsia" w:eastAsiaTheme="minorEastAsia"/>
                <w:color w:val="auto"/>
                <w:sz w:val="24"/>
                <w:szCs w:val="24"/>
                <w:highlight w:val="none"/>
              </w:rPr>
            </w:pPr>
          </w:p>
        </w:tc>
        <w:tc>
          <w:tcPr>
            <w:tcW w:w="7514" w:type="dxa"/>
            <w:vAlign w:val="center"/>
          </w:tcPr>
          <w:p>
            <w:pPr>
              <w:adjustRightInd w:val="0"/>
              <w:spacing w:line="288" w:lineRule="auto"/>
              <w:textAlignment w:val="center"/>
              <w:rPr>
                <w:rFonts w:cs="宋体" w:asciiTheme="minorEastAsia" w:hAnsiTheme="minorEastAsia" w:eastAsiaTheme="minorEastAsia"/>
                <w:color w:val="auto"/>
                <w:sz w:val="24"/>
                <w:szCs w:val="24"/>
                <w:highlight w:val="none"/>
              </w:rPr>
            </w:pPr>
          </w:p>
        </w:tc>
      </w:tr>
    </w:tbl>
    <w:p>
      <w:pPr>
        <w:rPr>
          <w:color w:val="auto"/>
          <w:highlight w:val="none"/>
        </w:rPr>
      </w:pPr>
    </w:p>
    <w:p>
      <w:pPr>
        <w:tabs>
          <w:tab w:val="left" w:pos="9000"/>
        </w:tabs>
        <w:spacing w:line="560" w:lineRule="exact"/>
        <w:jc w:val="center"/>
        <w:rPr>
          <w:rFonts w:asciiTheme="minorEastAsia" w:hAnsiTheme="minorEastAsia" w:eastAsiaTheme="minorEastAsia"/>
          <w:color w:val="auto"/>
          <w:szCs w:val="28"/>
          <w:highlight w:val="none"/>
        </w:rPr>
        <w:sectPr>
          <w:footerReference r:id="rId14" w:type="default"/>
          <w:footerReference r:id="rId15" w:type="even"/>
          <w:pgSz w:w="11907" w:h="16840"/>
          <w:pgMar w:top="1134" w:right="1191" w:bottom="1134" w:left="1304" w:header="964" w:footer="992" w:gutter="0"/>
          <w:pgNumType w:fmt="numberInDash"/>
          <w:cols w:space="720" w:num="1"/>
          <w:docGrid w:linePitch="312" w:charSpace="0"/>
        </w:sectPr>
      </w:pPr>
    </w:p>
    <w:p>
      <w:pPr>
        <w:pStyle w:val="3"/>
        <w:spacing w:before="0" w:after="0" w:line="560" w:lineRule="exact"/>
        <w:jc w:val="center"/>
        <w:rPr>
          <w:rFonts w:asciiTheme="minorEastAsia" w:hAnsiTheme="minorEastAsia" w:eastAsiaTheme="minorEastAsia"/>
          <w:b/>
          <w:bCs/>
          <w:color w:val="auto"/>
          <w:sz w:val="44"/>
          <w:szCs w:val="44"/>
          <w:highlight w:val="none"/>
        </w:rPr>
      </w:pPr>
      <w:bookmarkStart w:id="79" w:name="_Hlt41879464"/>
      <w:bookmarkEnd w:id="79"/>
      <w:bookmarkStart w:id="80" w:name="_Toc105060913"/>
      <w:r>
        <w:rPr>
          <w:rFonts w:hint="eastAsia" w:asciiTheme="minorEastAsia" w:hAnsiTheme="minorEastAsia" w:eastAsiaTheme="minorEastAsia"/>
          <w:b/>
          <w:bCs/>
          <w:color w:val="auto"/>
          <w:sz w:val="44"/>
          <w:szCs w:val="44"/>
          <w:highlight w:val="none"/>
        </w:rPr>
        <w:t>第七篇  响应文件编制要求</w:t>
      </w:r>
      <w:bookmarkEnd w:id="80"/>
    </w:p>
    <w:p>
      <w:pPr>
        <w:spacing w:line="560" w:lineRule="exact"/>
        <w:ind w:firstLine="560" w:firstLineChars="200"/>
        <w:rPr>
          <w:rFonts w:asciiTheme="minorEastAsia" w:hAnsiTheme="minorEastAsia" w:eastAsiaTheme="minorEastAsia"/>
          <w:color w:val="auto"/>
          <w:szCs w:val="28"/>
          <w:highlight w:val="none"/>
        </w:rPr>
      </w:pP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一、经济部分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（一）竞争性磋商报价函</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（二）明细报价表</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二、服务部分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（一）服务方案</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（二）服务响应偏离表</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三、商务部分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（一）商务要求响应情况：服务期及地点、报价要求、质量保证及售后服务等。</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（二）商务响应偏离表</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（三）其它优惠服务承诺</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四、资格条件及其他</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（一）营业执照（副本）或事业单位法人证书（副本）复印件</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（二）组织机构代码证复印件</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（三）法定代表人身份证明书（格式）</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（四）法定代表人授权委托书（格式）</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（五）202</w:t>
      </w:r>
      <w:r>
        <w:rPr>
          <w:rFonts w:hint="eastAsia" w:asciiTheme="minorEastAsia" w:hAnsiTheme="minorEastAsia" w:eastAsiaTheme="minorEastAsia"/>
          <w:color w:val="auto"/>
          <w:szCs w:val="28"/>
          <w:highlight w:val="none"/>
          <w:lang w:val="en-US" w:eastAsia="zh-CN"/>
        </w:rPr>
        <w:t>1</w:t>
      </w:r>
      <w:r>
        <w:rPr>
          <w:rFonts w:hint="eastAsia" w:asciiTheme="minorEastAsia" w:hAnsiTheme="minorEastAsia" w:eastAsiaTheme="minorEastAsia"/>
          <w:color w:val="auto"/>
          <w:szCs w:val="28"/>
          <w:highlight w:val="none"/>
        </w:rPr>
        <w:t>或202</w:t>
      </w:r>
      <w:r>
        <w:rPr>
          <w:rFonts w:hint="eastAsia" w:asciiTheme="minorEastAsia" w:hAnsiTheme="minorEastAsia" w:eastAsiaTheme="minorEastAsia"/>
          <w:color w:val="auto"/>
          <w:szCs w:val="28"/>
          <w:highlight w:val="none"/>
          <w:lang w:val="en-US" w:eastAsia="zh-CN"/>
        </w:rPr>
        <w:t>2</w:t>
      </w:r>
      <w:r>
        <w:rPr>
          <w:rFonts w:hint="eastAsia" w:asciiTheme="minorEastAsia" w:hAnsiTheme="minorEastAsia" w:eastAsiaTheme="minorEastAsia"/>
          <w:color w:val="auto"/>
          <w:szCs w:val="28"/>
          <w:highlight w:val="none"/>
        </w:rPr>
        <w:t>年度财务状况报告（表）复印件，本年度新成立的公司提供提交响应文件截止时间前一个月的财务状况报告（表）复印件</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（六）书面声明（格式）</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（七）税务登记证（副本）复印件和社会保险缴纳证明材料</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（八）特定资格条件证书或证明文件</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说明：供应商按“多证合一”登记制度办理营业执照的，组织机构代码证和税务登记证以供应商所提供的法人营业执照（副本）复印件为准</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五、其他应提供的资料</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（一）供应商小微企业证明文件（非小微企业不提供）</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（二）联合体共同联合协议（如果有）</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（三）其他资料</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其他与项目有关的资料</w:t>
      </w:r>
    </w:p>
    <w:p>
      <w:pPr>
        <w:snapToGrid w:val="0"/>
        <w:spacing w:line="560" w:lineRule="exact"/>
        <w:rPr>
          <w:rFonts w:asciiTheme="minorEastAsia" w:hAnsiTheme="minorEastAsia" w:eastAsiaTheme="minorEastAsia"/>
          <w:color w:val="auto"/>
          <w:szCs w:val="28"/>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ind w:firstLine="560" w:firstLineChars="200"/>
        <w:rPr>
          <w:rFonts w:asciiTheme="minorEastAsia" w:hAnsiTheme="minorEastAsia" w:eastAsiaTheme="minorEastAsia"/>
          <w:b w:val="0"/>
          <w:color w:val="auto"/>
          <w:sz w:val="28"/>
          <w:szCs w:val="28"/>
          <w:highlight w:val="none"/>
        </w:rPr>
      </w:pPr>
      <w:bookmarkStart w:id="81" w:name="_Toc313888360"/>
      <w:bookmarkStart w:id="82" w:name="_Toc105060914"/>
      <w:bookmarkStart w:id="83" w:name="_Toc313008356"/>
      <w:bookmarkStart w:id="84" w:name="_Toc342913419"/>
      <w:bookmarkStart w:id="85" w:name="_Toc283382454"/>
      <w:bookmarkStart w:id="86" w:name="_Toc12789073"/>
      <w:r>
        <w:rPr>
          <w:rFonts w:hint="eastAsia" w:asciiTheme="minorEastAsia" w:hAnsiTheme="minorEastAsia" w:eastAsiaTheme="minorEastAsia"/>
          <w:b w:val="0"/>
          <w:color w:val="auto"/>
          <w:sz w:val="28"/>
          <w:szCs w:val="28"/>
          <w:highlight w:val="none"/>
        </w:rPr>
        <w:t>一、经济部分</w:t>
      </w:r>
      <w:bookmarkEnd w:id="81"/>
      <w:bookmarkEnd w:id="82"/>
      <w:bookmarkEnd w:id="83"/>
      <w:bookmarkEnd w:id="84"/>
    </w:p>
    <w:bookmarkEnd w:id="85"/>
    <w:bookmarkEnd w:id="86"/>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（一）竞争性磋商报价函</w:t>
      </w:r>
    </w:p>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竞争性磋商报价函</w:t>
      </w:r>
    </w:p>
    <w:p>
      <w:pPr>
        <w:tabs>
          <w:tab w:val="left" w:pos="6300"/>
        </w:tabs>
        <w:snapToGrid w:val="0"/>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u w:val="single"/>
        </w:rPr>
        <w:t>（采购代理机构名称）</w:t>
      </w:r>
      <w:r>
        <w:rPr>
          <w:rFonts w:hint="eastAsia" w:asciiTheme="minorEastAsia" w:hAnsiTheme="minorEastAsia" w:eastAsiaTheme="minorEastAsia"/>
          <w:color w:val="auto"/>
          <w:szCs w:val="28"/>
          <w:highlight w:val="none"/>
        </w:rPr>
        <w:t>：</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我方收到____________________________（磋商项目名称）的竞争性磋商文件，经详细研究，决定参加该项目的磋商。</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1.愿意按照竞争性磋商文件中的一切要求，提供本项目的服务，初始报价为人民币大写：</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元整；人民币小写：</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元。以我公司最后报价为准。</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2.我方现提交的响应文件为：响应文件正本</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份，副本</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份，电子文档</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份。</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3.我方承诺：本次磋商的有效期为90天。</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4.我方完全理解和接受贵方竞争性磋商文件的一切规定和要求及评审办法。</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5.在整个竞争性磋商过程中，我方若有违规行为，接受按照《中华人民共和国政府采购法》和《竞争性磋商文件》之规定给予惩罚。</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6.我方若成为成交供应商，将按照最终磋商结果签订合同，并且严格履行合同义务。本承诺函将成为合同不可分割的一部分，与合同具有同等的法律效力。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7.如果我方成为成交供应商，保证在接到成交通知书后，向采购代理机构和重庆联合产权交易所集团股份有限公司竞争性磋商文件规定的采购代理服务费和交易服务费。</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8.我方未为采购项目提供整体设计、规范编制或者项目管理、监理、检测等服务。</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地址：  </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电话：                                     传真：</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网址：                                     邮编：</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联系人：</w:t>
      </w:r>
    </w:p>
    <w:p>
      <w:pPr>
        <w:snapToGrid w:val="0"/>
        <w:spacing w:line="560" w:lineRule="exact"/>
        <w:ind w:firstLine="560" w:firstLineChars="200"/>
        <w:rPr>
          <w:rFonts w:asciiTheme="minorEastAsia" w:hAnsiTheme="minorEastAsia" w:eastAsiaTheme="minorEastAsia"/>
          <w:color w:val="auto"/>
          <w:szCs w:val="28"/>
          <w:highlight w:val="none"/>
        </w:rPr>
        <w:sectPr>
          <w:pgSz w:w="11907" w:h="16840"/>
          <w:pgMar w:top="1134" w:right="1304" w:bottom="1134" w:left="1304" w:header="851" w:footer="992" w:gutter="0"/>
          <w:pgNumType w:fmt="numberInDash"/>
          <w:cols w:space="720" w:num="1"/>
          <w:docGrid w:linePitch="380" w:charSpace="-5735"/>
        </w:sectPr>
      </w:pPr>
      <w:r>
        <w:rPr>
          <w:rFonts w:hint="eastAsia" w:asciiTheme="minorEastAsia" w:hAnsiTheme="minorEastAsia" w:eastAsiaTheme="minorEastAsia"/>
          <w:color w:val="auto"/>
          <w:szCs w:val="28"/>
          <w:highlight w:val="none"/>
        </w:rPr>
        <w:t xml:space="preserve">                                                  年   月   日</w:t>
      </w:r>
    </w:p>
    <w:p>
      <w:pPr>
        <w:tabs>
          <w:tab w:val="left" w:pos="2895"/>
        </w:tabs>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（二）明细报价表</w:t>
      </w:r>
    </w:p>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明细报价表</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项目号：                                磋商项目编号：</w:t>
      </w:r>
    </w:p>
    <w:p>
      <w:pPr>
        <w:spacing w:line="560" w:lineRule="exact"/>
        <w:rPr>
          <w:rFonts w:asciiTheme="minorEastAsia" w:hAnsiTheme="minorEastAsia" w:eastAsiaTheme="minorEastAsia"/>
          <w:color w:val="auto"/>
          <w:szCs w:val="28"/>
          <w:highlight w:val="none"/>
          <w:u w:val="single"/>
        </w:rPr>
      </w:pPr>
      <w:r>
        <w:rPr>
          <w:rFonts w:hint="eastAsia" w:asciiTheme="minorEastAsia" w:hAnsiTheme="minorEastAsia" w:eastAsiaTheme="minorEastAsia"/>
          <w:color w:val="auto"/>
          <w:szCs w:val="28"/>
          <w:highlight w:val="none"/>
        </w:rPr>
        <w:t xml:space="preserve">磋商项目名称： </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序号</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名称</w:t>
            </w:r>
          </w:p>
        </w:tc>
        <w:tc>
          <w:tcPr>
            <w:tcW w:w="312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相关信息</w:t>
            </w: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数量</w:t>
            </w: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单价</w:t>
            </w: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3</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4</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5</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6</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7</w:t>
            </w:r>
          </w:p>
        </w:tc>
        <w:tc>
          <w:tcPr>
            <w:tcW w:w="1557" w:type="dxa"/>
            <w:vAlign w:val="center"/>
          </w:tcPr>
          <w:p>
            <w:pPr>
              <w:spacing w:line="560" w:lineRule="exact"/>
              <w:jc w:val="center"/>
              <w:rPr>
                <w:rFonts w:asciiTheme="minorEastAsia" w:hAnsiTheme="minorEastAsia" w:eastAsiaTheme="minorEastAsia"/>
                <w:color w:val="auto"/>
                <w:szCs w:val="28"/>
                <w:highlight w:val="none"/>
              </w:rPr>
            </w:pP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8</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人工费</w:t>
            </w: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9</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运输费</w:t>
            </w: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10</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其他费用</w:t>
            </w: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11</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p>
        </w:tc>
        <w:tc>
          <w:tcPr>
            <w:tcW w:w="3127" w:type="dxa"/>
          </w:tcPr>
          <w:p>
            <w:pPr>
              <w:spacing w:line="560" w:lineRule="exact"/>
              <w:jc w:val="center"/>
              <w:rPr>
                <w:rFonts w:asciiTheme="minorEastAsia" w:hAnsiTheme="minorEastAsia" w:eastAsiaTheme="minorEastAsia"/>
                <w:color w:val="auto"/>
                <w:szCs w:val="28"/>
                <w:highlight w:val="none"/>
              </w:rPr>
            </w:pPr>
          </w:p>
        </w:tc>
        <w:tc>
          <w:tcPr>
            <w:tcW w:w="1235"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w:t>
            </w:r>
          </w:p>
        </w:tc>
        <w:tc>
          <w:tcPr>
            <w:tcW w:w="1235" w:type="dxa"/>
          </w:tcPr>
          <w:p>
            <w:pPr>
              <w:spacing w:line="560" w:lineRule="exact"/>
              <w:jc w:val="center"/>
              <w:rPr>
                <w:rFonts w:asciiTheme="minorEastAsia" w:hAnsiTheme="minorEastAsia" w:eastAsiaTheme="minorEastAsia"/>
                <w:color w:val="auto"/>
                <w:szCs w:val="28"/>
                <w:highlight w:val="none"/>
              </w:rPr>
            </w:pPr>
          </w:p>
        </w:tc>
        <w:tc>
          <w:tcPr>
            <w:tcW w:w="1235" w:type="dxa"/>
          </w:tcPr>
          <w:p>
            <w:pPr>
              <w:spacing w:line="560" w:lineRule="exact"/>
              <w:jc w:val="center"/>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39" w:type="dxa"/>
            <w:vAlign w:val="center"/>
          </w:tcPr>
          <w:p>
            <w:pPr>
              <w:pStyle w:val="23"/>
              <w:spacing w:line="560" w:lineRule="exact"/>
              <w:ind w:left="1680" w:hanging="560"/>
              <w:jc w:val="center"/>
              <w:outlineLvl w:val="0"/>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12</w:t>
            </w:r>
          </w:p>
        </w:tc>
        <w:tc>
          <w:tcPr>
            <w:tcW w:w="1557" w:type="dxa"/>
            <w:vAlign w:val="center"/>
          </w:tcPr>
          <w:p>
            <w:pPr>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总计</w:t>
            </w:r>
          </w:p>
        </w:tc>
        <w:tc>
          <w:tcPr>
            <w:tcW w:w="6832" w:type="dxa"/>
            <w:gridSpan w:val="4"/>
          </w:tcPr>
          <w:p>
            <w:pPr>
              <w:spacing w:line="560" w:lineRule="exact"/>
              <w:rPr>
                <w:rFonts w:asciiTheme="minorEastAsia" w:hAnsiTheme="minorEastAsia" w:eastAsiaTheme="minorEastAsia"/>
                <w:color w:val="auto"/>
                <w:szCs w:val="28"/>
                <w:highlight w:val="none"/>
              </w:rPr>
            </w:pPr>
          </w:p>
        </w:tc>
      </w:tr>
    </w:tbl>
    <w:p>
      <w:pPr>
        <w:snapToGrid w:val="0"/>
        <w:spacing w:line="560" w:lineRule="exact"/>
        <w:ind w:firstLine="560" w:firstLineChars="200"/>
        <w:rPr>
          <w:rFonts w:asciiTheme="minorEastAsia" w:hAnsiTheme="minorEastAsia" w:eastAsiaTheme="minorEastAsia"/>
          <w:color w:val="auto"/>
          <w:szCs w:val="28"/>
          <w:highlight w:val="none"/>
        </w:rPr>
      </w:pP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注：1.供应商应完整填写本表。</w:t>
      </w:r>
    </w:p>
    <w:p>
      <w:pPr>
        <w:snapToGrid w:val="0"/>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2.该表可扩展</w:t>
      </w:r>
      <w:bookmarkStart w:id="87" w:name="OLE_LINK1"/>
      <w:bookmarkStart w:id="88" w:name="OLE_LINK2"/>
      <w:r>
        <w:rPr>
          <w:rFonts w:hint="eastAsia" w:asciiTheme="minorEastAsia" w:hAnsiTheme="minorEastAsia" w:eastAsiaTheme="minorEastAsia"/>
          <w:color w:val="auto"/>
          <w:szCs w:val="28"/>
          <w:highlight w:val="none"/>
        </w:rPr>
        <w:t>，并逐页签字或盖章。</w:t>
      </w:r>
      <w:bookmarkEnd w:id="87"/>
      <w:bookmarkEnd w:id="88"/>
    </w:p>
    <w:p>
      <w:pPr>
        <w:pStyle w:val="37"/>
        <w:spacing w:line="560" w:lineRule="exact"/>
        <w:rPr>
          <w:rFonts w:asciiTheme="minorEastAsia" w:hAnsiTheme="minorEastAsia" w:eastAsiaTheme="minorEastAsia"/>
          <w:color w:val="auto"/>
          <w:sz w:val="28"/>
          <w:szCs w:val="28"/>
          <w:highlight w:val="none"/>
        </w:rPr>
      </w:pPr>
    </w:p>
    <w:p>
      <w:pPr>
        <w:pStyle w:val="37"/>
        <w:spacing w:line="560" w:lineRule="exact"/>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 xml:space="preserve">                        </w:t>
      </w:r>
      <w:r>
        <w:rPr>
          <w:rFonts w:hint="eastAsia" w:asciiTheme="minorEastAsia" w:hAnsiTheme="minorEastAsia" w:eastAsiaTheme="minorEastAsia"/>
          <w:color w:val="auto"/>
          <w:szCs w:val="28"/>
          <w:highlight w:val="none"/>
        </w:rPr>
        <w:t>供应商名称（公章）：</w:t>
      </w:r>
    </w:p>
    <w:p>
      <w:pPr>
        <w:spacing w:line="560" w:lineRule="exact"/>
        <w:ind w:firstLine="6440" w:firstLineChars="23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年     月    日</w:t>
      </w:r>
    </w:p>
    <w:p>
      <w:pPr>
        <w:snapToGrid w:val="0"/>
        <w:spacing w:line="560" w:lineRule="exact"/>
        <w:ind w:firstLine="560" w:firstLineChars="200"/>
        <w:rPr>
          <w:rFonts w:asciiTheme="minorEastAsia" w:hAnsiTheme="minorEastAsia" w:eastAsiaTheme="minorEastAsia"/>
          <w:color w:val="auto"/>
          <w:szCs w:val="28"/>
          <w:highlight w:val="none"/>
          <w:bdr w:val="single" w:color="auto" w:sz="4" w:space="0"/>
        </w:rPr>
        <w:sectPr>
          <w:headerReference r:id="rId16" w:type="default"/>
          <w:pgSz w:w="11907" w:h="16840"/>
          <w:pgMar w:top="1134" w:right="1191" w:bottom="1134" w:left="1304" w:header="851" w:footer="992" w:gutter="0"/>
          <w:pgNumType w:fmt="numberInDash"/>
          <w:cols w:space="720" w:num="1"/>
          <w:docGrid w:linePitch="380" w:charSpace="-5735"/>
        </w:sectPr>
      </w:pPr>
    </w:p>
    <w:p>
      <w:pPr>
        <w:pStyle w:val="4"/>
        <w:spacing w:before="0" w:after="0" w:line="560" w:lineRule="exact"/>
        <w:rPr>
          <w:rFonts w:asciiTheme="minorEastAsia" w:hAnsiTheme="minorEastAsia" w:eastAsiaTheme="minorEastAsia"/>
          <w:b w:val="0"/>
          <w:color w:val="auto"/>
          <w:sz w:val="28"/>
          <w:szCs w:val="28"/>
          <w:highlight w:val="none"/>
        </w:rPr>
      </w:pPr>
      <w:bookmarkStart w:id="89" w:name="_Toc313888361"/>
      <w:bookmarkStart w:id="90" w:name="_Toc105060915"/>
      <w:bookmarkStart w:id="91" w:name="_Toc313008357"/>
      <w:bookmarkStart w:id="92" w:name="_Toc342913420"/>
      <w:r>
        <w:rPr>
          <w:rFonts w:hint="eastAsia" w:asciiTheme="minorEastAsia" w:hAnsiTheme="minorEastAsia" w:eastAsiaTheme="minorEastAsia"/>
          <w:b w:val="0"/>
          <w:color w:val="auto"/>
          <w:sz w:val="28"/>
          <w:szCs w:val="28"/>
          <w:highlight w:val="none"/>
        </w:rPr>
        <w:t>二、服务部分</w:t>
      </w:r>
      <w:bookmarkEnd w:id="89"/>
      <w:bookmarkEnd w:id="90"/>
      <w:bookmarkEnd w:id="91"/>
      <w:bookmarkEnd w:id="92"/>
    </w:p>
    <w:p>
      <w:pPr>
        <w:snapToGrid w:val="0"/>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（一）服务方案（格式自定）</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（二）服务响应偏离表</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项目号：                                磋商项目编号：</w:t>
      </w:r>
    </w:p>
    <w:p>
      <w:pPr>
        <w:pStyle w:val="32"/>
        <w:tabs>
          <w:tab w:val="left" w:pos="6300"/>
        </w:tabs>
        <w:snapToGrid w:val="0"/>
        <w:spacing w:line="560" w:lineRule="exact"/>
        <w:ind w:firstLine="560" w:firstLineChars="200"/>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磋商项目名称：</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2658"/>
        <w:gridCol w:w="2759"/>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序号</w:t>
            </w: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采购需求</w:t>
            </w: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响应情况</w:t>
            </w: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3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658"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75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067"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bl>
    <w:p>
      <w:pPr>
        <w:spacing w:line="560" w:lineRule="exact"/>
        <w:ind w:firstLine="700" w:firstLineChars="2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                         法定代表人授权代表：</w:t>
      </w:r>
    </w:p>
    <w:p>
      <w:pPr>
        <w:spacing w:line="560" w:lineRule="exact"/>
        <w:ind w:firstLine="840" w:firstLineChars="3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                   （签字或盖章）</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年     月     日</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注：</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1.本表即为对本项目“第二篇  项目服务需求”中所列服务要求进行比较和响应；</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2.该表必须按照竞争性磋商要求逐条如实填写，根据响应情况在“差异说明”项填写正偏离或负偏离及原因，完全符合的填写“无差异”；</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3.该表可扩展，并逐页签字或盖章；</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4.可附相关支撑材料。（格式自定）</w:t>
      </w:r>
    </w:p>
    <w:p>
      <w:pPr>
        <w:pStyle w:val="4"/>
        <w:spacing w:before="0" w:after="0" w:line="560" w:lineRule="exact"/>
        <w:rPr>
          <w:rFonts w:asciiTheme="minorEastAsia" w:hAnsiTheme="minorEastAsia" w:eastAsiaTheme="minorEastAsia"/>
          <w:b w:val="0"/>
          <w:color w:val="auto"/>
          <w:sz w:val="28"/>
          <w:szCs w:val="28"/>
          <w:highlight w:val="none"/>
        </w:rPr>
      </w:pPr>
      <w:r>
        <w:rPr>
          <w:rFonts w:hint="eastAsia" w:asciiTheme="minorEastAsia" w:hAnsiTheme="minorEastAsia" w:eastAsiaTheme="minorEastAsia"/>
          <w:b w:val="0"/>
          <w:color w:val="auto"/>
          <w:sz w:val="28"/>
          <w:szCs w:val="28"/>
          <w:highlight w:val="none"/>
        </w:rPr>
        <w:br w:type="page"/>
      </w:r>
      <w:bookmarkStart w:id="93" w:name="_Toc313888362"/>
      <w:bookmarkStart w:id="94" w:name="_Toc105060916"/>
      <w:bookmarkStart w:id="95" w:name="_Toc313008358"/>
      <w:bookmarkStart w:id="96" w:name="_Toc342913421"/>
      <w:r>
        <w:rPr>
          <w:rFonts w:hint="eastAsia" w:asciiTheme="minorEastAsia" w:hAnsiTheme="minorEastAsia" w:eastAsiaTheme="minorEastAsia"/>
          <w:b w:val="0"/>
          <w:color w:val="auto"/>
          <w:sz w:val="28"/>
          <w:szCs w:val="28"/>
          <w:highlight w:val="none"/>
        </w:rPr>
        <w:t>三、商务部分</w:t>
      </w:r>
      <w:bookmarkEnd w:id="93"/>
      <w:bookmarkEnd w:id="94"/>
      <w:bookmarkEnd w:id="95"/>
      <w:bookmarkEnd w:id="96"/>
    </w:p>
    <w:p>
      <w:pPr>
        <w:snapToGrid w:val="0"/>
        <w:spacing w:line="560" w:lineRule="exact"/>
        <w:ind w:firstLine="560" w:firstLineChars="200"/>
        <w:rPr>
          <w:rFonts w:asciiTheme="minorEastAsia" w:hAnsiTheme="minorEastAsia" w:eastAsiaTheme="minorEastAsia"/>
          <w:color w:val="auto"/>
          <w:szCs w:val="28"/>
          <w:highlight w:val="none"/>
        </w:rPr>
        <w:sectPr>
          <w:pgSz w:w="11907" w:h="16840"/>
          <w:pgMar w:top="1134" w:right="1191" w:bottom="1134" w:left="1304" w:header="851" w:footer="992" w:gutter="0"/>
          <w:pgNumType w:fmt="numberInDash"/>
          <w:cols w:space="720" w:num="1"/>
          <w:docGrid w:linePitch="380" w:charSpace="-5735"/>
        </w:sectPr>
      </w:pPr>
      <w:r>
        <w:rPr>
          <w:rFonts w:hint="eastAsia" w:asciiTheme="minorEastAsia" w:hAnsiTheme="minorEastAsia" w:eastAsiaTheme="minorEastAsia"/>
          <w:color w:val="auto"/>
          <w:szCs w:val="28"/>
          <w:highlight w:val="none"/>
        </w:rPr>
        <w:t>（一）商务要求响应情况：服务期及地点、报价要求、质量保证及售后服务等（格式自定）</w:t>
      </w:r>
    </w:p>
    <w:p>
      <w:pPr>
        <w:spacing w:line="560" w:lineRule="exact"/>
        <w:ind w:firstLine="560" w:firstLineChars="200"/>
        <w:rPr>
          <w:rFonts w:asciiTheme="minorEastAsia" w:hAnsiTheme="minorEastAsia" w:eastAsiaTheme="minorEastAsia"/>
          <w:color w:val="auto"/>
          <w:szCs w:val="28"/>
          <w:highlight w:val="none"/>
        </w:rPr>
      </w:pPr>
      <w:bookmarkStart w:id="97" w:name="_Toc283382459"/>
      <w:r>
        <w:rPr>
          <w:rFonts w:hint="eastAsia" w:asciiTheme="minorEastAsia" w:hAnsiTheme="minorEastAsia" w:eastAsiaTheme="minorEastAsia"/>
          <w:color w:val="auto"/>
          <w:szCs w:val="28"/>
          <w:highlight w:val="none"/>
        </w:rPr>
        <w:t>（二）商务响应偏离表</w:t>
      </w:r>
    </w:p>
    <w:p>
      <w:pPr>
        <w:snapToGrid w:val="0"/>
        <w:spacing w:line="560" w:lineRule="exact"/>
        <w:jc w:val="center"/>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商务响应偏离表</w:t>
      </w:r>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项目号：                                磋商项目编号：</w:t>
      </w:r>
    </w:p>
    <w:p>
      <w:pPr>
        <w:snapToGrid w:val="0"/>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磋商项目名称： </w:t>
      </w:r>
    </w:p>
    <w:tbl>
      <w:tblPr>
        <w:tblStyle w:val="5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snapToGrid w:val="0"/>
              <w:spacing w:line="560" w:lineRule="exact"/>
              <w:ind w:firstLine="465"/>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序号</w:t>
            </w: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磋商项目商务需求</w:t>
            </w: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响应情况</w:t>
            </w: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3179"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434"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c>
          <w:tcPr>
            <w:tcW w:w="2355" w:type="dxa"/>
            <w:vAlign w:val="center"/>
          </w:tcPr>
          <w:p>
            <w:pPr>
              <w:tabs>
                <w:tab w:val="left" w:pos="6300"/>
              </w:tabs>
              <w:snapToGrid w:val="0"/>
              <w:spacing w:line="560" w:lineRule="exact"/>
              <w:jc w:val="center"/>
              <w:outlineLvl w:val="0"/>
              <w:rPr>
                <w:rFonts w:asciiTheme="minorEastAsia" w:hAnsiTheme="minorEastAsia" w:eastAsiaTheme="minorEastAsia"/>
                <w:color w:val="auto"/>
                <w:szCs w:val="28"/>
                <w:highlight w:val="none"/>
              </w:rPr>
            </w:pPr>
          </w:p>
        </w:tc>
      </w:tr>
    </w:tbl>
    <w:p>
      <w:pPr>
        <w:snapToGrid w:val="0"/>
        <w:spacing w:line="560" w:lineRule="exact"/>
        <w:ind w:firstLine="465"/>
        <w:rPr>
          <w:rFonts w:asciiTheme="minorEastAsia" w:hAnsiTheme="minorEastAsia" w:eastAsiaTheme="minorEastAsia"/>
          <w:color w:val="auto"/>
          <w:szCs w:val="28"/>
          <w:highlight w:val="none"/>
        </w:rPr>
      </w:pPr>
    </w:p>
    <w:p>
      <w:pPr>
        <w:spacing w:line="560" w:lineRule="exact"/>
        <w:ind w:firstLine="700" w:firstLineChars="2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                           法定代表人授权代表：</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w:t>
      </w:r>
    </w:p>
    <w:p>
      <w:pPr>
        <w:spacing w:line="560" w:lineRule="exact"/>
        <w:ind w:firstLine="420" w:firstLineChars="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                      （签字或盖章）</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年     月     日</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注：</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1.本表即为对本项目“第三篇 项目商务需求”中所列服务要求进行比较和响应；</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2.该表必须按照竞争性磋商要求逐条如实填写，根据响应情况在“差异说明”项填写正偏离或负偏离及原因，完全符合的填写“无差异”；</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3.该表可扩展，并逐页签字或盖章。</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（三）其它优惠承诺（格式自定）</w:t>
      </w:r>
    </w:p>
    <w:p>
      <w:pPr>
        <w:pStyle w:val="4"/>
        <w:spacing w:before="0" w:after="0" w:line="560" w:lineRule="exact"/>
        <w:rPr>
          <w:rFonts w:asciiTheme="minorEastAsia" w:hAnsiTheme="minorEastAsia" w:eastAsiaTheme="minorEastAsia"/>
          <w:b w:val="0"/>
          <w:color w:val="auto"/>
          <w:sz w:val="28"/>
          <w:szCs w:val="28"/>
          <w:highlight w:val="none"/>
        </w:rPr>
      </w:pPr>
      <w:r>
        <w:rPr>
          <w:rFonts w:hint="eastAsia" w:asciiTheme="minorEastAsia" w:hAnsiTheme="minorEastAsia" w:eastAsiaTheme="minorEastAsia"/>
          <w:b w:val="0"/>
          <w:color w:val="auto"/>
          <w:sz w:val="28"/>
          <w:szCs w:val="28"/>
          <w:highlight w:val="none"/>
        </w:rPr>
        <w:br w:type="page"/>
      </w:r>
      <w:bookmarkEnd w:id="97"/>
      <w:bookmarkStart w:id="98" w:name="_Toc342913422"/>
      <w:bookmarkStart w:id="99" w:name="_Toc105060917"/>
      <w:bookmarkStart w:id="100" w:name="_Toc313008359"/>
      <w:bookmarkStart w:id="101" w:name="_Toc313888363"/>
      <w:r>
        <w:rPr>
          <w:rFonts w:hint="eastAsia" w:asciiTheme="minorEastAsia" w:hAnsiTheme="minorEastAsia" w:eastAsiaTheme="minorEastAsia"/>
          <w:b w:val="0"/>
          <w:color w:val="auto"/>
          <w:sz w:val="28"/>
          <w:szCs w:val="28"/>
          <w:highlight w:val="none"/>
        </w:rPr>
        <w:t>四、资格条件及其他</w:t>
      </w:r>
      <w:bookmarkEnd w:id="98"/>
      <w:bookmarkEnd w:id="99"/>
      <w:bookmarkEnd w:id="100"/>
      <w:bookmarkEnd w:id="101"/>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（一）营业执照（副本）或事业单位法人证书（副本）复印件</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（二）组织机构代码证复印件</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widowControl/>
        <w:spacing w:line="560" w:lineRule="exact"/>
        <w:ind w:firstLine="560" w:firstLineChars="200"/>
        <w:jc w:val="lef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（三）法定代表人身份证明书（格式）</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磋商项目名称：</w:t>
      </w:r>
      <w:r>
        <w:rPr>
          <w:rFonts w:hint="eastAsia" w:asciiTheme="minorEastAsia" w:hAnsiTheme="minorEastAsia" w:eastAsiaTheme="minorEastAsia"/>
          <w:color w:val="auto"/>
          <w:szCs w:val="28"/>
          <w:highlight w:val="none"/>
          <w:u w:val="single"/>
        </w:rPr>
        <w:t xml:space="preserve">                                                </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致：</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（采购代理机构名称）：</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（法定代表人姓名）在</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（供应商名称）任</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（职务名称）职务，是（供应商名称）</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的法定代表人。</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特此证明。</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（供应商公章）</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年   月   日</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（附：法定代表人身份证正反面复印件）</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column"/>
      </w:r>
      <w:r>
        <w:rPr>
          <w:rFonts w:hint="eastAsia" w:asciiTheme="minorEastAsia" w:hAnsiTheme="minorEastAsia" w:eastAsiaTheme="minorEastAsia"/>
          <w:color w:val="auto"/>
          <w:szCs w:val="28"/>
          <w:highlight w:val="none"/>
        </w:rPr>
        <w:t>（四）法定代表人授权委托书（格式）</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磋商项目名称：</w:t>
      </w:r>
      <w:r>
        <w:rPr>
          <w:rFonts w:hint="eastAsia" w:asciiTheme="minorEastAsia" w:hAnsiTheme="minorEastAsia" w:eastAsiaTheme="minorEastAsia"/>
          <w:color w:val="auto"/>
          <w:szCs w:val="28"/>
          <w:highlight w:val="none"/>
          <w:u w:val="single"/>
        </w:rPr>
        <w:t xml:space="preserve">                                                </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致：</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（采购代理机构名称）：</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（供应商法定代表人名称）是</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（供应商名称）的法定代表人，特授权</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（被授权人姓名及身份证代码）代表我单位全权办理上述项目的磋商、签约等具体工作，并签署全部有关文件、协议及合同。</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我单位对被授权人的签字负全部责任。</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在撤消授权的书面通知以前，本授权书一直有效。被授权人在授权书有效期内签署的所有文件不因授权的撤消而失效。</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被授权人：                                 供应商法定代表人：</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（签字或盖章）                                （签字或盖章）</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（附：被授权人身份证正反面复印件）</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jc w:val="righ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w:t>
      </w:r>
    </w:p>
    <w:p>
      <w:pPr>
        <w:tabs>
          <w:tab w:val="left" w:pos="6300"/>
        </w:tabs>
        <w:snapToGrid w:val="0"/>
        <w:spacing w:line="560" w:lineRule="exact"/>
        <w:ind w:firstLine="570"/>
        <w:jc w:val="righ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年   月   日</w:t>
      </w:r>
    </w:p>
    <w:p>
      <w:pPr>
        <w:tabs>
          <w:tab w:val="left" w:pos="6300"/>
        </w:tabs>
        <w:snapToGrid w:val="0"/>
        <w:spacing w:line="56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column"/>
      </w:r>
      <w:r>
        <w:rPr>
          <w:rFonts w:hint="eastAsia" w:asciiTheme="minorEastAsia" w:hAnsiTheme="minorEastAsia" w:eastAsiaTheme="minorEastAsia"/>
          <w:color w:val="auto"/>
          <w:szCs w:val="28"/>
          <w:highlight w:val="none"/>
        </w:rPr>
        <w:t>（五）202</w:t>
      </w:r>
      <w:r>
        <w:rPr>
          <w:rFonts w:hint="eastAsia" w:asciiTheme="minorEastAsia" w:hAnsiTheme="minorEastAsia" w:eastAsiaTheme="minorEastAsia"/>
          <w:color w:val="auto"/>
          <w:szCs w:val="28"/>
          <w:highlight w:val="none"/>
          <w:lang w:val="en-US" w:eastAsia="zh-CN"/>
        </w:rPr>
        <w:t>1</w:t>
      </w:r>
      <w:r>
        <w:rPr>
          <w:rFonts w:hint="eastAsia" w:asciiTheme="minorEastAsia" w:hAnsiTheme="minorEastAsia" w:eastAsiaTheme="minorEastAsia"/>
          <w:color w:val="auto"/>
          <w:szCs w:val="28"/>
          <w:highlight w:val="none"/>
        </w:rPr>
        <w:t>或202</w:t>
      </w:r>
      <w:r>
        <w:rPr>
          <w:rFonts w:hint="eastAsia" w:asciiTheme="minorEastAsia" w:hAnsiTheme="minorEastAsia" w:eastAsiaTheme="minorEastAsia"/>
          <w:color w:val="auto"/>
          <w:szCs w:val="28"/>
          <w:highlight w:val="none"/>
          <w:lang w:val="en-US" w:eastAsia="zh-CN"/>
        </w:rPr>
        <w:t>2</w:t>
      </w:r>
      <w:r>
        <w:rPr>
          <w:rFonts w:hint="eastAsia" w:asciiTheme="minorEastAsia" w:hAnsiTheme="minorEastAsia" w:eastAsiaTheme="minorEastAsia"/>
          <w:color w:val="auto"/>
          <w:szCs w:val="28"/>
          <w:highlight w:val="none"/>
        </w:rPr>
        <w:t>年度财务状况报告（表）复印件，本年度新成立的公司提供提交响应文件截止时间前一个月的财务状况报告（表）复印件</w:t>
      </w:r>
    </w:p>
    <w:p>
      <w:pPr>
        <w:tabs>
          <w:tab w:val="left" w:pos="6300"/>
        </w:tabs>
        <w:snapToGrid w:val="0"/>
        <w:spacing w:line="520" w:lineRule="exact"/>
        <w:ind w:firstLine="3220" w:firstLineChars="11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（六）书面声明</w:t>
      </w:r>
    </w:p>
    <w:p>
      <w:pPr>
        <w:tabs>
          <w:tab w:val="left" w:pos="6300"/>
        </w:tabs>
        <w:snapToGrid w:val="0"/>
        <w:spacing w:line="520" w:lineRule="exact"/>
        <w:ind w:firstLine="570"/>
        <w:rPr>
          <w:rFonts w:asciiTheme="minorEastAsia" w:hAnsiTheme="minorEastAsia" w:eastAsiaTheme="minorEastAsia"/>
          <w:color w:val="auto"/>
          <w:szCs w:val="28"/>
          <w:highlight w:val="none"/>
        </w:rPr>
      </w:pPr>
    </w:p>
    <w:p>
      <w:pPr>
        <w:tabs>
          <w:tab w:val="left" w:pos="6300"/>
        </w:tabs>
        <w:snapToGrid w:val="0"/>
        <w:spacing w:line="52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磋商项目名称：</w:t>
      </w:r>
      <w:r>
        <w:rPr>
          <w:rFonts w:hint="eastAsia" w:asciiTheme="minorEastAsia" w:hAnsiTheme="minorEastAsia" w:eastAsiaTheme="minorEastAsia"/>
          <w:color w:val="auto"/>
          <w:szCs w:val="28"/>
          <w:highlight w:val="none"/>
          <w:u w:val="single"/>
        </w:rPr>
        <w:t xml:space="preserve">                                                </w:t>
      </w:r>
    </w:p>
    <w:p>
      <w:pPr>
        <w:tabs>
          <w:tab w:val="left" w:pos="6300"/>
        </w:tabs>
        <w:snapToGrid w:val="0"/>
        <w:spacing w:line="520" w:lineRule="exact"/>
        <w:ind w:firstLine="570"/>
        <w:rPr>
          <w:rFonts w:asciiTheme="minorEastAsia" w:hAnsiTheme="minorEastAsia" w:eastAsiaTheme="minorEastAsia"/>
          <w:color w:val="auto"/>
          <w:szCs w:val="28"/>
          <w:highlight w:val="none"/>
        </w:rPr>
      </w:pPr>
    </w:p>
    <w:p>
      <w:pPr>
        <w:tabs>
          <w:tab w:val="left" w:pos="6300"/>
        </w:tabs>
        <w:snapToGrid w:val="0"/>
        <w:spacing w:line="52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致：</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（采购代理机构名称）：</w:t>
      </w:r>
    </w:p>
    <w:p>
      <w:pPr>
        <w:tabs>
          <w:tab w:val="left" w:pos="6300"/>
        </w:tabs>
        <w:snapToGrid w:val="0"/>
        <w:spacing w:line="52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供应商名称）郑重声明，我公司具有良好的商业信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“重大税收违法案件当事人名单”、中，也未列入中国政府采购网（www.ccgp.gov.cn）“政府采购严重违法失信行为记录名单”中，并随时接受采购人、采购代理机构的检查验证，我方对以上声明负全部法律责任。</w:t>
      </w:r>
    </w:p>
    <w:p>
      <w:pPr>
        <w:tabs>
          <w:tab w:val="left" w:pos="6300"/>
        </w:tabs>
        <w:snapToGrid w:val="0"/>
        <w:spacing w:line="52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特此声明。</w:t>
      </w:r>
    </w:p>
    <w:p>
      <w:pPr>
        <w:tabs>
          <w:tab w:val="left" w:pos="6300"/>
        </w:tabs>
        <w:snapToGrid w:val="0"/>
        <w:spacing w:line="520" w:lineRule="exact"/>
        <w:ind w:firstLine="570"/>
        <w:rPr>
          <w:rFonts w:asciiTheme="minorEastAsia" w:hAnsiTheme="minorEastAsia" w:eastAsiaTheme="minorEastAsia"/>
          <w:color w:val="auto"/>
          <w:szCs w:val="28"/>
          <w:highlight w:val="none"/>
        </w:rPr>
      </w:pP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供应商可以将信用中国网站及中国政府采购网查询结果附后（查询时间为本项目采购公告发布之日起至提交响应文件截止时间前）。</w:t>
      </w: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 信用中国网站（www.creditchina.gov.cn）查询结果（提供查询结果网页打印件或截图，并加盖供应商公章）</w:t>
      </w: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1.1“失信被执行人”查询结果；</w:t>
      </w: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1.2“重大税收违法案件当事人名单”查询结果；</w:t>
      </w: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 中国政府采购网（www.ccgp.gov.cn）（提供查询结果网页打印件或截图，并加盖供应商公章）</w:t>
      </w:r>
    </w:p>
    <w:p>
      <w:pPr>
        <w:tabs>
          <w:tab w:val="left" w:pos="6300"/>
        </w:tabs>
        <w:snapToGrid w:val="0"/>
        <w:spacing w:line="520" w:lineRule="exact"/>
        <w:ind w:firstLine="57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“政府采购严重违法失信行为记录名单”查询结果。</w:t>
      </w:r>
    </w:p>
    <w:p>
      <w:pPr>
        <w:tabs>
          <w:tab w:val="left" w:pos="6300"/>
        </w:tabs>
        <w:snapToGrid w:val="0"/>
        <w:spacing w:line="520" w:lineRule="exact"/>
        <w:ind w:firstLine="570"/>
        <w:rPr>
          <w:rFonts w:asciiTheme="minorEastAsia" w:hAnsiTheme="minorEastAsia" w:eastAsiaTheme="minorEastAsia"/>
          <w:color w:val="auto"/>
          <w:szCs w:val="28"/>
          <w:highlight w:val="none"/>
        </w:rPr>
      </w:pPr>
    </w:p>
    <w:p>
      <w:pPr>
        <w:tabs>
          <w:tab w:val="left" w:pos="6300"/>
        </w:tabs>
        <w:snapToGrid w:val="0"/>
        <w:spacing w:line="520" w:lineRule="exact"/>
        <w:ind w:firstLine="570"/>
        <w:jc w:val="righ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w:t>
      </w:r>
    </w:p>
    <w:p>
      <w:pPr>
        <w:tabs>
          <w:tab w:val="left" w:pos="6300"/>
        </w:tabs>
        <w:snapToGrid w:val="0"/>
        <w:spacing w:line="520" w:lineRule="exact"/>
        <w:ind w:firstLine="570"/>
        <w:jc w:val="righ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年   月   日</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（七）税务登记证（副本）复印件和社会保险缴纳证明材料</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（八）特定资格条件证书或证明文件</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说明：供应商按“多证合一”登记制度办理营业执照的，组织机构代码证和税务登记证以供应商所提供的营业执照（副本）复印件为准。</w:t>
      </w:r>
    </w:p>
    <w:p>
      <w:pPr>
        <w:pStyle w:val="4"/>
        <w:spacing w:before="0" w:after="0" w:line="560" w:lineRule="exact"/>
        <w:rPr>
          <w:rFonts w:asciiTheme="minorEastAsia" w:hAnsiTheme="minorEastAsia" w:eastAsiaTheme="minorEastAsia"/>
          <w:b w:val="0"/>
          <w:color w:val="auto"/>
          <w:sz w:val="28"/>
          <w:szCs w:val="28"/>
          <w:highlight w:val="none"/>
        </w:rPr>
      </w:pPr>
      <w:bookmarkStart w:id="102" w:name="_Toc14422"/>
      <w:r>
        <w:rPr>
          <w:rFonts w:hint="eastAsia" w:asciiTheme="minorEastAsia" w:hAnsiTheme="minorEastAsia" w:eastAsiaTheme="minorEastAsia"/>
          <w:b w:val="0"/>
          <w:color w:val="auto"/>
          <w:sz w:val="28"/>
          <w:szCs w:val="28"/>
          <w:highlight w:val="none"/>
        </w:rPr>
        <w:br w:type="page"/>
      </w:r>
      <w:bookmarkStart w:id="103" w:name="_Toc105060918"/>
      <w:r>
        <w:rPr>
          <w:rFonts w:hint="eastAsia" w:asciiTheme="minorEastAsia" w:hAnsiTheme="minorEastAsia" w:eastAsiaTheme="minorEastAsia"/>
          <w:b w:val="0"/>
          <w:color w:val="auto"/>
          <w:sz w:val="28"/>
          <w:szCs w:val="28"/>
          <w:highlight w:val="none"/>
        </w:rPr>
        <w:t>五、其他应提供的资料</w:t>
      </w:r>
      <w:bookmarkEnd w:id="102"/>
      <w:bookmarkEnd w:id="103"/>
    </w:p>
    <w:p>
      <w:pPr>
        <w:tabs>
          <w:tab w:val="left" w:pos="6300"/>
        </w:tabs>
        <w:snapToGrid w:val="0"/>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（一）供应商小微企业证明文件（非小微企业不提供）</w:t>
      </w:r>
    </w:p>
    <w:p>
      <w:pPr>
        <w:tabs>
          <w:tab w:val="left" w:pos="6300"/>
        </w:tabs>
        <w:snapToGrid w:val="0"/>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1.提供企业所在地的县级以上中小企业主管部门本年度出具的证明文件</w:t>
      </w: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2.书面承诺书</w:t>
      </w:r>
    </w:p>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书面承诺书</w:t>
      </w:r>
    </w:p>
    <w:p>
      <w:pPr>
        <w:rPr>
          <w:color w:val="auto"/>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磋商项目名称：</w:t>
      </w:r>
      <w:r>
        <w:rPr>
          <w:rFonts w:hint="eastAsia" w:asciiTheme="minorEastAsia" w:hAnsiTheme="minorEastAsia" w:eastAsiaTheme="minorEastAsia"/>
          <w:color w:val="auto"/>
          <w:szCs w:val="28"/>
          <w:highlight w:val="none"/>
          <w:u w:val="single"/>
        </w:rPr>
        <w:t xml:space="preserve">                                                </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致：</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（采购代理机构名称）：</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（供应商名称）郑重声明，我公司符合工信部联企业〔2011〕300号中微型企业的认定标准，属于微型企业，并且对于本次项目我公司仅提供本企业或其他微型企业（企业名称：</w:t>
      </w:r>
      <w:r>
        <w:rPr>
          <w:rFonts w:hint="eastAsia" w:asciiTheme="minorEastAsia" w:hAnsiTheme="minorEastAsia" w:eastAsiaTheme="minorEastAsia"/>
          <w:color w:val="auto"/>
          <w:szCs w:val="28"/>
          <w:highlight w:val="none"/>
          <w:u w:val="single"/>
        </w:rPr>
        <w:t xml:space="preserve">          </w:t>
      </w:r>
      <w:r>
        <w:rPr>
          <w:rFonts w:hint="eastAsia" w:asciiTheme="minorEastAsia" w:hAnsiTheme="minorEastAsia" w:eastAsiaTheme="minorEastAsia"/>
          <w:color w:val="auto"/>
          <w:szCs w:val="28"/>
          <w:highlight w:val="none"/>
        </w:rPr>
        <w:t>）制造的货物、承担的工程或者服务。我方对以上声明负全部法律责任。</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特此承诺。</w:t>
      </w: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firstLine="570"/>
        <w:rPr>
          <w:rFonts w:asciiTheme="minorEastAsia" w:hAnsiTheme="minorEastAsia" w:eastAsiaTheme="minorEastAsia"/>
          <w:color w:val="auto"/>
          <w:szCs w:val="28"/>
          <w:highlight w:val="none"/>
        </w:rPr>
      </w:pPr>
    </w:p>
    <w:p>
      <w:pPr>
        <w:tabs>
          <w:tab w:val="left" w:pos="6300"/>
        </w:tabs>
        <w:snapToGrid w:val="0"/>
        <w:spacing w:line="560" w:lineRule="exact"/>
        <w:ind w:right="560" w:firstLine="6025" w:firstLineChars="2152"/>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（供应商公章）</w:t>
      </w:r>
    </w:p>
    <w:p>
      <w:pPr>
        <w:tabs>
          <w:tab w:val="left" w:pos="6300"/>
        </w:tabs>
        <w:snapToGrid w:val="0"/>
        <w:spacing w:line="560" w:lineRule="exact"/>
        <w:ind w:firstLine="6580" w:firstLineChars="235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年   月   日</w:t>
      </w:r>
    </w:p>
    <w:p>
      <w:pPr>
        <w:tabs>
          <w:tab w:val="left" w:pos="6300"/>
        </w:tabs>
        <w:snapToGrid w:val="0"/>
        <w:spacing w:line="560" w:lineRule="exact"/>
        <w:rPr>
          <w:rFonts w:asciiTheme="minorEastAsia" w:hAnsiTheme="minorEastAsia" w:eastAsiaTheme="minorEastAsia"/>
          <w:color w:val="auto"/>
          <w:szCs w:val="28"/>
          <w:highlight w:val="none"/>
        </w:rPr>
      </w:pPr>
    </w:p>
    <w:p>
      <w:pPr>
        <w:tabs>
          <w:tab w:val="left" w:pos="6300"/>
        </w:tabs>
        <w:snapToGrid w:val="0"/>
        <w:spacing w:line="560" w:lineRule="exact"/>
        <w:jc w:val="center"/>
        <w:outlineLvl w:val="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残疾人福利性单位声明函</w:t>
      </w:r>
    </w:p>
    <w:p>
      <w:pPr>
        <w:rPr>
          <w:color w:val="auto"/>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本单位对上述声明的真实性负责。如有虚假，将依法承担相应责任。</w:t>
      </w: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p>
    <w:p>
      <w:pPr>
        <w:tabs>
          <w:tab w:val="left" w:pos="6300"/>
        </w:tabs>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供应商名称（盖章）：</w:t>
      </w:r>
    </w:p>
    <w:p>
      <w:pPr>
        <w:snapToGrid w:val="0"/>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 xml:space="preserve">                                      日  期：</w:t>
      </w:r>
      <w:r>
        <w:rPr>
          <w:rFonts w:hint="eastAsia" w:asciiTheme="minorEastAsia" w:hAnsiTheme="minorEastAsia" w:eastAsiaTheme="minorEastAsia"/>
          <w:color w:val="auto"/>
          <w:szCs w:val="28"/>
          <w:highlight w:val="none"/>
        </w:rPr>
        <w:br w:type="page"/>
      </w:r>
      <w:r>
        <w:rPr>
          <w:rFonts w:hint="eastAsia" w:asciiTheme="minorEastAsia" w:hAnsiTheme="minorEastAsia" w:eastAsiaTheme="minorEastAsia"/>
          <w:color w:val="auto"/>
          <w:szCs w:val="28"/>
          <w:highlight w:val="none"/>
        </w:rPr>
        <w:t>（二）联合体共同联合协议（如果有）</w:t>
      </w:r>
    </w:p>
    <w:p>
      <w:pPr>
        <w:spacing w:line="560" w:lineRule="exact"/>
        <w:ind w:firstLine="560" w:firstLineChars="200"/>
        <w:rPr>
          <w:rFonts w:asciiTheme="minorEastAsia" w:hAnsiTheme="minorEastAsia" w:eastAsiaTheme="minorEastAsia"/>
          <w:color w:val="auto"/>
          <w:szCs w:val="28"/>
          <w:highlight w:val="none"/>
        </w:rPr>
      </w:pPr>
    </w:p>
    <w:p>
      <w:pPr>
        <w:spacing w:line="560" w:lineRule="exact"/>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（三）其他资料</w:t>
      </w:r>
    </w:p>
    <w:p>
      <w:pPr>
        <w:spacing w:line="560" w:lineRule="exact"/>
        <w:ind w:firstLine="560" w:firstLineChars="200"/>
        <w:rPr>
          <w:rFonts w:asciiTheme="minorEastAsia" w:hAnsiTheme="minorEastAsia" w:eastAsiaTheme="minorEastAsia"/>
          <w:color w:val="auto"/>
          <w:szCs w:val="28"/>
          <w:highlight w:val="none"/>
        </w:rPr>
      </w:pPr>
      <w:r>
        <w:rPr>
          <w:rFonts w:hint="eastAsia" w:asciiTheme="minorEastAsia" w:hAnsiTheme="minorEastAsia" w:eastAsiaTheme="minorEastAsia"/>
          <w:color w:val="auto"/>
          <w:szCs w:val="28"/>
          <w:highlight w:val="none"/>
        </w:rPr>
        <w:t>其他与项目有关的资料（自附）：供应商总体情况介绍、其他与本项目有关的资料等。</w:t>
      </w:r>
    </w:p>
    <w:p>
      <w:pPr>
        <w:spacing w:line="560" w:lineRule="exact"/>
        <w:ind w:firstLine="560" w:firstLineChars="200"/>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spacing w:line="560" w:lineRule="exact"/>
        <w:ind w:firstLine="560" w:firstLineChars="200"/>
        <w:jc w:val="center"/>
        <w:rPr>
          <w:rFonts w:asciiTheme="minorEastAsia" w:hAnsiTheme="minorEastAsia" w:eastAsiaTheme="minorEastAsia"/>
          <w:color w:val="auto"/>
          <w:szCs w:val="28"/>
          <w:highlight w:val="none"/>
        </w:rPr>
      </w:pPr>
    </w:p>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szCs w:val="28"/>
          <w:highlight w:val="none"/>
        </w:rPr>
        <w:t>（结束）</w:t>
      </w:r>
      <w:bookmarkEnd w:id="51"/>
      <w:bookmarkEnd w:id="52"/>
    </w:p>
    <w:sectPr>
      <w:headerReference r:id="rId17" w:type="default"/>
      <w:pgSz w:w="11907" w:h="16840"/>
      <w:pgMar w:top="1134" w:right="1191" w:bottom="1134" w:left="1304" w:header="964"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embedRegular r:id="rId1" w:fontKey="{E199BE17-4650-41E5-84AB-2C32901A1045}"/>
  </w:font>
  <w:font w:name="_x000B__x000C_">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文鼎粗黑">
    <w:altName w:val="宋体"/>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82016" w:usb3="00000000" w:csb0="00040001" w:csb1="00000000"/>
    <w:embedRegular r:id="rId2" w:fontKey="{4DDBFC98-E26A-4B7D-B58E-390D7274DEDC}"/>
  </w:font>
  <w:font w:name="仿宋">
    <w:panose1 w:val="02010609060101010101"/>
    <w:charset w:val="86"/>
    <w:family w:val="modern"/>
    <w:pitch w:val="default"/>
    <w:sig w:usb0="800002BF" w:usb1="38CF7CFA" w:usb2="00000016" w:usb3="00000000" w:csb0="00040001" w:csb1="00000000"/>
    <w:embedRegular r:id="rId3" w:fontKey="{CE6E278A-9154-45B7-8A19-536DC5DB94EF}"/>
  </w:font>
  <w:font w:name="Wingdings 2">
    <w:panose1 w:val="05020102010507070707"/>
    <w:charset w:val="02"/>
    <w:family w:val="roman"/>
    <w:pitch w:val="default"/>
    <w:sig w:usb0="00000000" w:usb1="00000000" w:usb2="00000000" w:usb3="00000000" w:csb0="80000000" w:csb1="00000000"/>
    <w:embedRegular r:id="rId4" w:fontKey="{B0E6F2A6-5AE0-45EA-99A0-977CA3146685}"/>
  </w:font>
  <w:font w:name="微软雅黑">
    <w:panose1 w:val="020B0503020204020204"/>
    <w:charset w:val="86"/>
    <w:family w:val="auto"/>
    <w:pitch w:val="default"/>
    <w:sig w:usb0="80000287" w:usb1="2ACF3C50" w:usb2="00000016" w:usb3="00000000" w:csb0="0004001F" w:csb1="00000000"/>
  </w:font>
  <w:font w:name="Microsoft JhengHei UI">
    <w:panose1 w:val="020B0604030504040204"/>
    <w:charset w:val="88"/>
    <w:family w:val="auto"/>
    <w:pitch w:val="default"/>
    <w:sig w:usb0="000002A7" w:usb1="28CF4400" w:usb2="00000016" w:usb3="00000000" w:csb0="00100009"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0"/>
        <w:rFonts w:ascii="宋体"/>
      </w:rPr>
    </w:pPr>
    <w:r>
      <w:rPr>
        <w:rFonts w:ascii="宋体"/>
        <w:sz w:val="28"/>
      </w:rPr>
      <w:fldChar w:fldCharType="begin"/>
    </w:r>
    <w:r>
      <w:rPr>
        <w:rStyle w:val="60"/>
        <w:rFonts w:ascii="宋体"/>
      </w:rPr>
      <w:instrText xml:space="preserve">PAGE  </w:instrText>
    </w:r>
    <w:r>
      <w:rPr>
        <w:rFonts w:ascii="宋体"/>
        <w:sz w:val="28"/>
      </w:rPr>
      <w:fldChar w:fldCharType="separate"/>
    </w:r>
    <w:r>
      <w:rPr>
        <w:rStyle w:val="60"/>
        <w:rFonts w:ascii="宋体"/>
      </w:rPr>
      <w:t>- 1 -</w:t>
    </w:r>
    <w:r>
      <w:rPr>
        <w:rFonts w:ascii="宋体"/>
        <w:sz w:val="28"/>
      </w:rPr>
      <w:fldChar w:fldCharType="end"/>
    </w:r>
  </w:p>
  <w:p>
    <w:pPr>
      <w:pStyle w:val="3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separate"/>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p>
  <w:p>
    <w:pPr>
      <w:pStyle w:val="35"/>
      <w:jc w:val="center"/>
      <w:rPr>
        <w:rFonts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jc w:val="center"/>
      <w:rPr>
        <w:rStyle w:val="60"/>
        <w:rFonts w:ascii="宋体"/>
        <w:sz w:val="21"/>
        <w:szCs w:val="21"/>
      </w:rPr>
    </w:pPr>
    <w:r>
      <w:rPr>
        <w:rFonts w:ascii="宋体"/>
        <w:sz w:val="21"/>
        <w:szCs w:val="21"/>
      </w:rPr>
      <w:fldChar w:fldCharType="begin"/>
    </w:r>
    <w:r>
      <w:rPr>
        <w:rStyle w:val="60"/>
        <w:rFonts w:ascii="宋体"/>
        <w:sz w:val="21"/>
        <w:szCs w:val="21"/>
      </w:rPr>
      <w:instrText xml:space="preserve">PAGE  </w:instrText>
    </w:r>
    <w:r>
      <w:rPr>
        <w:rFonts w:ascii="宋体"/>
        <w:sz w:val="21"/>
        <w:szCs w:val="21"/>
      </w:rPr>
      <w:fldChar w:fldCharType="separate"/>
    </w:r>
    <w:r>
      <w:rPr>
        <w:rStyle w:val="60"/>
        <w:rFonts w:ascii="宋体"/>
        <w:sz w:val="21"/>
        <w:szCs w:val="21"/>
      </w:rPr>
      <w:t>- 1 -</w:t>
    </w:r>
    <w:r>
      <w:rPr>
        <w:rFonts w:ascii="宋体"/>
        <w:sz w:val="21"/>
        <w:szCs w:val="21"/>
      </w:rPr>
      <w:fldChar w:fldCharType="end"/>
    </w:r>
  </w:p>
  <w:p>
    <w:pPr>
      <w:pStyle w:val="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separate"/>
    </w:r>
    <w: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p>
  <w:p>
    <w:pPr>
      <w:pStyle w:val="35"/>
      <w:jc w:val="center"/>
      <w:rPr>
        <w:rFonts w:ascii="宋体" w:hAnsi="宋体"/>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center"/>
      <w:rPr>
        <w:rFonts w:ascii="宋体" w:hAnsi="宋体"/>
        <w:sz w:val="21"/>
        <w:szCs w:val="21"/>
      </w:rPr>
    </w:pPr>
    <w:r>
      <w:rPr>
        <w:rFonts w:ascii="宋体" w:hAnsi="宋体"/>
        <w:sz w:val="21"/>
        <w:szCs w:val="21"/>
      </w:rPr>
      <w:fldChar w:fldCharType="begin"/>
    </w:r>
    <w:r>
      <w:rPr>
        <w:rStyle w:val="60"/>
        <w:rFonts w:ascii="宋体" w:hAnsi="宋体"/>
        <w:sz w:val="21"/>
        <w:szCs w:val="21"/>
      </w:rPr>
      <w:instrText xml:space="preserve"> PAGE </w:instrText>
    </w:r>
    <w:r>
      <w:rPr>
        <w:rFonts w:ascii="宋体" w:hAnsi="宋体"/>
        <w:sz w:val="21"/>
        <w:szCs w:val="21"/>
      </w:rPr>
      <w:fldChar w:fldCharType="separate"/>
    </w:r>
    <w:r>
      <w:rPr>
        <w:rStyle w:val="60"/>
        <w:rFonts w:ascii="宋体" w:hAnsi="宋体"/>
        <w:sz w:val="21"/>
        <w:szCs w:val="21"/>
      </w:rPr>
      <w:t>- 61 -</w:t>
    </w:r>
    <w:r>
      <w:rPr>
        <w:rFonts w:ascii="宋体" w:hAnsi="宋体"/>
        <w:sz w:val="21"/>
        <w:szCs w:val="21"/>
      </w:rPr>
      <w:fldChar w:fldCharType="end"/>
    </w:r>
  </w:p>
  <w:p>
    <w:pPr>
      <w:rPr>
        <w:rFonts w:ascii="宋体" w:hAnsi="宋体"/>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0"/>
      </w:rPr>
    </w:pPr>
    <w:r>
      <w:fldChar w:fldCharType="begin"/>
    </w:r>
    <w:r>
      <w:rPr>
        <w:rStyle w:val="60"/>
      </w:rPr>
      <w:instrText xml:space="preserve">PAGE  </w:instrText>
    </w:r>
    <w:r>
      <w:fldChar w:fldCharType="separate"/>
    </w:r>
    <w:r>
      <w:fldChar w:fldCharType="end"/>
    </w:r>
  </w:p>
  <w:p>
    <w:pPr>
      <w:pStyle w:val="35"/>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rPr>
    </w:pPr>
    <w:r>
      <w:rPr>
        <w:rFonts w:hint="eastAsia" w:ascii="方正仿宋_GBK" w:eastAsia="方正仿宋_GBK"/>
        <w:sz w:val="21"/>
      </w:rPr>
      <w:t>重庆医科大学                                                      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重庆医科大学                                                            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重庆市政府采购中心                                                     竞争性磋商文件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both"/>
      <w:rPr>
        <w:rFonts w:ascii="方正仿宋_GBK" w:eastAsia="方正仿宋_GBK"/>
        <w:sz w:val="21"/>
        <w:szCs w:val="21"/>
      </w:rPr>
    </w:pPr>
    <w:r>
      <w:rPr>
        <w:rFonts w:hint="eastAsia" w:ascii="方正仿宋_GBK" w:eastAsia="方正仿宋_GBK"/>
        <w:sz w:val="21"/>
        <w:szCs w:val="21"/>
      </w:rPr>
      <w:t>重庆市政府采购中心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upperLetter"/>
      <w:pStyle w:val="12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15"/>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0000000A"/>
    <w:multiLevelType w:val="multilevel"/>
    <w:tmpl w:val="0000000A"/>
    <w:lvl w:ilvl="0" w:tentative="0">
      <w:start w:val="1"/>
      <w:numFmt w:val="bullet"/>
      <w:pStyle w:val="128"/>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singleLevel"/>
    <w:tmpl w:val="0000000B"/>
    <w:lvl w:ilvl="0" w:tentative="0">
      <w:start w:val="1"/>
      <w:numFmt w:val="bullet"/>
      <w:pStyle w:val="112"/>
      <w:lvlText w:val=""/>
      <w:lvlJc w:val="left"/>
      <w:pPr>
        <w:tabs>
          <w:tab w:val="left" w:pos="360"/>
        </w:tabs>
        <w:ind w:left="360" w:hanging="360"/>
      </w:pPr>
      <w:rPr>
        <w:rFonts w:hint="default" w:ascii="Wingdings" w:hAnsi="Wingdings"/>
      </w:r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191"/>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10"/>
    <w:multiLevelType w:val="singleLevel"/>
    <w:tmpl w:val="00000010"/>
    <w:lvl w:ilvl="0" w:tentative="0">
      <w:start w:val="1"/>
      <w:numFmt w:val="bullet"/>
      <w:lvlText w:val=""/>
      <w:lvlJc w:val="left"/>
      <w:pPr>
        <w:tabs>
          <w:tab w:val="left" w:pos="1620"/>
        </w:tabs>
        <w:ind w:left="1620" w:hanging="360"/>
      </w:pPr>
      <w:rPr>
        <w:rFonts w:hint="default" w:ascii="Wingdings" w:hAnsi="Wingdings"/>
      </w:rPr>
    </w:lvl>
  </w:abstractNum>
  <w:abstractNum w:abstractNumId="6">
    <w:nsid w:val="00000011"/>
    <w:multiLevelType w:val="multilevel"/>
    <w:tmpl w:val="00000011"/>
    <w:lvl w:ilvl="0" w:tentative="0">
      <w:start w:val="1"/>
      <w:numFmt w:val="decimal"/>
      <w:pStyle w:val="134"/>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2"/>
    <w:multiLevelType w:val="multilevel"/>
    <w:tmpl w:val="00000012"/>
    <w:lvl w:ilvl="0" w:tentative="0">
      <w:start w:val="1"/>
      <w:numFmt w:val="bullet"/>
      <w:pStyle w:val="181"/>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decimal"/>
      <w:pStyle w:val="13"/>
      <w:lvlText w:val="%1."/>
      <w:lvlJc w:val="left"/>
      <w:pPr>
        <w:tabs>
          <w:tab w:val="left" w:pos="425"/>
        </w:tabs>
        <w:ind w:left="425" w:hanging="425"/>
      </w:pPr>
      <w:rPr>
        <w:rFonts w:hint="default"/>
      </w:rPr>
    </w:lvl>
  </w:abstractNum>
  <w:abstractNum w:abstractNumId="9">
    <w:nsid w:val="00000014"/>
    <w:multiLevelType w:val="singleLevel"/>
    <w:tmpl w:val="00000014"/>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10">
    <w:nsid w:val="00000016"/>
    <w:multiLevelType w:val="singleLevel"/>
    <w:tmpl w:val="00000016"/>
    <w:lvl w:ilvl="0" w:tentative="0">
      <w:start w:val="1"/>
      <w:numFmt w:val="decimal"/>
      <w:pStyle w:val="230"/>
      <w:lvlText w:val="%1)"/>
      <w:lvlJc w:val="left"/>
      <w:pPr>
        <w:tabs>
          <w:tab w:val="left" w:pos="425"/>
        </w:tabs>
        <w:ind w:left="425" w:hanging="425"/>
      </w:pPr>
      <w:rPr>
        <w:rFonts w:hint="eastAsia"/>
      </w:rPr>
    </w:lvl>
  </w:abstractNum>
  <w:abstractNum w:abstractNumId="11">
    <w:nsid w:val="00000017"/>
    <w:multiLevelType w:val="multilevel"/>
    <w:tmpl w:val="00000017"/>
    <w:lvl w:ilvl="0" w:tentative="0">
      <w:start w:val="1"/>
      <w:numFmt w:val="chineseCountingThousand"/>
      <w:pStyle w:val="131"/>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0AAD2F11"/>
    <w:multiLevelType w:val="multilevel"/>
    <w:tmpl w:val="0AAD2F11"/>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11"/>
  </w:num>
  <w:num w:numId="8">
    <w:abstractNumId w:val="6"/>
  </w:num>
  <w:num w:numId="9">
    <w:abstractNumId w:val="5"/>
  </w:num>
  <w:num w:numId="10">
    <w:abstractNumId w:val="7"/>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OTAyMzZkZjE2MTdhZjFhODQ1YTRmNTUxNTFhMTcifQ=="/>
  </w:docVars>
  <w:rsids>
    <w:rsidRoot w:val="00172A27"/>
    <w:rsid w:val="00003626"/>
    <w:rsid w:val="00004029"/>
    <w:rsid w:val="000040DE"/>
    <w:rsid w:val="00004656"/>
    <w:rsid w:val="000075E8"/>
    <w:rsid w:val="00007AAC"/>
    <w:rsid w:val="00011B4B"/>
    <w:rsid w:val="0001566F"/>
    <w:rsid w:val="00016B79"/>
    <w:rsid w:val="00017816"/>
    <w:rsid w:val="00020C14"/>
    <w:rsid w:val="0002257F"/>
    <w:rsid w:val="00032ACA"/>
    <w:rsid w:val="0003549B"/>
    <w:rsid w:val="0003632F"/>
    <w:rsid w:val="00037381"/>
    <w:rsid w:val="000426B2"/>
    <w:rsid w:val="0004739C"/>
    <w:rsid w:val="0005298B"/>
    <w:rsid w:val="0005417C"/>
    <w:rsid w:val="000576E1"/>
    <w:rsid w:val="00063981"/>
    <w:rsid w:val="00064AB4"/>
    <w:rsid w:val="00074CBE"/>
    <w:rsid w:val="000865AE"/>
    <w:rsid w:val="00090C5A"/>
    <w:rsid w:val="00091346"/>
    <w:rsid w:val="00091B1C"/>
    <w:rsid w:val="00091D22"/>
    <w:rsid w:val="00093D40"/>
    <w:rsid w:val="000978B6"/>
    <w:rsid w:val="000A164E"/>
    <w:rsid w:val="000A3057"/>
    <w:rsid w:val="000B1068"/>
    <w:rsid w:val="000B42F4"/>
    <w:rsid w:val="000B7377"/>
    <w:rsid w:val="000B7419"/>
    <w:rsid w:val="000B7F54"/>
    <w:rsid w:val="000C08C1"/>
    <w:rsid w:val="000C32EE"/>
    <w:rsid w:val="000C6D89"/>
    <w:rsid w:val="000D17ED"/>
    <w:rsid w:val="000D1A14"/>
    <w:rsid w:val="000D776F"/>
    <w:rsid w:val="000E01C9"/>
    <w:rsid w:val="000E06D9"/>
    <w:rsid w:val="000E0DD7"/>
    <w:rsid w:val="000E3259"/>
    <w:rsid w:val="000F4624"/>
    <w:rsid w:val="000F6677"/>
    <w:rsid w:val="000F7DBF"/>
    <w:rsid w:val="0010014A"/>
    <w:rsid w:val="00100639"/>
    <w:rsid w:val="0010088E"/>
    <w:rsid w:val="001028FD"/>
    <w:rsid w:val="00105638"/>
    <w:rsid w:val="00114CFE"/>
    <w:rsid w:val="00115337"/>
    <w:rsid w:val="00115B5E"/>
    <w:rsid w:val="0011683E"/>
    <w:rsid w:val="00116856"/>
    <w:rsid w:val="00116C42"/>
    <w:rsid w:val="0011780F"/>
    <w:rsid w:val="00120259"/>
    <w:rsid w:val="00122F9D"/>
    <w:rsid w:val="001265BC"/>
    <w:rsid w:val="001266BF"/>
    <w:rsid w:val="00126BE8"/>
    <w:rsid w:val="00133D16"/>
    <w:rsid w:val="00134037"/>
    <w:rsid w:val="001342AC"/>
    <w:rsid w:val="00147FB4"/>
    <w:rsid w:val="0015011C"/>
    <w:rsid w:val="0015033B"/>
    <w:rsid w:val="00150429"/>
    <w:rsid w:val="00152B00"/>
    <w:rsid w:val="00157014"/>
    <w:rsid w:val="00171E05"/>
    <w:rsid w:val="00172A27"/>
    <w:rsid w:val="001761B8"/>
    <w:rsid w:val="00180ACB"/>
    <w:rsid w:val="00183B60"/>
    <w:rsid w:val="00186623"/>
    <w:rsid w:val="001879FD"/>
    <w:rsid w:val="0019452E"/>
    <w:rsid w:val="0019571D"/>
    <w:rsid w:val="001A24CC"/>
    <w:rsid w:val="001A2F98"/>
    <w:rsid w:val="001A69FC"/>
    <w:rsid w:val="001A6DCC"/>
    <w:rsid w:val="001B0396"/>
    <w:rsid w:val="001B3DBD"/>
    <w:rsid w:val="001B4377"/>
    <w:rsid w:val="001C255E"/>
    <w:rsid w:val="001C358A"/>
    <w:rsid w:val="001D042A"/>
    <w:rsid w:val="001D0DF7"/>
    <w:rsid w:val="001D2321"/>
    <w:rsid w:val="001D2DCD"/>
    <w:rsid w:val="001D5055"/>
    <w:rsid w:val="001D630C"/>
    <w:rsid w:val="001D6BED"/>
    <w:rsid w:val="001E201B"/>
    <w:rsid w:val="001E5CAC"/>
    <w:rsid w:val="001E64A9"/>
    <w:rsid w:val="001E6841"/>
    <w:rsid w:val="001E725F"/>
    <w:rsid w:val="001F1AF7"/>
    <w:rsid w:val="001F48AA"/>
    <w:rsid w:val="001F4964"/>
    <w:rsid w:val="001F7063"/>
    <w:rsid w:val="0020023B"/>
    <w:rsid w:val="00202B04"/>
    <w:rsid w:val="00203052"/>
    <w:rsid w:val="00204936"/>
    <w:rsid w:val="00206792"/>
    <w:rsid w:val="002100EE"/>
    <w:rsid w:val="0021704D"/>
    <w:rsid w:val="00222097"/>
    <w:rsid w:val="002227DB"/>
    <w:rsid w:val="00227202"/>
    <w:rsid w:val="00227377"/>
    <w:rsid w:val="00227851"/>
    <w:rsid w:val="00230FD2"/>
    <w:rsid w:val="002348E0"/>
    <w:rsid w:val="002450EE"/>
    <w:rsid w:val="002461F4"/>
    <w:rsid w:val="0026130D"/>
    <w:rsid w:val="0026246E"/>
    <w:rsid w:val="00262555"/>
    <w:rsid w:val="00262778"/>
    <w:rsid w:val="002643C1"/>
    <w:rsid w:val="00265203"/>
    <w:rsid w:val="002674A9"/>
    <w:rsid w:val="0027199E"/>
    <w:rsid w:val="00271D47"/>
    <w:rsid w:val="002721EA"/>
    <w:rsid w:val="00273714"/>
    <w:rsid w:val="00280E8A"/>
    <w:rsid w:val="00285164"/>
    <w:rsid w:val="002A2729"/>
    <w:rsid w:val="002A4956"/>
    <w:rsid w:val="002A6710"/>
    <w:rsid w:val="002A7B17"/>
    <w:rsid w:val="002B0707"/>
    <w:rsid w:val="002B1FDA"/>
    <w:rsid w:val="002B36F8"/>
    <w:rsid w:val="002B578B"/>
    <w:rsid w:val="002B5ECC"/>
    <w:rsid w:val="002B6510"/>
    <w:rsid w:val="002B72C8"/>
    <w:rsid w:val="002B7904"/>
    <w:rsid w:val="002C2507"/>
    <w:rsid w:val="002C2E6E"/>
    <w:rsid w:val="002C3538"/>
    <w:rsid w:val="002C7927"/>
    <w:rsid w:val="002D7725"/>
    <w:rsid w:val="002E0CC2"/>
    <w:rsid w:val="002E3527"/>
    <w:rsid w:val="002F0ED3"/>
    <w:rsid w:val="002F3DE3"/>
    <w:rsid w:val="002F632E"/>
    <w:rsid w:val="003021BC"/>
    <w:rsid w:val="00310AF9"/>
    <w:rsid w:val="00310DAA"/>
    <w:rsid w:val="0031465E"/>
    <w:rsid w:val="00315742"/>
    <w:rsid w:val="003163B3"/>
    <w:rsid w:val="00322A7A"/>
    <w:rsid w:val="00326C5B"/>
    <w:rsid w:val="00341DEB"/>
    <w:rsid w:val="00342F0C"/>
    <w:rsid w:val="00343154"/>
    <w:rsid w:val="0034698C"/>
    <w:rsid w:val="00346A3D"/>
    <w:rsid w:val="00350C20"/>
    <w:rsid w:val="003548FA"/>
    <w:rsid w:val="00355A74"/>
    <w:rsid w:val="00361427"/>
    <w:rsid w:val="0036458B"/>
    <w:rsid w:val="003717BD"/>
    <w:rsid w:val="00371D2F"/>
    <w:rsid w:val="00373122"/>
    <w:rsid w:val="00377CE7"/>
    <w:rsid w:val="0038033A"/>
    <w:rsid w:val="003816ED"/>
    <w:rsid w:val="00383476"/>
    <w:rsid w:val="00384161"/>
    <w:rsid w:val="00384605"/>
    <w:rsid w:val="00385A31"/>
    <w:rsid w:val="00386CA6"/>
    <w:rsid w:val="00387610"/>
    <w:rsid w:val="00395307"/>
    <w:rsid w:val="00395C2F"/>
    <w:rsid w:val="003973D3"/>
    <w:rsid w:val="00397F89"/>
    <w:rsid w:val="003A0892"/>
    <w:rsid w:val="003A422B"/>
    <w:rsid w:val="003A449E"/>
    <w:rsid w:val="003A5BC4"/>
    <w:rsid w:val="003A6AD7"/>
    <w:rsid w:val="003A71F3"/>
    <w:rsid w:val="003B19F5"/>
    <w:rsid w:val="003C67FA"/>
    <w:rsid w:val="003D0E0A"/>
    <w:rsid w:val="003D2C6C"/>
    <w:rsid w:val="003D3B22"/>
    <w:rsid w:val="003D7B3D"/>
    <w:rsid w:val="003E3E0E"/>
    <w:rsid w:val="003F451E"/>
    <w:rsid w:val="003F4939"/>
    <w:rsid w:val="003F626F"/>
    <w:rsid w:val="004002F8"/>
    <w:rsid w:val="00402B32"/>
    <w:rsid w:val="00403DAD"/>
    <w:rsid w:val="00410C93"/>
    <w:rsid w:val="00411858"/>
    <w:rsid w:val="00411B4A"/>
    <w:rsid w:val="004134DD"/>
    <w:rsid w:val="004141EF"/>
    <w:rsid w:val="00417E99"/>
    <w:rsid w:val="00421507"/>
    <w:rsid w:val="00423679"/>
    <w:rsid w:val="00424D02"/>
    <w:rsid w:val="0042525A"/>
    <w:rsid w:val="0042570A"/>
    <w:rsid w:val="00453B8F"/>
    <w:rsid w:val="00456386"/>
    <w:rsid w:val="004577CD"/>
    <w:rsid w:val="00460489"/>
    <w:rsid w:val="004608C7"/>
    <w:rsid w:val="00462878"/>
    <w:rsid w:val="00465B7A"/>
    <w:rsid w:val="00472AA2"/>
    <w:rsid w:val="00473B39"/>
    <w:rsid w:val="00475D09"/>
    <w:rsid w:val="0047600C"/>
    <w:rsid w:val="00485683"/>
    <w:rsid w:val="0049018D"/>
    <w:rsid w:val="004928A2"/>
    <w:rsid w:val="004953EC"/>
    <w:rsid w:val="004A0D29"/>
    <w:rsid w:val="004A0DE1"/>
    <w:rsid w:val="004A2410"/>
    <w:rsid w:val="004A27AC"/>
    <w:rsid w:val="004A3995"/>
    <w:rsid w:val="004B64C5"/>
    <w:rsid w:val="004C1DD0"/>
    <w:rsid w:val="004C2685"/>
    <w:rsid w:val="004C64E4"/>
    <w:rsid w:val="004D2334"/>
    <w:rsid w:val="004D2C25"/>
    <w:rsid w:val="004D3AC4"/>
    <w:rsid w:val="004E156F"/>
    <w:rsid w:val="004E3BBA"/>
    <w:rsid w:val="004E550E"/>
    <w:rsid w:val="004E55DB"/>
    <w:rsid w:val="004E612F"/>
    <w:rsid w:val="004E67C6"/>
    <w:rsid w:val="00502B2F"/>
    <w:rsid w:val="00512D00"/>
    <w:rsid w:val="00514179"/>
    <w:rsid w:val="005164D4"/>
    <w:rsid w:val="00533029"/>
    <w:rsid w:val="00544BEA"/>
    <w:rsid w:val="005460D5"/>
    <w:rsid w:val="005515C7"/>
    <w:rsid w:val="00553CF0"/>
    <w:rsid w:val="00560343"/>
    <w:rsid w:val="00563F3A"/>
    <w:rsid w:val="00566A85"/>
    <w:rsid w:val="00570C78"/>
    <w:rsid w:val="00571EB8"/>
    <w:rsid w:val="005727DE"/>
    <w:rsid w:val="00573AE3"/>
    <w:rsid w:val="00575F5D"/>
    <w:rsid w:val="005760FF"/>
    <w:rsid w:val="00580D30"/>
    <w:rsid w:val="00587896"/>
    <w:rsid w:val="005902D9"/>
    <w:rsid w:val="00590370"/>
    <w:rsid w:val="00593488"/>
    <w:rsid w:val="00596AB7"/>
    <w:rsid w:val="005A1B5C"/>
    <w:rsid w:val="005A1EA7"/>
    <w:rsid w:val="005B06FB"/>
    <w:rsid w:val="005B0724"/>
    <w:rsid w:val="005B1E46"/>
    <w:rsid w:val="005C3F4B"/>
    <w:rsid w:val="005C40C4"/>
    <w:rsid w:val="005C42AC"/>
    <w:rsid w:val="005C4F84"/>
    <w:rsid w:val="005D37D0"/>
    <w:rsid w:val="005D53D0"/>
    <w:rsid w:val="005D703E"/>
    <w:rsid w:val="005E4DD4"/>
    <w:rsid w:val="005E5525"/>
    <w:rsid w:val="005E6C44"/>
    <w:rsid w:val="0060003E"/>
    <w:rsid w:val="0060315D"/>
    <w:rsid w:val="00611D6D"/>
    <w:rsid w:val="00613410"/>
    <w:rsid w:val="00617986"/>
    <w:rsid w:val="00627729"/>
    <w:rsid w:val="00627F21"/>
    <w:rsid w:val="00634472"/>
    <w:rsid w:val="00635A69"/>
    <w:rsid w:val="00640C4A"/>
    <w:rsid w:val="00641462"/>
    <w:rsid w:val="0064583B"/>
    <w:rsid w:val="00651127"/>
    <w:rsid w:val="0065190C"/>
    <w:rsid w:val="006542F1"/>
    <w:rsid w:val="00654A48"/>
    <w:rsid w:val="0065651B"/>
    <w:rsid w:val="00664607"/>
    <w:rsid w:val="00665F75"/>
    <w:rsid w:val="00670089"/>
    <w:rsid w:val="00670C89"/>
    <w:rsid w:val="00671D49"/>
    <w:rsid w:val="00672B83"/>
    <w:rsid w:val="006763DC"/>
    <w:rsid w:val="00680AE4"/>
    <w:rsid w:val="00682205"/>
    <w:rsid w:val="0068450F"/>
    <w:rsid w:val="00684E51"/>
    <w:rsid w:val="00687A68"/>
    <w:rsid w:val="006A100B"/>
    <w:rsid w:val="006A12A4"/>
    <w:rsid w:val="006A143A"/>
    <w:rsid w:val="006A3285"/>
    <w:rsid w:val="006A4885"/>
    <w:rsid w:val="006A4C56"/>
    <w:rsid w:val="006A5194"/>
    <w:rsid w:val="006B0567"/>
    <w:rsid w:val="006B72DE"/>
    <w:rsid w:val="006C4DD3"/>
    <w:rsid w:val="006C5FC1"/>
    <w:rsid w:val="006D44E1"/>
    <w:rsid w:val="006D6662"/>
    <w:rsid w:val="006E0095"/>
    <w:rsid w:val="006E21FA"/>
    <w:rsid w:val="006E2468"/>
    <w:rsid w:val="006E477D"/>
    <w:rsid w:val="006E55C3"/>
    <w:rsid w:val="006E6D5F"/>
    <w:rsid w:val="006F0FB7"/>
    <w:rsid w:val="006F3083"/>
    <w:rsid w:val="006F4F89"/>
    <w:rsid w:val="006F5925"/>
    <w:rsid w:val="006F5E40"/>
    <w:rsid w:val="00704E5D"/>
    <w:rsid w:val="00705739"/>
    <w:rsid w:val="00706555"/>
    <w:rsid w:val="00710AE5"/>
    <w:rsid w:val="00714BF1"/>
    <w:rsid w:val="00715FB5"/>
    <w:rsid w:val="007171A6"/>
    <w:rsid w:val="0071799D"/>
    <w:rsid w:val="00726088"/>
    <w:rsid w:val="00730B6A"/>
    <w:rsid w:val="00736D88"/>
    <w:rsid w:val="00736DD2"/>
    <w:rsid w:val="0074681C"/>
    <w:rsid w:val="00746EC2"/>
    <w:rsid w:val="00755AAA"/>
    <w:rsid w:val="00781AD3"/>
    <w:rsid w:val="00781BFB"/>
    <w:rsid w:val="0078523E"/>
    <w:rsid w:val="007852E3"/>
    <w:rsid w:val="00786B40"/>
    <w:rsid w:val="00790BD0"/>
    <w:rsid w:val="00794382"/>
    <w:rsid w:val="007959AC"/>
    <w:rsid w:val="007A0439"/>
    <w:rsid w:val="007A20E0"/>
    <w:rsid w:val="007A266F"/>
    <w:rsid w:val="007A2C00"/>
    <w:rsid w:val="007B1E38"/>
    <w:rsid w:val="007B2204"/>
    <w:rsid w:val="007B2466"/>
    <w:rsid w:val="007B4B60"/>
    <w:rsid w:val="007C1867"/>
    <w:rsid w:val="007C1B8F"/>
    <w:rsid w:val="007C2392"/>
    <w:rsid w:val="007C6B0F"/>
    <w:rsid w:val="007D1041"/>
    <w:rsid w:val="007D163B"/>
    <w:rsid w:val="007D7A44"/>
    <w:rsid w:val="007D7E65"/>
    <w:rsid w:val="007E19E0"/>
    <w:rsid w:val="007F1023"/>
    <w:rsid w:val="007F6769"/>
    <w:rsid w:val="008041D4"/>
    <w:rsid w:val="00804BE7"/>
    <w:rsid w:val="00806C61"/>
    <w:rsid w:val="00807F20"/>
    <w:rsid w:val="0081156A"/>
    <w:rsid w:val="00826BF6"/>
    <w:rsid w:val="00827398"/>
    <w:rsid w:val="008375E0"/>
    <w:rsid w:val="00842974"/>
    <w:rsid w:val="00842F87"/>
    <w:rsid w:val="00843D2E"/>
    <w:rsid w:val="00850971"/>
    <w:rsid w:val="0085550A"/>
    <w:rsid w:val="00857AAB"/>
    <w:rsid w:val="008616EF"/>
    <w:rsid w:val="00863C25"/>
    <w:rsid w:val="008641B7"/>
    <w:rsid w:val="00864D80"/>
    <w:rsid w:val="00864DC1"/>
    <w:rsid w:val="00865363"/>
    <w:rsid w:val="008705BC"/>
    <w:rsid w:val="00871999"/>
    <w:rsid w:val="00875A42"/>
    <w:rsid w:val="00877852"/>
    <w:rsid w:val="0088414F"/>
    <w:rsid w:val="008904A8"/>
    <w:rsid w:val="00891D94"/>
    <w:rsid w:val="008A19AF"/>
    <w:rsid w:val="008A20FB"/>
    <w:rsid w:val="008B6EAF"/>
    <w:rsid w:val="008B7959"/>
    <w:rsid w:val="008C020B"/>
    <w:rsid w:val="008C0648"/>
    <w:rsid w:val="008C06A1"/>
    <w:rsid w:val="008C1B22"/>
    <w:rsid w:val="008C4C84"/>
    <w:rsid w:val="008C510F"/>
    <w:rsid w:val="008D067F"/>
    <w:rsid w:val="008D17BB"/>
    <w:rsid w:val="008D3283"/>
    <w:rsid w:val="008D3E79"/>
    <w:rsid w:val="008E437B"/>
    <w:rsid w:val="008E4D3F"/>
    <w:rsid w:val="008E66B8"/>
    <w:rsid w:val="008F0A2E"/>
    <w:rsid w:val="008F189F"/>
    <w:rsid w:val="008F1988"/>
    <w:rsid w:val="008F6252"/>
    <w:rsid w:val="009023F3"/>
    <w:rsid w:val="0090383C"/>
    <w:rsid w:val="0090423A"/>
    <w:rsid w:val="00905D85"/>
    <w:rsid w:val="00907D9C"/>
    <w:rsid w:val="00912132"/>
    <w:rsid w:val="009135AB"/>
    <w:rsid w:val="009226D2"/>
    <w:rsid w:val="00922FAD"/>
    <w:rsid w:val="00924F0A"/>
    <w:rsid w:val="00925082"/>
    <w:rsid w:val="00925726"/>
    <w:rsid w:val="0092708B"/>
    <w:rsid w:val="0093049D"/>
    <w:rsid w:val="00937713"/>
    <w:rsid w:val="00944E96"/>
    <w:rsid w:val="00946BBC"/>
    <w:rsid w:val="0094759E"/>
    <w:rsid w:val="00952C13"/>
    <w:rsid w:val="00955F38"/>
    <w:rsid w:val="009568ED"/>
    <w:rsid w:val="00956D45"/>
    <w:rsid w:val="00961B17"/>
    <w:rsid w:val="00962BF1"/>
    <w:rsid w:val="00965ACA"/>
    <w:rsid w:val="00966820"/>
    <w:rsid w:val="00971B53"/>
    <w:rsid w:val="00971E57"/>
    <w:rsid w:val="009723CF"/>
    <w:rsid w:val="0097368D"/>
    <w:rsid w:val="0097652A"/>
    <w:rsid w:val="00980037"/>
    <w:rsid w:val="00983B43"/>
    <w:rsid w:val="00984742"/>
    <w:rsid w:val="00991B37"/>
    <w:rsid w:val="00994343"/>
    <w:rsid w:val="009A35E3"/>
    <w:rsid w:val="009A536F"/>
    <w:rsid w:val="009B4B15"/>
    <w:rsid w:val="009B6208"/>
    <w:rsid w:val="009B72C5"/>
    <w:rsid w:val="009C3034"/>
    <w:rsid w:val="009C4BFF"/>
    <w:rsid w:val="009C7522"/>
    <w:rsid w:val="009D0FDD"/>
    <w:rsid w:val="009D1988"/>
    <w:rsid w:val="009D3162"/>
    <w:rsid w:val="009D3181"/>
    <w:rsid w:val="009D7B9B"/>
    <w:rsid w:val="009E717E"/>
    <w:rsid w:val="009E737D"/>
    <w:rsid w:val="009F18FA"/>
    <w:rsid w:val="009F3FAB"/>
    <w:rsid w:val="009F5474"/>
    <w:rsid w:val="00A03977"/>
    <w:rsid w:val="00A15FBF"/>
    <w:rsid w:val="00A1616D"/>
    <w:rsid w:val="00A1783B"/>
    <w:rsid w:val="00A26FF7"/>
    <w:rsid w:val="00A30B37"/>
    <w:rsid w:val="00A31575"/>
    <w:rsid w:val="00A37A20"/>
    <w:rsid w:val="00A40B2F"/>
    <w:rsid w:val="00A445DC"/>
    <w:rsid w:val="00A44BEA"/>
    <w:rsid w:val="00A46AA2"/>
    <w:rsid w:val="00A54427"/>
    <w:rsid w:val="00A55B14"/>
    <w:rsid w:val="00A55FAF"/>
    <w:rsid w:val="00A569E8"/>
    <w:rsid w:val="00A57FAF"/>
    <w:rsid w:val="00A601C4"/>
    <w:rsid w:val="00A62DA1"/>
    <w:rsid w:val="00A711C6"/>
    <w:rsid w:val="00A74276"/>
    <w:rsid w:val="00A837EF"/>
    <w:rsid w:val="00A84863"/>
    <w:rsid w:val="00A87472"/>
    <w:rsid w:val="00A935D2"/>
    <w:rsid w:val="00A95D95"/>
    <w:rsid w:val="00A96F89"/>
    <w:rsid w:val="00A977EC"/>
    <w:rsid w:val="00A97B46"/>
    <w:rsid w:val="00AA3FD1"/>
    <w:rsid w:val="00AA52DE"/>
    <w:rsid w:val="00AB11B3"/>
    <w:rsid w:val="00AB5ED3"/>
    <w:rsid w:val="00AB6B0C"/>
    <w:rsid w:val="00AB70CD"/>
    <w:rsid w:val="00AB7800"/>
    <w:rsid w:val="00AC1860"/>
    <w:rsid w:val="00AC1E63"/>
    <w:rsid w:val="00AC4898"/>
    <w:rsid w:val="00AC48B3"/>
    <w:rsid w:val="00AC64CE"/>
    <w:rsid w:val="00AC7AC9"/>
    <w:rsid w:val="00AD7DC5"/>
    <w:rsid w:val="00AE09E8"/>
    <w:rsid w:val="00AE1920"/>
    <w:rsid w:val="00AE46C5"/>
    <w:rsid w:val="00AE5D9A"/>
    <w:rsid w:val="00AF01B3"/>
    <w:rsid w:val="00AF0F13"/>
    <w:rsid w:val="00AF7992"/>
    <w:rsid w:val="00AF7CDD"/>
    <w:rsid w:val="00B0057E"/>
    <w:rsid w:val="00B00AB3"/>
    <w:rsid w:val="00B059A4"/>
    <w:rsid w:val="00B14C52"/>
    <w:rsid w:val="00B200AA"/>
    <w:rsid w:val="00B2403F"/>
    <w:rsid w:val="00B2488E"/>
    <w:rsid w:val="00B25EB3"/>
    <w:rsid w:val="00B400C1"/>
    <w:rsid w:val="00B41A74"/>
    <w:rsid w:val="00B42056"/>
    <w:rsid w:val="00B478C3"/>
    <w:rsid w:val="00B52715"/>
    <w:rsid w:val="00B553B1"/>
    <w:rsid w:val="00B576EB"/>
    <w:rsid w:val="00B61348"/>
    <w:rsid w:val="00B6263F"/>
    <w:rsid w:val="00B67114"/>
    <w:rsid w:val="00B7097C"/>
    <w:rsid w:val="00B75449"/>
    <w:rsid w:val="00B80C3B"/>
    <w:rsid w:val="00B81284"/>
    <w:rsid w:val="00B86DA1"/>
    <w:rsid w:val="00B87401"/>
    <w:rsid w:val="00B943FE"/>
    <w:rsid w:val="00B9452B"/>
    <w:rsid w:val="00BA527C"/>
    <w:rsid w:val="00BB0293"/>
    <w:rsid w:val="00BB1CD0"/>
    <w:rsid w:val="00BB7494"/>
    <w:rsid w:val="00BB7DA9"/>
    <w:rsid w:val="00BC2390"/>
    <w:rsid w:val="00BC5FD9"/>
    <w:rsid w:val="00BC775D"/>
    <w:rsid w:val="00BD5A75"/>
    <w:rsid w:val="00BD5EF2"/>
    <w:rsid w:val="00BE07A9"/>
    <w:rsid w:val="00BE2E36"/>
    <w:rsid w:val="00BE3E6E"/>
    <w:rsid w:val="00BE4D8F"/>
    <w:rsid w:val="00BF46A7"/>
    <w:rsid w:val="00BF5230"/>
    <w:rsid w:val="00C00289"/>
    <w:rsid w:val="00C02DFE"/>
    <w:rsid w:val="00C1090C"/>
    <w:rsid w:val="00C163BD"/>
    <w:rsid w:val="00C240C8"/>
    <w:rsid w:val="00C26513"/>
    <w:rsid w:val="00C270F8"/>
    <w:rsid w:val="00C328C9"/>
    <w:rsid w:val="00C339ED"/>
    <w:rsid w:val="00C35BA8"/>
    <w:rsid w:val="00C36E14"/>
    <w:rsid w:val="00C37BFC"/>
    <w:rsid w:val="00C37F72"/>
    <w:rsid w:val="00C420C1"/>
    <w:rsid w:val="00C43FEE"/>
    <w:rsid w:val="00C45963"/>
    <w:rsid w:val="00C472B8"/>
    <w:rsid w:val="00C529FD"/>
    <w:rsid w:val="00C53124"/>
    <w:rsid w:val="00C5353D"/>
    <w:rsid w:val="00C53B2E"/>
    <w:rsid w:val="00C6160A"/>
    <w:rsid w:val="00C65711"/>
    <w:rsid w:val="00C7204D"/>
    <w:rsid w:val="00C73473"/>
    <w:rsid w:val="00C76ECD"/>
    <w:rsid w:val="00C8352C"/>
    <w:rsid w:val="00C84B63"/>
    <w:rsid w:val="00C84E04"/>
    <w:rsid w:val="00C910BE"/>
    <w:rsid w:val="00C922BE"/>
    <w:rsid w:val="00C92770"/>
    <w:rsid w:val="00CA14B2"/>
    <w:rsid w:val="00CA14F4"/>
    <w:rsid w:val="00CA583F"/>
    <w:rsid w:val="00CA5844"/>
    <w:rsid w:val="00CA7415"/>
    <w:rsid w:val="00CA7775"/>
    <w:rsid w:val="00CB265C"/>
    <w:rsid w:val="00CB32BC"/>
    <w:rsid w:val="00CB4540"/>
    <w:rsid w:val="00CB4951"/>
    <w:rsid w:val="00CB7A07"/>
    <w:rsid w:val="00CC59BB"/>
    <w:rsid w:val="00CD1B93"/>
    <w:rsid w:val="00CD2C4E"/>
    <w:rsid w:val="00CD37D3"/>
    <w:rsid w:val="00CD3BD4"/>
    <w:rsid w:val="00CD3CC8"/>
    <w:rsid w:val="00CD635D"/>
    <w:rsid w:val="00CD6DEE"/>
    <w:rsid w:val="00CD7C5B"/>
    <w:rsid w:val="00CD7CED"/>
    <w:rsid w:val="00CE04C7"/>
    <w:rsid w:val="00CE2AFE"/>
    <w:rsid w:val="00CF156B"/>
    <w:rsid w:val="00CF1AA7"/>
    <w:rsid w:val="00CF1E02"/>
    <w:rsid w:val="00CF4BD6"/>
    <w:rsid w:val="00CF5812"/>
    <w:rsid w:val="00CF597A"/>
    <w:rsid w:val="00CF5DA2"/>
    <w:rsid w:val="00D0046E"/>
    <w:rsid w:val="00D00DA0"/>
    <w:rsid w:val="00D0103F"/>
    <w:rsid w:val="00D05BAA"/>
    <w:rsid w:val="00D07522"/>
    <w:rsid w:val="00D07F26"/>
    <w:rsid w:val="00D11A09"/>
    <w:rsid w:val="00D11BCD"/>
    <w:rsid w:val="00D13B7A"/>
    <w:rsid w:val="00D22C4B"/>
    <w:rsid w:val="00D230C7"/>
    <w:rsid w:val="00D23E7D"/>
    <w:rsid w:val="00D2405F"/>
    <w:rsid w:val="00D25002"/>
    <w:rsid w:val="00D26C71"/>
    <w:rsid w:val="00D30C7F"/>
    <w:rsid w:val="00D32DFB"/>
    <w:rsid w:val="00D41998"/>
    <w:rsid w:val="00D41BA9"/>
    <w:rsid w:val="00D44059"/>
    <w:rsid w:val="00D4511A"/>
    <w:rsid w:val="00D52376"/>
    <w:rsid w:val="00D612C2"/>
    <w:rsid w:val="00D63B17"/>
    <w:rsid w:val="00D63D50"/>
    <w:rsid w:val="00D64D38"/>
    <w:rsid w:val="00D745E0"/>
    <w:rsid w:val="00D76AA3"/>
    <w:rsid w:val="00D778E0"/>
    <w:rsid w:val="00D80604"/>
    <w:rsid w:val="00D86A86"/>
    <w:rsid w:val="00D8791E"/>
    <w:rsid w:val="00D91E20"/>
    <w:rsid w:val="00D92438"/>
    <w:rsid w:val="00D956B0"/>
    <w:rsid w:val="00DA0040"/>
    <w:rsid w:val="00DA086B"/>
    <w:rsid w:val="00DA1D7A"/>
    <w:rsid w:val="00DA44ED"/>
    <w:rsid w:val="00DA5E0A"/>
    <w:rsid w:val="00DA5FD8"/>
    <w:rsid w:val="00DA6834"/>
    <w:rsid w:val="00DA7145"/>
    <w:rsid w:val="00DA7E05"/>
    <w:rsid w:val="00DB4794"/>
    <w:rsid w:val="00DB5C3E"/>
    <w:rsid w:val="00DB628E"/>
    <w:rsid w:val="00DC4070"/>
    <w:rsid w:val="00DD14D1"/>
    <w:rsid w:val="00DD178D"/>
    <w:rsid w:val="00DD2022"/>
    <w:rsid w:val="00DD2310"/>
    <w:rsid w:val="00DD356E"/>
    <w:rsid w:val="00DD7676"/>
    <w:rsid w:val="00DE1DE6"/>
    <w:rsid w:val="00DE1E39"/>
    <w:rsid w:val="00DE3526"/>
    <w:rsid w:val="00DE513D"/>
    <w:rsid w:val="00DF235C"/>
    <w:rsid w:val="00DF47D6"/>
    <w:rsid w:val="00DF4D5A"/>
    <w:rsid w:val="00DF5425"/>
    <w:rsid w:val="00DF782C"/>
    <w:rsid w:val="00E026B4"/>
    <w:rsid w:val="00E030A0"/>
    <w:rsid w:val="00E04F16"/>
    <w:rsid w:val="00E075A1"/>
    <w:rsid w:val="00E124E3"/>
    <w:rsid w:val="00E12F81"/>
    <w:rsid w:val="00E14812"/>
    <w:rsid w:val="00E1500C"/>
    <w:rsid w:val="00E15231"/>
    <w:rsid w:val="00E15DDE"/>
    <w:rsid w:val="00E2339E"/>
    <w:rsid w:val="00E3245B"/>
    <w:rsid w:val="00E32DCD"/>
    <w:rsid w:val="00E3707B"/>
    <w:rsid w:val="00E37A64"/>
    <w:rsid w:val="00E43673"/>
    <w:rsid w:val="00E43FFC"/>
    <w:rsid w:val="00E50685"/>
    <w:rsid w:val="00E57F6B"/>
    <w:rsid w:val="00E609CE"/>
    <w:rsid w:val="00E6234F"/>
    <w:rsid w:val="00E67AC7"/>
    <w:rsid w:val="00E7120B"/>
    <w:rsid w:val="00E7342C"/>
    <w:rsid w:val="00E73B19"/>
    <w:rsid w:val="00E76363"/>
    <w:rsid w:val="00E90BE3"/>
    <w:rsid w:val="00E91D81"/>
    <w:rsid w:val="00E92BC2"/>
    <w:rsid w:val="00E937D0"/>
    <w:rsid w:val="00EA010E"/>
    <w:rsid w:val="00EA7E27"/>
    <w:rsid w:val="00EB1E33"/>
    <w:rsid w:val="00EB257C"/>
    <w:rsid w:val="00EB484F"/>
    <w:rsid w:val="00EB4DA6"/>
    <w:rsid w:val="00EB7B0A"/>
    <w:rsid w:val="00EC0881"/>
    <w:rsid w:val="00EC373F"/>
    <w:rsid w:val="00ED085E"/>
    <w:rsid w:val="00ED2F55"/>
    <w:rsid w:val="00ED5ED8"/>
    <w:rsid w:val="00EE3F0F"/>
    <w:rsid w:val="00EF0199"/>
    <w:rsid w:val="00EF25EA"/>
    <w:rsid w:val="00EF5C89"/>
    <w:rsid w:val="00EF7B9C"/>
    <w:rsid w:val="00F04BB6"/>
    <w:rsid w:val="00F07266"/>
    <w:rsid w:val="00F0789C"/>
    <w:rsid w:val="00F16313"/>
    <w:rsid w:val="00F1700E"/>
    <w:rsid w:val="00F20FF1"/>
    <w:rsid w:val="00F24317"/>
    <w:rsid w:val="00F25018"/>
    <w:rsid w:val="00F32641"/>
    <w:rsid w:val="00F35457"/>
    <w:rsid w:val="00F3595B"/>
    <w:rsid w:val="00F367F3"/>
    <w:rsid w:val="00F36A26"/>
    <w:rsid w:val="00F41F54"/>
    <w:rsid w:val="00F426A6"/>
    <w:rsid w:val="00F429FD"/>
    <w:rsid w:val="00F43D49"/>
    <w:rsid w:val="00F4623C"/>
    <w:rsid w:val="00F516C3"/>
    <w:rsid w:val="00F530E8"/>
    <w:rsid w:val="00F56399"/>
    <w:rsid w:val="00F6656D"/>
    <w:rsid w:val="00F66838"/>
    <w:rsid w:val="00F746E3"/>
    <w:rsid w:val="00F7709C"/>
    <w:rsid w:val="00F7750A"/>
    <w:rsid w:val="00F80006"/>
    <w:rsid w:val="00F80084"/>
    <w:rsid w:val="00F81C0D"/>
    <w:rsid w:val="00F876AC"/>
    <w:rsid w:val="00F93F0D"/>
    <w:rsid w:val="00F95676"/>
    <w:rsid w:val="00F96401"/>
    <w:rsid w:val="00FA0605"/>
    <w:rsid w:val="00FA1A42"/>
    <w:rsid w:val="00FA1FF5"/>
    <w:rsid w:val="00FA3B76"/>
    <w:rsid w:val="00FA3F8B"/>
    <w:rsid w:val="00FA767D"/>
    <w:rsid w:val="00FB71A0"/>
    <w:rsid w:val="00FC022F"/>
    <w:rsid w:val="00FC3C96"/>
    <w:rsid w:val="00FD2470"/>
    <w:rsid w:val="00FD5823"/>
    <w:rsid w:val="00FD7BE0"/>
    <w:rsid w:val="00FE1C27"/>
    <w:rsid w:val="00FE2CDF"/>
    <w:rsid w:val="00FE40BD"/>
    <w:rsid w:val="00FE5C31"/>
    <w:rsid w:val="00FF1B0E"/>
    <w:rsid w:val="00FF6FC1"/>
    <w:rsid w:val="00FF748B"/>
    <w:rsid w:val="03D7095C"/>
    <w:rsid w:val="10744B81"/>
    <w:rsid w:val="130D1D7A"/>
    <w:rsid w:val="147A5E14"/>
    <w:rsid w:val="15F31839"/>
    <w:rsid w:val="16CF5E02"/>
    <w:rsid w:val="18ED7A84"/>
    <w:rsid w:val="1D7414B2"/>
    <w:rsid w:val="20AE273E"/>
    <w:rsid w:val="21937C26"/>
    <w:rsid w:val="25754019"/>
    <w:rsid w:val="26205A37"/>
    <w:rsid w:val="27706A3C"/>
    <w:rsid w:val="2AA01F44"/>
    <w:rsid w:val="2BC024BF"/>
    <w:rsid w:val="2D281971"/>
    <w:rsid w:val="2E57625B"/>
    <w:rsid w:val="30B312EF"/>
    <w:rsid w:val="36F31241"/>
    <w:rsid w:val="3862042D"/>
    <w:rsid w:val="38910D12"/>
    <w:rsid w:val="38BA4D6A"/>
    <w:rsid w:val="38CB74DD"/>
    <w:rsid w:val="3C6329C5"/>
    <w:rsid w:val="411249BA"/>
    <w:rsid w:val="41AE46E3"/>
    <w:rsid w:val="41EE0F83"/>
    <w:rsid w:val="4B2D12E0"/>
    <w:rsid w:val="4CFF2296"/>
    <w:rsid w:val="4D5F4AE3"/>
    <w:rsid w:val="52D92ACB"/>
    <w:rsid w:val="5446789F"/>
    <w:rsid w:val="55B9289A"/>
    <w:rsid w:val="56A31EE4"/>
    <w:rsid w:val="5A061FA7"/>
    <w:rsid w:val="5C814A76"/>
    <w:rsid w:val="6317557C"/>
    <w:rsid w:val="634F5CF7"/>
    <w:rsid w:val="63DA1707"/>
    <w:rsid w:val="64032214"/>
    <w:rsid w:val="66437985"/>
    <w:rsid w:val="67500E86"/>
    <w:rsid w:val="67A84999"/>
    <w:rsid w:val="6908207B"/>
    <w:rsid w:val="696A5409"/>
    <w:rsid w:val="6B826114"/>
    <w:rsid w:val="6C494E84"/>
    <w:rsid w:val="6E901AB8"/>
    <w:rsid w:val="6FE969BF"/>
    <w:rsid w:val="713A123F"/>
    <w:rsid w:val="74B864FD"/>
    <w:rsid w:val="77356731"/>
    <w:rsid w:val="789F3DA6"/>
    <w:rsid w:val="7BD52290"/>
    <w:rsid w:val="7DBF6F57"/>
    <w:rsid w:val="7E481261"/>
    <w:rsid w:val="7EA71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qFormat/>
    <w:uiPriority w:val="0"/>
    <w:pPr>
      <w:keepNext/>
      <w:snapToGrid w:val="0"/>
      <w:spacing w:line="360" w:lineRule="atLeast"/>
      <w:outlineLvl w:val="0"/>
    </w:pPr>
    <w:rPr>
      <w:rFonts w:ascii="宋体"/>
    </w:rPr>
  </w:style>
  <w:style w:type="paragraph" w:styleId="3">
    <w:name w:val="heading 2"/>
    <w:basedOn w:val="1"/>
    <w:next w:val="1"/>
    <w:link w:val="66"/>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7"/>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paragraph" w:styleId="6">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semiHidden/>
    <w:unhideWhenUsed/>
    <w:qFormat/>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2520" w:leftChars="1200"/>
    </w:pPr>
  </w:style>
  <w:style w:type="paragraph" w:styleId="13">
    <w:name w:val="List Number 2"/>
    <w:basedOn w:val="1"/>
    <w:qFormat/>
    <w:uiPriority w:val="0"/>
    <w:pPr>
      <w:numPr>
        <w:ilvl w:val="0"/>
        <w:numId w:val="1"/>
      </w:numPr>
      <w:tabs>
        <w:tab w:val="left" w:pos="780"/>
        <w:tab w:val="clear" w:pos="425"/>
      </w:tabs>
      <w:spacing w:line="360" w:lineRule="auto"/>
    </w:pPr>
    <w:rPr>
      <w:sz w:val="24"/>
    </w:rPr>
  </w:style>
  <w:style w:type="paragraph" w:styleId="14">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adjustRightInd w:val="0"/>
      <w:snapToGrid w:val="0"/>
      <w:spacing w:line="360" w:lineRule="auto"/>
      <w:ind w:firstLine="420"/>
    </w:pPr>
    <w:rPr>
      <w:sz w:val="24"/>
    </w:rPr>
  </w:style>
  <w:style w:type="paragraph" w:styleId="16">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qFormat/>
    <w:uiPriority w:val="0"/>
    <w:pPr>
      <w:shd w:val="clear" w:color="auto" w:fill="000080"/>
    </w:pPr>
  </w:style>
  <w:style w:type="paragraph" w:styleId="18">
    <w:name w:val="toa heading"/>
    <w:basedOn w:val="1"/>
    <w:next w:val="1"/>
    <w:qFormat/>
    <w:uiPriority w:val="0"/>
    <w:pPr>
      <w:spacing w:before="120"/>
    </w:pPr>
    <w:rPr>
      <w:rFonts w:ascii="Arial" w:hAnsi="Arial"/>
      <w:sz w:val="24"/>
    </w:rPr>
  </w:style>
  <w:style w:type="paragraph" w:styleId="19">
    <w:name w:val="annotation text"/>
    <w:basedOn w:val="1"/>
    <w:link w:val="68"/>
    <w:qFormat/>
    <w:uiPriority w:val="0"/>
    <w:pPr>
      <w:adjustRightInd w:val="0"/>
      <w:spacing w:line="360" w:lineRule="atLeast"/>
      <w:jc w:val="left"/>
      <w:textAlignment w:val="baseline"/>
    </w:pPr>
    <w:rPr>
      <w:kern w:val="0"/>
      <w:sz w:val="24"/>
    </w:rPr>
  </w:style>
  <w:style w:type="paragraph" w:styleId="20">
    <w:name w:val="Body Text 3"/>
    <w:basedOn w:val="1"/>
    <w:qFormat/>
    <w:uiPriority w:val="0"/>
    <w:pPr>
      <w:adjustRightInd w:val="0"/>
      <w:snapToGrid w:val="0"/>
      <w:spacing w:after="120" w:line="360" w:lineRule="auto"/>
    </w:pPr>
    <w:rPr>
      <w:sz w:val="16"/>
    </w:rPr>
  </w:style>
  <w:style w:type="paragraph" w:styleId="21">
    <w:name w:val="List Bullet 3"/>
    <w:basedOn w:val="1"/>
    <w:qFormat/>
    <w:uiPriority w:val="0"/>
    <w:pPr>
      <w:numPr>
        <w:ilvl w:val="0"/>
        <w:numId w:val="2"/>
      </w:numPr>
      <w:adjustRightInd w:val="0"/>
      <w:snapToGrid w:val="0"/>
      <w:spacing w:line="360" w:lineRule="auto"/>
    </w:pPr>
    <w:rPr>
      <w:sz w:val="24"/>
    </w:rPr>
  </w:style>
  <w:style w:type="paragraph" w:styleId="22">
    <w:name w:val="Body Text"/>
    <w:basedOn w:val="1"/>
    <w:qFormat/>
    <w:uiPriority w:val="0"/>
    <w:rPr>
      <w:rFonts w:ascii="仿宋_GB2312" w:eastAsia="仿宋_GB2312"/>
      <w:sz w:val="32"/>
    </w:rPr>
  </w:style>
  <w:style w:type="paragraph" w:styleId="23">
    <w:name w:val="Body Text Indent"/>
    <w:basedOn w:val="1"/>
    <w:link w:val="69"/>
    <w:qFormat/>
    <w:uiPriority w:val="0"/>
    <w:pPr>
      <w:spacing w:line="700" w:lineRule="exact"/>
      <w:ind w:left="960"/>
    </w:pPr>
    <w:rPr>
      <w:sz w:val="44"/>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List Bullet 2"/>
    <w:basedOn w:val="1"/>
    <w:qFormat/>
    <w:uiPriority w:val="0"/>
    <w:pPr>
      <w:numPr>
        <w:ilvl w:val="0"/>
        <w:numId w:val="3"/>
      </w:numPr>
      <w:adjustRightInd w:val="0"/>
      <w:snapToGrid w:val="0"/>
      <w:spacing w:line="360" w:lineRule="auto"/>
    </w:pPr>
    <w:rPr>
      <w:sz w:val="24"/>
    </w:rPr>
  </w:style>
  <w:style w:type="paragraph" w:styleId="28">
    <w:name w:val="toc 5"/>
    <w:basedOn w:val="1"/>
    <w:next w:val="1"/>
    <w:qFormat/>
    <w:uiPriority w:val="0"/>
    <w:pPr>
      <w:ind w:left="1680" w:leftChars="800"/>
    </w:pPr>
  </w:style>
  <w:style w:type="paragraph" w:styleId="29">
    <w:name w:val="toc 3"/>
    <w:basedOn w:val="1"/>
    <w:next w:val="1"/>
    <w:qFormat/>
    <w:uiPriority w:val="39"/>
    <w:pPr>
      <w:ind w:left="840" w:leftChars="400"/>
    </w:pPr>
  </w:style>
  <w:style w:type="paragraph" w:styleId="30">
    <w:name w:val="Plain Text"/>
    <w:basedOn w:val="1"/>
    <w:qFormat/>
    <w:uiPriority w:val="0"/>
    <w:rPr>
      <w:rFonts w:ascii="宋体" w:hAnsi="Courier New"/>
      <w:sz w:val="21"/>
    </w:rPr>
  </w:style>
  <w:style w:type="paragraph" w:styleId="31">
    <w:name w:val="toc 8"/>
    <w:basedOn w:val="1"/>
    <w:next w:val="1"/>
    <w:qFormat/>
    <w:uiPriority w:val="0"/>
    <w:pPr>
      <w:ind w:left="2940" w:leftChars="1400"/>
    </w:pPr>
  </w:style>
  <w:style w:type="paragraph" w:styleId="32">
    <w:name w:val="Date"/>
    <w:basedOn w:val="1"/>
    <w:next w:val="1"/>
    <w:link w:val="70"/>
    <w:qFormat/>
    <w:uiPriority w:val="0"/>
  </w:style>
  <w:style w:type="paragraph" w:styleId="33">
    <w:name w:val="Body Text Indent 2"/>
    <w:basedOn w:val="1"/>
    <w:link w:val="71"/>
    <w:qFormat/>
    <w:uiPriority w:val="0"/>
    <w:pPr>
      <w:snapToGrid w:val="0"/>
      <w:spacing w:line="560" w:lineRule="atLeast"/>
      <w:ind w:firstLine="540"/>
    </w:pPr>
  </w:style>
  <w:style w:type="paragraph" w:styleId="34">
    <w:name w:val="Balloon Text"/>
    <w:basedOn w:val="1"/>
    <w:qFormat/>
    <w:uiPriority w:val="0"/>
    <w:rPr>
      <w:sz w:val="18"/>
    </w:rPr>
  </w:style>
  <w:style w:type="paragraph" w:styleId="35">
    <w:name w:val="footer"/>
    <w:basedOn w:val="1"/>
    <w:qFormat/>
    <w:uiPriority w:val="0"/>
    <w:pPr>
      <w:tabs>
        <w:tab w:val="center" w:pos="4153"/>
        <w:tab w:val="right" w:pos="8306"/>
      </w:tabs>
      <w:snapToGrid w:val="0"/>
      <w:jc w:val="left"/>
    </w:pPr>
    <w:rPr>
      <w:sz w:val="18"/>
    </w:rPr>
  </w:style>
  <w:style w:type="paragraph" w:styleId="36">
    <w:name w:val="header"/>
    <w:basedOn w:val="1"/>
    <w:link w:val="72"/>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qFormat/>
    <w:uiPriority w:val="0"/>
    <w:pPr>
      <w:spacing w:line="180" w:lineRule="auto"/>
      <w:jc w:val="center"/>
    </w:pPr>
    <w:rPr>
      <w:sz w:val="30"/>
    </w:rPr>
  </w:style>
  <w:style w:type="paragraph" w:styleId="38">
    <w:name w:val="List Continue 4"/>
    <w:basedOn w:val="1"/>
    <w:qFormat/>
    <w:uiPriority w:val="0"/>
    <w:pPr>
      <w:adjustRightInd w:val="0"/>
      <w:snapToGrid w:val="0"/>
      <w:spacing w:after="120" w:line="360" w:lineRule="auto"/>
      <w:ind w:left="1680" w:leftChars="800"/>
    </w:pPr>
    <w:rPr>
      <w:sz w:val="24"/>
    </w:rPr>
  </w:style>
  <w:style w:type="paragraph" w:styleId="39">
    <w:name w:val="toc 4"/>
    <w:basedOn w:val="1"/>
    <w:next w:val="1"/>
    <w:qFormat/>
    <w:uiPriority w:val="0"/>
    <w:pPr>
      <w:ind w:left="1260" w:leftChars="600"/>
    </w:pPr>
  </w:style>
  <w:style w:type="paragraph" w:styleId="40">
    <w:name w:val="footnote text"/>
    <w:basedOn w:val="1"/>
    <w:link w:val="73"/>
    <w:qFormat/>
    <w:uiPriority w:val="0"/>
    <w:pPr>
      <w:spacing w:line="360" w:lineRule="auto"/>
    </w:pPr>
    <w:rPr>
      <w:sz w:val="18"/>
    </w:rPr>
  </w:style>
  <w:style w:type="paragraph" w:styleId="41">
    <w:name w:val="toc 6"/>
    <w:basedOn w:val="1"/>
    <w:next w:val="1"/>
    <w:qFormat/>
    <w:uiPriority w:val="0"/>
    <w:pPr>
      <w:ind w:left="2100" w:leftChars="1000"/>
    </w:pPr>
  </w:style>
  <w:style w:type="paragraph" w:styleId="42">
    <w:name w:val="List 5"/>
    <w:basedOn w:val="1"/>
    <w:qFormat/>
    <w:uiPriority w:val="0"/>
    <w:pPr>
      <w:adjustRightInd w:val="0"/>
      <w:snapToGrid w:val="0"/>
      <w:spacing w:line="360" w:lineRule="auto"/>
      <w:ind w:left="100" w:leftChars="800" w:hanging="200" w:hangingChars="200"/>
    </w:pPr>
    <w:rPr>
      <w:sz w:val="24"/>
    </w:rPr>
  </w:style>
  <w:style w:type="paragraph" w:styleId="43">
    <w:name w:val="Body Text Indent 3"/>
    <w:basedOn w:val="1"/>
    <w:qFormat/>
    <w:uiPriority w:val="0"/>
    <w:pPr>
      <w:spacing w:line="360" w:lineRule="auto"/>
      <w:ind w:firstLine="632"/>
    </w:pPr>
    <w:rPr>
      <w:rFonts w:ascii="黑体" w:eastAsia="黑体"/>
    </w:rPr>
  </w:style>
  <w:style w:type="paragraph" w:styleId="44">
    <w:name w:val="table of figures"/>
    <w:basedOn w:val="1"/>
    <w:next w:val="1"/>
    <w:qFormat/>
    <w:uiPriority w:val="0"/>
    <w:pPr>
      <w:tabs>
        <w:tab w:val="right" w:leader="dot" w:pos="8640"/>
      </w:tabs>
      <w:spacing w:line="360" w:lineRule="auto"/>
      <w:ind w:left="400" w:hanging="400"/>
    </w:pPr>
    <w:rPr>
      <w:sz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3360" w:leftChars="1600"/>
    </w:pPr>
  </w:style>
  <w:style w:type="paragraph" w:styleId="47">
    <w:name w:val="Body Text 2"/>
    <w:basedOn w:val="1"/>
    <w:qFormat/>
    <w:uiPriority w:val="0"/>
    <w:pPr>
      <w:adjustRightInd w:val="0"/>
      <w:snapToGrid w:val="0"/>
      <w:spacing w:after="120" w:line="480" w:lineRule="auto"/>
    </w:pPr>
    <w:rPr>
      <w:sz w:val="24"/>
    </w:r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Normal (Web)"/>
    <w:basedOn w:val="1"/>
    <w:qFormat/>
    <w:uiPriority w:val="0"/>
    <w:pPr>
      <w:widowControl/>
      <w:spacing w:before="100" w:beforeAutospacing="1" w:after="100" w:afterAutospacing="1"/>
      <w:jc w:val="left"/>
    </w:pPr>
    <w:rPr>
      <w:rFonts w:ascii="宋体" w:hAnsi="宋体"/>
      <w:kern w:val="0"/>
      <w:sz w:val="24"/>
    </w:rPr>
  </w:style>
  <w:style w:type="paragraph" w:styleId="51">
    <w:name w:val="List Continue 3"/>
    <w:basedOn w:val="1"/>
    <w:qFormat/>
    <w:uiPriority w:val="0"/>
    <w:pPr>
      <w:adjustRightInd w:val="0"/>
      <w:snapToGrid w:val="0"/>
      <w:spacing w:after="120" w:line="360" w:lineRule="auto"/>
      <w:ind w:left="1260" w:leftChars="600"/>
    </w:pPr>
    <w:rPr>
      <w:sz w:val="24"/>
    </w:rPr>
  </w:style>
  <w:style w:type="paragraph" w:styleId="52">
    <w:name w:val="index 1"/>
    <w:basedOn w:val="1"/>
    <w:next w:val="1"/>
    <w:qFormat/>
    <w:uiPriority w:val="0"/>
    <w:pPr>
      <w:adjustRightInd w:val="0"/>
      <w:spacing w:line="240" w:lineRule="atLeast"/>
      <w:textAlignment w:val="baseline"/>
    </w:pPr>
    <w:rPr>
      <w:rFonts w:ascii="宋体"/>
      <w:kern w:val="0"/>
      <w:sz w:val="21"/>
    </w:rPr>
  </w:style>
  <w:style w:type="paragraph" w:styleId="53">
    <w:name w:val="Title"/>
    <w:basedOn w:val="1"/>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4"/>
    <w:qFormat/>
    <w:uiPriority w:val="0"/>
    <w:pPr>
      <w:adjustRightInd/>
      <w:spacing w:line="240" w:lineRule="auto"/>
      <w:textAlignment w:val="auto"/>
    </w:pPr>
  </w:style>
  <w:style w:type="paragraph" w:styleId="55">
    <w:name w:val="Body Text First Indent"/>
    <w:basedOn w:val="1"/>
    <w:qFormat/>
    <w:uiPriority w:val="0"/>
    <w:pPr>
      <w:spacing w:line="360" w:lineRule="auto"/>
      <w:ind w:firstLine="420"/>
    </w:pPr>
    <w:rPr>
      <w:rFonts w:ascii="宋体" w:hAnsi="宋体"/>
      <w:sz w:val="24"/>
    </w:rPr>
  </w:style>
  <w:style w:type="paragraph" w:styleId="56">
    <w:name w:val="Body Text First Indent 2"/>
    <w:basedOn w:val="23"/>
    <w:link w:val="75"/>
    <w:qFormat/>
    <w:uiPriority w:val="0"/>
    <w:pPr>
      <w:spacing w:after="120" w:line="240" w:lineRule="auto"/>
      <w:ind w:left="420" w:leftChars="200" w:firstLine="420" w:firstLineChars="200"/>
    </w:pPr>
  </w:style>
  <w:style w:type="character" w:styleId="59">
    <w:name w:val="Strong"/>
    <w:qFormat/>
    <w:uiPriority w:val="22"/>
    <w:rPr>
      <w:b/>
    </w:rPr>
  </w:style>
  <w:style w:type="character" w:styleId="60">
    <w:name w:val="page number"/>
    <w:qFormat/>
    <w:uiPriority w:val="0"/>
  </w:style>
  <w:style w:type="character" w:styleId="61">
    <w:name w:val="FollowedHyperlink"/>
    <w:qFormat/>
    <w:uiPriority w:val="0"/>
    <w:rPr>
      <w:color w:val="800080"/>
      <w:u w:val="single"/>
    </w:rPr>
  </w:style>
  <w:style w:type="character" w:styleId="62">
    <w:name w:val="Emphasis"/>
    <w:qFormat/>
    <w:uiPriority w:val="0"/>
    <w:rPr>
      <w:i/>
    </w:rPr>
  </w:style>
  <w:style w:type="character" w:styleId="63">
    <w:name w:val="Hyperlink"/>
    <w:qFormat/>
    <w:uiPriority w:val="99"/>
    <w:rPr>
      <w:color w:val="0000FF"/>
      <w:u w:val="single"/>
    </w:rPr>
  </w:style>
  <w:style w:type="character" w:styleId="64">
    <w:name w:val="annotation reference"/>
    <w:qFormat/>
    <w:uiPriority w:val="0"/>
    <w:rPr>
      <w:sz w:val="21"/>
      <w:szCs w:val="21"/>
    </w:rPr>
  </w:style>
  <w:style w:type="character" w:styleId="65">
    <w:name w:val="footnote reference"/>
    <w:qFormat/>
    <w:uiPriority w:val="0"/>
    <w:rPr>
      <w:position w:val="6"/>
      <w:sz w:val="14"/>
      <w:vertAlign w:val="superscript"/>
    </w:rPr>
  </w:style>
  <w:style w:type="character" w:customStyle="1" w:styleId="66">
    <w:name w:val="标题 2 字符"/>
    <w:link w:val="3"/>
    <w:qFormat/>
    <w:uiPriority w:val="0"/>
    <w:rPr>
      <w:rFonts w:ascii="Arial" w:hAnsi="Arial" w:eastAsia="黑体"/>
      <w:b/>
      <w:kern w:val="2"/>
      <w:sz w:val="32"/>
    </w:rPr>
  </w:style>
  <w:style w:type="character" w:customStyle="1" w:styleId="67">
    <w:name w:val="标题 3 字符"/>
    <w:link w:val="4"/>
    <w:qFormat/>
    <w:uiPriority w:val="0"/>
    <w:rPr>
      <w:rFonts w:eastAsia="宋体"/>
      <w:b/>
      <w:kern w:val="2"/>
      <w:sz w:val="32"/>
      <w:lang w:val="en-US" w:eastAsia="zh-CN"/>
    </w:rPr>
  </w:style>
  <w:style w:type="character" w:customStyle="1" w:styleId="68">
    <w:name w:val="批注文字 字符"/>
    <w:link w:val="19"/>
    <w:qFormat/>
    <w:uiPriority w:val="0"/>
    <w:rPr>
      <w:sz w:val="24"/>
    </w:rPr>
  </w:style>
  <w:style w:type="character" w:customStyle="1" w:styleId="69">
    <w:name w:val="正文文本缩进 字符"/>
    <w:link w:val="23"/>
    <w:qFormat/>
    <w:uiPriority w:val="0"/>
    <w:rPr>
      <w:kern w:val="2"/>
      <w:sz w:val="44"/>
    </w:rPr>
  </w:style>
  <w:style w:type="character" w:customStyle="1" w:styleId="70">
    <w:name w:val="日期 字符"/>
    <w:link w:val="32"/>
    <w:qFormat/>
    <w:uiPriority w:val="0"/>
    <w:rPr>
      <w:kern w:val="2"/>
      <w:sz w:val="28"/>
    </w:rPr>
  </w:style>
  <w:style w:type="character" w:customStyle="1" w:styleId="71">
    <w:name w:val="正文文本缩进 2 字符"/>
    <w:link w:val="33"/>
    <w:qFormat/>
    <w:uiPriority w:val="0"/>
    <w:rPr>
      <w:kern w:val="2"/>
      <w:sz w:val="28"/>
    </w:rPr>
  </w:style>
  <w:style w:type="character" w:customStyle="1" w:styleId="72">
    <w:name w:val="页眉 字符"/>
    <w:link w:val="36"/>
    <w:qFormat/>
    <w:uiPriority w:val="0"/>
    <w:rPr>
      <w:kern w:val="2"/>
      <w:sz w:val="18"/>
    </w:rPr>
  </w:style>
  <w:style w:type="character" w:customStyle="1" w:styleId="73">
    <w:name w:val="脚注文本 字符"/>
    <w:link w:val="40"/>
    <w:qFormat/>
    <w:uiPriority w:val="0"/>
    <w:rPr>
      <w:kern w:val="2"/>
      <w:sz w:val="18"/>
    </w:rPr>
  </w:style>
  <w:style w:type="character" w:customStyle="1" w:styleId="74">
    <w:name w:val="批注主题 字符"/>
    <w:link w:val="54"/>
    <w:qFormat/>
    <w:uiPriority w:val="0"/>
  </w:style>
  <w:style w:type="character" w:customStyle="1" w:styleId="75">
    <w:name w:val="正文文本首行缩进 2 字符"/>
    <w:link w:val="56"/>
    <w:qFormat/>
    <w:uiPriority w:val="0"/>
  </w:style>
  <w:style w:type="character" w:customStyle="1" w:styleId="76">
    <w:name w:val="未命名11"/>
    <w:qFormat/>
    <w:uiPriority w:val="0"/>
    <w:rPr>
      <w:color w:val="77FFFF"/>
      <w:sz w:val="24"/>
    </w:rPr>
  </w:style>
  <w:style w:type="character" w:customStyle="1" w:styleId="77">
    <w:name w:val="crowed11"/>
    <w:qFormat/>
    <w:uiPriority w:val="0"/>
    <w:rPr>
      <w:rFonts w:hint="default" w:ascii="_x000B__x000C_" w:hAnsi="_x000B__x000C_"/>
      <w:sz w:val="24"/>
    </w:rPr>
  </w:style>
  <w:style w:type="character" w:customStyle="1" w:styleId="78">
    <w:name w:val="Char Char7"/>
    <w:qFormat/>
    <w:uiPriority w:val="0"/>
    <w:rPr>
      <w:rFonts w:ascii="宋体" w:hAnsi="宋体" w:eastAsia="宋体"/>
      <w:kern w:val="2"/>
      <w:sz w:val="28"/>
    </w:rPr>
  </w:style>
  <w:style w:type="character" w:customStyle="1" w:styleId="79">
    <w:name w:val="Table Heading Char Char"/>
    <w:qFormat/>
    <w:uiPriority w:val="0"/>
    <w:rPr>
      <w:rFonts w:ascii="Arial" w:hAnsi="Arial" w:eastAsia="黑体"/>
      <w:kern w:val="2"/>
      <w:sz w:val="18"/>
      <w:lang w:val="en-US" w:eastAsia="zh-CN"/>
    </w:rPr>
  </w:style>
  <w:style w:type="character" w:customStyle="1" w:styleId="80">
    <w:name w:val="小 Char"/>
    <w:qFormat/>
    <w:uiPriority w:val="0"/>
    <w:rPr>
      <w:rFonts w:ascii="宋体" w:hAnsi="Courier New" w:eastAsia="宋体"/>
      <w:kern w:val="2"/>
      <w:sz w:val="21"/>
      <w:lang w:val="en-US" w:eastAsia="zh-CN" w:bidi="ar-SA"/>
    </w:rPr>
  </w:style>
  <w:style w:type="character" w:customStyle="1" w:styleId="81">
    <w:name w:val="Char Char6"/>
    <w:qFormat/>
    <w:uiPriority w:val="0"/>
    <w:rPr>
      <w:rFonts w:ascii="仿宋_GB2312" w:eastAsia="仿宋_GB2312"/>
      <w:kern w:val="2"/>
      <w:sz w:val="32"/>
    </w:rPr>
  </w:style>
  <w:style w:type="character" w:customStyle="1" w:styleId="82">
    <w:name w:val="文字 Char"/>
    <w:link w:val="83"/>
    <w:qFormat/>
    <w:uiPriority w:val="0"/>
    <w:rPr>
      <w:rFonts w:ascii="宋体"/>
      <w:kern w:val="2"/>
      <w:sz w:val="28"/>
    </w:rPr>
  </w:style>
  <w:style w:type="paragraph" w:customStyle="1" w:styleId="83">
    <w:name w:val="文字"/>
    <w:basedOn w:val="1"/>
    <w:link w:val="82"/>
    <w:qFormat/>
    <w:uiPriority w:val="0"/>
    <w:pPr>
      <w:tabs>
        <w:tab w:val="left" w:pos="8520"/>
      </w:tabs>
      <w:spacing w:line="312" w:lineRule="auto"/>
      <w:ind w:right="-210" w:firstLine="556"/>
    </w:pPr>
    <w:rPr>
      <w:rFonts w:ascii="宋体"/>
    </w:rPr>
  </w:style>
  <w:style w:type="character" w:customStyle="1" w:styleId="84">
    <w:name w:val="v151"/>
    <w:qFormat/>
    <w:uiPriority w:val="0"/>
    <w:rPr>
      <w:sz w:val="18"/>
    </w:rPr>
  </w:style>
  <w:style w:type="character" w:customStyle="1" w:styleId="85">
    <w:name w:val="Table Text Char Char Char Char"/>
    <w:link w:val="86"/>
    <w:qFormat/>
    <w:uiPriority w:val="0"/>
    <w:rPr>
      <w:rFonts w:ascii="Arial" w:hAnsi="Arial"/>
      <w:kern w:val="2"/>
      <w:sz w:val="18"/>
      <w:lang w:val="en-US" w:eastAsia="zh-CN" w:bidi="ar-SA"/>
    </w:rPr>
  </w:style>
  <w:style w:type="paragraph" w:customStyle="1" w:styleId="86">
    <w:name w:val="Table Text Char Char Char"/>
    <w:link w:val="85"/>
    <w:qFormat/>
    <w:uiPriority w:val="0"/>
    <w:pPr>
      <w:snapToGrid w:val="0"/>
      <w:spacing w:before="80" w:after="80"/>
    </w:pPr>
    <w:rPr>
      <w:rFonts w:ascii="Arial" w:hAnsi="Arial" w:eastAsia="宋体" w:cs="Times New Roman"/>
      <w:kern w:val="2"/>
      <w:sz w:val="18"/>
      <w:lang w:val="en-US" w:eastAsia="zh-CN" w:bidi="ar-SA"/>
    </w:rPr>
  </w:style>
  <w:style w:type="character" w:customStyle="1" w:styleId="87">
    <w:name w:val="content-white1"/>
    <w:qFormat/>
    <w:uiPriority w:val="0"/>
    <w:rPr>
      <w:rFonts w:ascii="_x000B__x000C_" w:hAnsi="_x000B__x000C_"/>
      <w:color w:val="auto"/>
      <w:sz w:val="18"/>
      <w:u w:val="none"/>
    </w:rPr>
  </w:style>
  <w:style w:type="character" w:customStyle="1" w:styleId="88">
    <w:name w:val="正文 + 三号 Char"/>
    <w:qFormat/>
    <w:uiPriority w:val="0"/>
    <w:rPr>
      <w:rFonts w:eastAsia="宋体"/>
      <w:kern w:val="2"/>
      <w:sz w:val="21"/>
      <w:lang w:val="en-US" w:eastAsia="zh-CN"/>
    </w:rPr>
  </w:style>
  <w:style w:type="character" w:customStyle="1" w:styleId="89">
    <w:name w:val="title_emph1"/>
    <w:qFormat/>
    <w:uiPriority w:val="0"/>
    <w:rPr>
      <w:rFonts w:hint="default" w:ascii="Arial" w:hAnsi="Arial"/>
      <w:b/>
      <w:sz w:val="20"/>
    </w:rPr>
  </w:style>
  <w:style w:type="character" w:customStyle="1" w:styleId="90">
    <w:name w:val="font1"/>
    <w:qFormat/>
    <w:uiPriority w:val="0"/>
    <w:rPr>
      <w:color w:val="000000"/>
      <w:sz w:val="18"/>
    </w:rPr>
  </w:style>
  <w:style w:type="character" w:customStyle="1" w:styleId="91">
    <w:name w:val="Table Text Char"/>
    <w:link w:val="92"/>
    <w:qFormat/>
    <w:uiPriority w:val="0"/>
    <w:rPr>
      <w:rFonts w:ascii="Arial" w:hAnsi="Arial"/>
      <w:kern w:val="2"/>
      <w:sz w:val="18"/>
      <w:lang w:val="en-US" w:eastAsia="zh-CN" w:bidi="ar-SA"/>
    </w:rPr>
  </w:style>
  <w:style w:type="paragraph" w:customStyle="1" w:styleId="92">
    <w:name w:val="Table Text"/>
    <w:link w:val="91"/>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Char Char3"/>
    <w:qFormat/>
    <w:uiPriority w:val="0"/>
    <w:rPr>
      <w:rFonts w:eastAsia="宋体"/>
      <w:kern w:val="2"/>
      <w:sz w:val="18"/>
      <w:lang w:val="en-US" w:eastAsia="zh-CN"/>
    </w:rPr>
  </w:style>
  <w:style w:type="character" w:customStyle="1" w:styleId="94">
    <w:name w:val="Char Char4"/>
    <w:qFormat/>
    <w:uiPriority w:val="0"/>
    <w:rPr>
      <w:rFonts w:eastAsia="宋体"/>
      <w:b/>
      <w:kern w:val="2"/>
      <w:sz w:val="21"/>
      <w:lang w:val="en-US" w:eastAsia="zh-CN"/>
    </w:rPr>
  </w:style>
  <w:style w:type="character" w:customStyle="1" w:styleId="95">
    <w:name w:val="Char Char11"/>
    <w:qFormat/>
    <w:uiPriority w:val="0"/>
    <w:rPr>
      <w:rFonts w:ascii="宋体"/>
      <w:kern w:val="2"/>
      <w:sz w:val="28"/>
    </w:rPr>
  </w:style>
  <w:style w:type="character" w:customStyle="1" w:styleId="96">
    <w:name w:val="标书正文:  0.74 厘米 Char1"/>
    <w:qFormat/>
    <w:uiPriority w:val="0"/>
    <w:rPr>
      <w:rFonts w:eastAsia="宋体"/>
      <w:kern w:val="2"/>
      <w:sz w:val="24"/>
      <w:lang w:val="en-US" w:eastAsia="zh-CN"/>
    </w:rPr>
  </w:style>
  <w:style w:type="character" w:customStyle="1" w:styleId="97">
    <w:name w:val="Table Text Char1 Char"/>
    <w:qFormat/>
    <w:uiPriority w:val="0"/>
    <w:rPr>
      <w:rFonts w:ascii="Arial" w:hAnsi="Arial"/>
      <w:kern w:val="2"/>
      <w:sz w:val="18"/>
      <w:lang w:val="en-US" w:eastAsia="zh-CN" w:bidi="ar-SA"/>
    </w:rPr>
  </w:style>
  <w:style w:type="character" w:customStyle="1" w:styleId="98">
    <w:name w:val="Char Char5"/>
    <w:qFormat/>
    <w:uiPriority w:val="0"/>
    <w:rPr>
      <w:rFonts w:ascii="Arial" w:hAnsi="Arial" w:eastAsia="宋体"/>
      <w:b/>
      <w:smallCaps/>
      <w:kern w:val="28"/>
      <w:sz w:val="36"/>
      <w:lang w:val="en-US" w:eastAsia="en-US"/>
    </w:rPr>
  </w:style>
  <w:style w:type="character" w:customStyle="1" w:styleId="99">
    <w:name w:val="top-det1"/>
    <w:qFormat/>
    <w:uiPriority w:val="0"/>
    <w:rPr>
      <w:b/>
      <w:color w:val="000000"/>
    </w:rPr>
  </w:style>
  <w:style w:type="character" w:customStyle="1" w:styleId="100">
    <w:name w:val="Char Char2"/>
    <w:qFormat/>
    <w:uiPriority w:val="0"/>
    <w:rPr>
      <w:rFonts w:eastAsia="宋体"/>
      <w:kern w:val="2"/>
      <w:sz w:val="18"/>
      <w:lang w:val="en-US" w:eastAsia="zh-CN"/>
    </w:rPr>
  </w:style>
  <w:style w:type="character" w:customStyle="1" w:styleId="101">
    <w:name w:val="H2 Char"/>
    <w:qFormat/>
    <w:uiPriority w:val="0"/>
    <w:rPr>
      <w:rFonts w:ascii="Arial" w:hAnsi="Arial" w:eastAsia="宋体"/>
      <w:kern w:val="2"/>
      <w:sz w:val="28"/>
      <w:lang w:val="en-US" w:eastAsia="zh-CN"/>
    </w:rPr>
  </w:style>
  <w:style w:type="character" w:customStyle="1" w:styleId="102">
    <w:name w:val="Char Char"/>
    <w:qFormat/>
    <w:uiPriority w:val="0"/>
    <w:rPr>
      <w:rFonts w:ascii="宋体" w:hAnsi="宋体" w:eastAsia="宋体"/>
      <w:kern w:val="2"/>
      <w:sz w:val="24"/>
      <w:lang w:val="en-US" w:eastAsia="zh-CN" w:bidi="ar-SA"/>
    </w:rPr>
  </w:style>
  <w:style w:type="character" w:customStyle="1" w:styleId="103">
    <w:name w:val="样式 宋体"/>
    <w:qFormat/>
    <w:uiPriority w:val="0"/>
    <w:rPr>
      <w:rFonts w:ascii="宋体" w:hAnsi="宋体" w:eastAsia="宋体"/>
      <w:sz w:val="28"/>
    </w:rPr>
  </w:style>
  <w:style w:type="paragraph" w:customStyle="1" w:styleId="104">
    <w:name w:val="表格文本"/>
    <w:qFormat/>
    <w:uiPriority w:val="0"/>
    <w:pPr>
      <w:tabs>
        <w:tab w:val="decimal" w:pos="0"/>
      </w:tabs>
    </w:pPr>
    <w:rPr>
      <w:rFonts w:ascii="Arial" w:hAnsi="Arial" w:eastAsia="宋体" w:cs="Times New Roman"/>
      <w:sz w:val="21"/>
      <w:lang w:val="en-US" w:eastAsia="zh-CN" w:bidi="ar-SA"/>
    </w:rPr>
  </w:style>
  <w:style w:type="paragraph" w:customStyle="1" w:styleId="105">
    <w:name w:val="Char2 Char Char Char Char Char Char"/>
    <w:basedOn w:val="1"/>
    <w:qFormat/>
    <w:uiPriority w:val="0"/>
    <w:rPr>
      <w:rFonts w:ascii="仿宋_GB2312"/>
      <w:b/>
      <w:sz w:val="30"/>
    </w:rPr>
  </w:style>
  <w:style w:type="paragraph" w:customStyle="1" w:styleId="106">
    <w:name w:val="正文文本 21"/>
    <w:basedOn w:val="1"/>
    <w:qFormat/>
    <w:uiPriority w:val="0"/>
    <w:pPr>
      <w:adjustRightInd w:val="0"/>
      <w:spacing w:before="120" w:line="360" w:lineRule="auto"/>
      <w:ind w:firstLine="480"/>
      <w:textAlignment w:val="baseline"/>
    </w:pPr>
    <w:rPr>
      <w:sz w:val="24"/>
    </w:rPr>
  </w:style>
  <w:style w:type="paragraph" w:customStyle="1" w:styleId="107">
    <w:name w:val="Char Char Char Char Char"/>
    <w:basedOn w:val="1"/>
    <w:qFormat/>
    <w:uiPriority w:val="0"/>
    <w:pPr>
      <w:tabs>
        <w:tab w:val="left" w:pos="425"/>
      </w:tabs>
      <w:ind w:left="1620" w:hanging="360"/>
    </w:pPr>
    <w:rPr>
      <w:rFonts w:ascii="Tahoma" w:hAnsi="Tahoma"/>
      <w:sz w:val="24"/>
    </w:rPr>
  </w:style>
  <w:style w:type="paragraph" w:customStyle="1" w:styleId="108">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09">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110">
    <w:name w:val="正文 + 三号"/>
    <w:basedOn w:val="1"/>
    <w:qFormat/>
    <w:uiPriority w:val="0"/>
    <w:rPr>
      <w:sz w:val="21"/>
    </w:rPr>
  </w:style>
  <w:style w:type="paragraph" w:customStyle="1" w:styleId="11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12">
    <w:name w:val="表号"/>
    <w:basedOn w:val="1"/>
    <w:qFormat/>
    <w:uiPriority w:val="0"/>
    <w:pPr>
      <w:numPr>
        <w:ilvl w:val="0"/>
        <w:numId w:val="4"/>
      </w:numPr>
      <w:tabs>
        <w:tab w:val="left" w:pos="648"/>
        <w:tab w:val="clear" w:pos="360"/>
      </w:tabs>
      <w:autoSpaceDE w:val="0"/>
      <w:autoSpaceDN w:val="0"/>
      <w:adjustRightInd w:val="0"/>
      <w:spacing w:before="210" w:after="210"/>
      <w:ind w:left="425" w:hanging="137"/>
      <w:jc w:val="center"/>
    </w:pPr>
    <w:rPr>
      <w:kern w:val="0"/>
      <w:sz w:val="21"/>
      <w:lang w:eastAsia="en-US"/>
    </w:rPr>
  </w:style>
  <w:style w:type="paragraph" w:customStyle="1" w:styleId="113">
    <w:name w:val="二级条标题"/>
    <w:basedOn w:val="114"/>
    <w:next w:val="116"/>
    <w:qFormat/>
    <w:uiPriority w:val="0"/>
    <w:pPr>
      <w:ind w:left="840"/>
      <w:outlineLvl w:val="3"/>
    </w:pPr>
  </w:style>
  <w:style w:type="paragraph" w:customStyle="1" w:styleId="114">
    <w:name w:val="一级条标题"/>
    <w:basedOn w:val="115"/>
    <w:next w:val="116"/>
    <w:qFormat/>
    <w:uiPriority w:val="0"/>
    <w:pPr>
      <w:numPr>
        <w:numId w:val="0"/>
      </w:numPr>
      <w:spacing w:before="0" w:beforeLines="0" w:after="0" w:afterLines="0"/>
      <w:ind w:left="525"/>
      <w:outlineLvl w:val="2"/>
    </w:pPr>
    <w:rPr>
      <w:sz w:val="21"/>
    </w:rPr>
  </w:style>
  <w:style w:type="paragraph" w:customStyle="1" w:styleId="115">
    <w:name w:val="章标题"/>
    <w:next w:val="1"/>
    <w:qFormat/>
    <w:uiPriority w:val="0"/>
    <w:pPr>
      <w:numPr>
        <w:ilvl w:val="1"/>
        <w:numId w:val="5"/>
      </w:numPr>
      <w:spacing w:before="156" w:beforeLines="50" w:after="156" w:afterLines="50"/>
      <w:ind w:left="0"/>
      <w:jc w:val="both"/>
      <w:outlineLvl w:val="1"/>
    </w:pPr>
    <w:rPr>
      <w:rFonts w:ascii="黑体" w:hAnsi="Times New Roman" w:eastAsia="黑体" w:cs="Times New Roman"/>
      <w:sz w:val="24"/>
      <w:lang w:val="en-US" w:eastAsia="zh-CN" w:bidi="ar-SA"/>
    </w:rPr>
  </w:style>
  <w:style w:type="paragraph" w:customStyle="1" w:styleId="1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7">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18">
    <w:name w:val="Char Char14 Char Char"/>
    <w:basedOn w:val="1"/>
    <w:qFormat/>
    <w:uiPriority w:val="0"/>
    <w:rPr>
      <w:sz w:val="21"/>
      <w:szCs w:val="24"/>
    </w:rPr>
  </w:style>
  <w:style w:type="paragraph" w:customStyle="1" w:styleId="119">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文本框样式1"/>
    <w:basedOn w:val="1"/>
    <w:qFormat/>
    <w:uiPriority w:val="0"/>
    <w:pPr>
      <w:adjustRightInd w:val="0"/>
      <w:snapToGrid w:val="0"/>
      <w:spacing w:before="60" w:line="180" w:lineRule="exact"/>
      <w:jc w:val="center"/>
    </w:pPr>
    <w:rPr>
      <w:sz w:val="21"/>
    </w:rPr>
  </w:style>
  <w:style w:type="paragraph" w:customStyle="1" w:styleId="121">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22">
    <w:name w:val="Item Step in Table"/>
    <w:qFormat/>
    <w:uiPriority w:val="0"/>
    <w:pPr>
      <w:numPr>
        <w:ilvl w:val="0"/>
        <w:numId w:val="5"/>
      </w:numPr>
      <w:tabs>
        <w:tab w:val="left" w:pos="397"/>
      </w:tabs>
      <w:spacing w:before="40" w:after="40"/>
      <w:jc w:val="both"/>
    </w:pPr>
    <w:rPr>
      <w:rFonts w:ascii="Arial" w:hAnsi="Arial" w:eastAsia="宋体" w:cs="Times New Roman"/>
      <w:sz w:val="18"/>
      <w:lang w:val="en-US" w:eastAsia="zh-CN" w:bidi="ar-SA"/>
    </w:rPr>
  </w:style>
  <w:style w:type="paragraph" w:customStyle="1" w:styleId="123">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24">
    <w:name w:val="样式4"/>
    <w:basedOn w:val="5"/>
    <w:qFormat/>
    <w:uiPriority w:val="0"/>
    <w:pPr>
      <w:adjustRightInd w:val="0"/>
      <w:snapToGrid w:val="0"/>
    </w:pPr>
  </w:style>
  <w:style w:type="paragraph" w:customStyle="1" w:styleId="125">
    <w:name w:val="摘要"/>
    <w:basedOn w:val="1"/>
    <w:next w:val="3"/>
    <w:qFormat/>
    <w:uiPriority w:val="0"/>
    <w:pPr>
      <w:spacing w:line="360" w:lineRule="auto"/>
    </w:pPr>
    <w:rPr>
      <w:rFonts w:eastAsia="黑体"/>
      <w:sz w:val="20"/>
    </w:rPr>
  </w:style>
  <w:style w:type="paragraph" w:customStyle="1" w:styleId="126">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27">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28">
    <w:name w:val="样式 正文首行缩进 2 + 首行缩进:  2 字符"/>
    <w:basedOn w:val="1"/>
    <w:qFormat/>
    <w:uiPriority w:val="0"/>
    <w:pPr>
      <w:numPr>
        <w:ilvl w:val="0"/>
        <w:numId w:val="6"/>
      </w:numPr>
      <w:adjustRightInd w:val="0"/>
      <w:snapToGrid w:val="0"/>
      <w:spacing w:line="360" w:lineRule="auto"/>
    </w:pPr>
    <w:rPr>
      <w:rFonts w:ascii="Arial" w:hAnsi="Arial"/>
      <w:b/>
      <w:sz w:val="24"/>
    </w:rPr>
  </w:style>
  <w:style w:type="paragraph" w:customStyle="1" w:styleId="129">
    <w:name w:val="Title - Date"/>
    <w:basedOn w:val="53"/>
    <w:next w:val="1"/>
    <w:qFormat/>
    <w:uiPriority w:val="0"/>
    <w:pPr>
      <w:spacing w:before="240" w:after="720"/>
    </w:pPr>
    <w:rPr>
      <w:sz w:val="28"/>
    </w:rPr>
  </w:style>
  <w:style w:type="paragraph" w:customStyle="1" w:styleId="130">
    <w:name w:val="文本1"/>
    <w:basedOn w:val="1"/>
    <w:qFormat/>
    <w:uiPriority w:val="0"/>
    <w:pPr>
      <w:adjustRightInd w:val="0"/>
      <w:spacing w:line="312" w:lineRule="atLeast"/>
      <w:jc w:val="center"/>
      <w:textAlignment w:val="baseline"/>
    </w:pPr>
    <w:rPr>
      <w:kern w:val="0"/>
      <w:sz w:val="18"/>
    </w:rPr>
  </w:style>
  <w:style w:type="paragraph" w:customStyle="1" w:styleId="131">
    <w:name w:val="样式2"/>
    <w:basedOn w:val="5"/>
    <w:qFormat/>
    <w:uiPriority w:val="0"/>
    <w:pPr>
      <w:numPr>
        <w:ilvl w:val="0"/>
        <w:numId w:val="7"/>
      </w:numPr>
      <w:spacing w:before="560" w:line="400" w:lineRule="exact"/>
      <w:jc w:val="center"/>
      <w:outlineLvl w:val="0"/>
    </w:pPr>
    <w:rPr>
      <w:b w:val="0"/>
      <w:sz w:val="44"/>
    </w:rPr>
  </w:style>
  <w:style w:type="paragraph" w:customStyle="1" w:styleId="13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33">
    <w:name w:val="1.正文"/>
    <w:basedOn w:val="1"/>
    <w:qFormat/>
    <w:uiPriority w:val="0"/>
    <w:pPr>
      <w:spacing w:line="360" w:lineRule="auto"/>
      <w:ind w:left="540" w:leftChars="225" w:firstLine="540" w:firstLineChars="225"/>
    </w:pPr>
    <w:rPr>
      <w:sz w:val="24"/>
    </w:rPr>
  </w:style>
  <w:style w:type="paragraph" w:customStyle="1" w:styleId="134">
    <w:name w:val="样式 样式 首行缩进:  2 字符 + 首行缩进:  2 字符"/>
    <w:basedOn w:val="1"/>
    <w:qFormat/>
    <w:uiPriority w:val="0"/>
    <w:pPr>
      <w:numPr>
        <w:ilvl w:val="0"/>
        <w:numId w:val="8"/>
      </w:numPr>
      <w:tabs>
        <w:tab w:val="clear" w:pos="1230"/>
      </w:tabs>
      <w:spacing w:line="360" w:lineRule="auto"/>
      <w:ind w:firstLine="480" w:firstLineChars="200"/>
    </w:pPr>
    <w:rPr>
      <w:sz w:val="24"/>
    </w:rPr>
  </w:style>
  <w:style w:type="paragraph" w:customStyle="1" w:styleId="135">
    <w:name w:val="段落正文"/>
    <w:basedOn w:val="1"/>
    <w:qFormat/>
    <w:uiPriority w:val="0"/>
    <w:pPr>
      <w:spacing w:before="156" w:beforeLines="50" w:line="360" w:lineRule="auto"/>
      <w:ind w:firstLine="200" w:firstLineChars="200"/>
    </w:pPr>
    <w:rPr>
      <w:spacing w:val="2"/>
      <w:sz w:val="24"/>
    </w:rPr>
  </w:style>
  <w:style w:type="paragraph" w:customStyle="1" w:styleId="136">
    <w:name w:val="Table Contents"/>
    <w:basedOn w:val="22"/>
    <w:qFormat/>
    <w:uiPriority w:val="0"/>
    <w:pPr>
      <w:suppressAutoHyphens/>
      <w:jc w:val="left"/>
    </w:pPr>
    <w:rPr>
      <w:rFonts w:ascii="Times New Roman" w:eastAsia="Times New Roman"/>
      <w:kern w:val="0"/>
      <w:sz w:val="24"/>
    </w:rPr>
  </w:style>
  <w:style w:type="paragraph" w:customStyle="1" w:styleId="137">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138">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39">
    <w:name w:val="关键词"/>
    <w:basedOn w:val="1"/>
    <w:next w:val="1"/>
    <w:qFormat/>
    <w:uiPriority w:val="0"/>
    <w:pPr>
      <w:spacing w:line="360" w:lineRule="auto"/>
    </w:pPr>
    <w:rPr>
      <w:rFonts w:eastAsia="黑体"/>
      <w:sz w:val="20"/>
    </w:rPr>
  </w:style>
  <w:style w:type="paragraph" w:customStyle="1" w:styleId="140">
    <w:name w:val="样式 行距: 1.5 倍行距1"/>
    <w:basedOn w:val="1"/>
    <w:qFormat/>
    <w:uiPriority w:val="0"/>
    <w:pPr>
      <w:snapToGrid w:val="0"/>
    </w:pPr>
    <w:rPr>
      <w:sz w:val="21"/>
    </w:rPr>
  </w:style>
  <w:style w:type="paragraph" w:customStyle="1" w:styleId="141">
    <w:name w:val="Char Char Char Char Char Char Char"/>
    <w:basedOn w:val="1"/>
    <w:qFormat/>
    <w:uiPriority w:val="0"/>
    <w:rPr>
      <w:rFonts w:ascii="Tahoma" w:hAnsi="Tahoma"/>
      <w:sz w:val="24"/>
    </w:rPr>
  </w:style>
  <w:style w:type="paragraph" w:customStyle="1" w:styleId="142">
    <w:name w:val="标准正文"/>
    <w:basedOn w:val="23"/>
    <w:qFormat/>
    <w:uiPriority w:val="0"/>
    <w:pPr>
      <w:spacing w:before="60" w:after="60" w:line="360" w:lineRule="auto"/>
      <w:ind w:left="0" w:firstLine="482"/>
    </w:pPr>
    <w:rPr>
      <w:rFonts w:ascii="Arial" w:hAnsi="Arial"/>
      <w:sz w:val="24"/>
    </w:rPr>
  </w:style>
  <w:style w:type="paragraph" w:customStyle="1" w:styleId="143">
    <w:name w:val="_Style 142"/>
    <w:qFormat/>
    <w:uiPriority w:val="0"/>
    <w:rPr>
      <w:rFonts w:ascii="Times New Roman" w:hAnsi="Times New Roman" w:eastAsia="宋体" w:cs="Times New Roman"/>
      <w:kern w:val="2"/>
      <w:sz w:val="21"/>
      <w:lang w:val="en-US" w:eastAsia="zh-CN" w:bidi="ar-SA"/>
    </w:rPr>
  </w:style>
  <w:style w:type="paragraph" w:customStyle="1" w:styleId="144">
    <w:name w:val="Style Heading 3h3Heading 3 - oldLevel 3 HeadH3level_3PIM 3se..."/>
    <w:basedOn w:val="4"/>
    <w:qFormat/>
    <w:uiPriority w:val="0"/>
    <w:pPr>
      <w:numPr>
        <w:ilvl w:val="2"/>
        <w:numId w:val="9"/>
      </w:numPr>
      <w:tabs>
        <w:tab w:val="left" w:pos="709"/>
        <w:tab w:val="left" w:pos="1620"/>
      </w:tabs>
    </w:pPr>
  </w:style>
  <w:style w:type="paragraph" w:customStyle="1" w:styleId="145">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6">
    <w:name w:val="00"/>
    <w:basedOn w:val="1"/>
    <w:qFormat/>
    <w:uiPriority w:val="0"/>
    <w:pPr>
      <w:autoSpaceDE w:val="0"/>
      <w:autoSpaceDN w:val="0"/>
      <w:adjustRightInd w:val="0"/>
      <w:jc w:val="left"/>
    </w:pPr>
    <w:rPr>
      <w:rFonts w:ascii="黑体" w:eastAsia="黑体"/>
      <w:b/>
      <w:kern w:val="0"/>
      <w:sz w:val="20"/>
    </w:rPr>
  </w:style>
  <w:style w:type="paragraph" w:customStyle="1" w:styleId="147">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48">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9">
    <w:name w:val="标题3——2"/>
    <w:basedOn w:val="4"/>
    <w:next w:val="55"/>
    <w:qFormat/>
    <w:uiPriority w:val="0"/>
    <w:pPr>
      <w:tabs>
        <w:tab w:val="left" w:pos="1280"/>
        <w:tab w:val="right" w:leader="dot" w:pos="8777"/>
      </w:tabs>
      <w:spacing w:before="312" w:beforeLines="100" w:after="0" w:line="240" w:lineRule="auto"/>
      <w:ind w:left="851" w:hanging="851"/>
      <w:outlineLvl w:val="9"/>
    </w:pPr>
    <w:rPr>
      <w:rFonts w:ascii="黑体" w:hAnsi="宋体" w:eastAsia="黑体"/>
      <w:sz w:val="30"/>
    </w:rPr>
  </w:style>
  <w:style w:type="paragraph" w:customStyle="1" w:styleId="150">
    <w:name w:val="列表项目"/>
    <w:basedOn w:val="1"/>
    <w:qFormat/>
    <w:uiPriority w:val="0"/>
    <w:pPr>
      <w:tabs>
        <w:tab w:val="left" w:pos="420"/>
      </w:tabs>
      <w:spacing w:line="288" w:lineRule="auto"/>
      <w:ind w:left="840" w:leftChars="200" w:hanging="420" w:hangingChars="200"/>
    </w:pPr>
    <w:rPr>
      <w:sz w:val="21"/>
    </w:rPr>
  </w:style>
  <w:style w:type="paragraph" w:customStyle="1" w:styleId="151">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52">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3">
    <w:name w:val="正文4"/>
    <w:basedOn w:val="1"/>
    <w:qFormat/>
    <w:uiPriority w:val="0"/>
    <w:pPr>
      <w:tabs>
        <w:tab w:val="left" w:pos="1275"/>
      </w:tabs>
      <w:spacing w:before="60" w:after="60" w:line="360" w:lineRule="auto"/>
      <w:ind w:left="820" w:leftChars="400" w:hanging="705"/>
    </w:pPr>
    <w:rPr>
      <w:sz w:val="24"/>
    </w:rPr>
  </w:style>
  <w:style w:type="paragraph" w:customStyle="1" w:styleId="15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55">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56">
    <w:name w:val="Char Char 字元 字元 字元 Char Char Char Char"/>
    <w:basedOn w:val="1"/>
    <w:qFormat/>
    <w:uiPriority w:val="0"/>
    <w:pPr>
      <w:adjustRightInd w:val="0"/>
      <w:spacing w:line="360" w:lineRule="auto"/>
    </w:pPr>
    <w:rPr>
      <w:kern w:val="0"/>
      <w:sz w:val="24"/>
    </w:rPr>
  </w:style>
  <w:style w:type="paragraph" w:customStyle="1" w:styleId="157">
    <w:name w:val="内容标题"/>
    <w:basedOn w:val="17"/>
    <w:qFormat/>
    <w:uiPriority w:val="0"/>
    <w:rPr>
      <w:rFonts w:ascii="Tahoma" w:hAnsi="Tahoma"/>
      <w:sz w:val="24"/>
    </w:rPr>
  </w:style>
  <w:style w:type="paragraph" w:customStyle="1" w:styleId="158">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59">
    <w:name w:val="样式3"/>
    <w:basedOn w:val="2"/>
    <w:next w:val="2"/>
    <w:qFormat/>
    <w:uiPriority w:val="0"/>
    <w:pPr>
      <w:keepLines/>
      <w:adjustRightInd w:val="0"/>
      <w:spacing w:before="340" w:after="330" w:line="576" w:lineRule="auto"/>
    </w:pPr>
    <w:rPr>
      <w:rFonts w:ascii="Times New Roman" w:eastAsia="黑体"/>
      <w:b/>
      <w:kern w:val="44"/>
      <w:sz w:val="44"/>
    </w:rPr>
  </w:style>
  <w:style w:type="paragraph" w:customStyle="1" w:styleId="160">
    <w:name w:val="默认段落字体 Para Char Char Char Char Char Char Char Char Char1 Char Char Char Char"/>
    <w:basedOn w:val="1"/>
    <w:qFormat/>
    <w:uiPriority w:val="0"/>
    <w:rPr>
      <w:rFonts w:ascii="Tahoma" w:hAnsi="Tahoma"/>
      <w:sz w:val="24"/>
    </w:rPr>
  </w:style>
  <w:style w:type="paragraph" w:customStyle="1" w:styleId="161">
    <w:name w:val="样式 标题 6第五层条 + 三号 段前: 0.5 行"/>
    <w:basedOn w:val="7"/>
    <w:qFormat/>
    <w:uiPriority w:val="0"/>
    <w:pPr>
      <w:widowControl/>
      <w:adjustRightInd/>
      <w:snapToGrid/>
      <w:spacing w:before="156" w:beforeLines="50"/>
      <w:jc w:val="left"/>
    </w:pPr>
    <w:rPr>
      <w:snapToGrid w:val="0"/>
      <w:kern w:val="24"/>
      <w:sz w:val="28"/>
    </w:rPr>
  </w:style>
  <w:style w:type="paragraph" w:customStyle="1" w:styleId="162">
    <w:name w:val="Char Char Char Char Char Char Char1"/>
    <w:basedOn w:val="17"/>
    <w:qFormat/>
    <w:uiPriority w:val="0"/>
    <w:rPr>
      <w:rFonts w:ascii="宋体" w:hAnsi="Tahoma"/>
    </w:rPr>
  </w:style>
  <w:style w:type="paragraph" w:customStyle="1" w:styleId="163">
    <w:name w:val="Title - Revision"/>
    <w:basedOn w:val="53"/>
    <w:qFormat/>
    <w:uiPriority w:val="0"/>
    <w:pPr>
      <w:spacing w:before="720"/>
    </w:pPr>
  </w:style>
  <w:style w:type="paragraph" w:customStyle="1" w:styleId="164">
    <w:name w:val="编号正文"/>
    <w:basedOn w:val="165"/>
    <w:qFormat/>
    <w:uiPriority w:val="0"/>
    <w:pPr>
      <w:snapToGrid/>
      <w:spacing w:line="360" w:lineRule="auto"/>
      <w:ind w:left="1407" w:hanging="1047"/>
      <w:jc w:val="left"/>
    </w:pPr>
    <w:rPr>
      <w:rFonts w:eastAsia="仿宋_GB2312"/>
    </w:rPr>
  </w:style>
  <w:style w:type="paragraph" w:customStyle="1" w:styleId="165">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66">
    <w:name w:val="可研正文"/>
    <w:basedOn w:val="22"/>
    <w:qFormat/>
    <w:uiPriority w:val="0"/>
    <w:pPr>
      <w:adjustRightInd w:val="0"/>
      <w:snapToGrid w:val="0"/>
      <w:spacing w:line="440" w:lineRule="exact"/>
      <w:ind w:firstLine="567"/>
    </w:pPr>
    <w:rPr>
      <w:sz w:val="28"/>
    </w:rPr>
  </w:style>
  <w:style w:type="paragraph" w:customStyle="1" w:styleId="167">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68">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69">
    <w:name w:val="样式1"/>
    <w:basedOn w:val="5"/>
    <w:qFormat/>
    <w:uiPriority w:val="0"/>
    <w:pPr>
      <w:tabs>
        <w:tab w:val="left" w:pos="720"/>
      </w:tabs>
      <w:spacing w:before="500" w:after="260" w:line="560" w:lineRule="atLeast"/>
      <w:ind w:left="420" w:hanging="420"/>
    </w:pPr>
  </w:style>
  <w:style w:type="paragraph" w:customStyle="1" w:styleId="170">
    <w:name w:val="二级列表"/>
    <w:basedOn w:val="135"/>
    <w:next w:val="135"/>
    <w:qFormat/>
    <w:uiPriority w:val="0"/>
    <w:pPr>
      <w:tabs>
        <w:tab w:val="left" w:pos="2120"/>
      </w:tabs>
      <w:ind w:firstLine="0" w:firstLineChars="0"/>
    </w:pPr>
    <w:rPr>
      <w:b/>
    </w:rPr>
  </w:style>
  <w:style w:type="paragraph" w:customStyle="1" w:styleId="171">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72">
    <w:name w:val="标题2"/>
    <w:basedOn w:val="3"/>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73">
    <w:name w:val="样式 首行缩进:  0.74 厘米"/>
    <w:basedOn w:val="1"/>
    <w:qFormat/>
    <w:uiPriority w:val="0"/>
    <w:pPr>
      <w:spacing w:line="360" w:lineRule="auto"/>
      <w:ind w:firstLine="420"/>
    </w:pPr>
    <w:rPr>
      <w:sz w:val="24"/>
    </w:rPr>
  </w:style>
  <w:style w:type="paragraph" w:customStyle="1" w:styleId="174">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175">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76">
    <w:name w:val="标书正文:  0.74 厘米"/>
    <w:basedOn w:val="1"/>
    <w:qFormat/>
    <w:uiPriority w:val="0"/>
    <w:pPr>
      <w:snapToGrid w:val="0"/>
      <w:spacing w:line="360" w:lineRule="auto"/>
      <w:ind w:firstLine="420"/>
    </w:pPr>
    <w:rPr>
      <w:sz w:val="24"/>
    </w:rPr>
  </w:style>
  <w:style w:type="paragraph" w:customStyle="1" w:styleId="177">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78">
    <w:name w:val="样式 标题 1章标题Heading 0Section HeadPIM 1H1h11st levell11H1..."/>
    <w:basedOn w:val="2"/>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79">
    <w:name w:val="文章正文"/>
    <w:basedOn w:val="1"/>
    <w:qFormat/>
    <w:uiPriority w:val="0"/>
    <w:pPr>
      <w:ind w:firstLine="560" w:firstLineChars="200"/>
    </w:pPr>
    <w:rPr>
      <w:rFonts w:ascii="仿宋_GB2312" w:hAnsi="宋体" w:eastAsia="仿宋_GB2312"/>
      <w:color w:val="000000"/>
    </w:rPr>
  </w:style>
  <w:style w:type="paragraph" w:customStyle="1" w:styleId="180">
    <w:name w:val="Char Char1 Char"/>
    <w:basedOn w:val="1"/>
    <w:qFormat/>
    <w:uiPriority w:val="0"/>
    <w:rPr>
      <w:rFonts w:ascii="Tahoma" w:hAnsi="Tahoma"/>
      <w:sz w:val="24"/>
      <w:szCs w:val="24"/>
    </w:rPr>
  </w:style>
  <w:style w:type="paragraph" w:customStyle="1" w:styleId="181">
    <w:name w:val="Item List"/>
    <w:qFormat/>
    <w:uiPriority w:val="0"/>
    <w:pPr>
      <w:numPr>
        <w:ilvl w:val="0"/>
        <w:numId w:val="10"/>
      </w:numPr>
      <w:spacing w:line="300" w:lineRule="auto"/>
      <w:jc w:val="both"/>
    </w:pPr>
    <w:rPr>
      <w:rFonts w:ascii="Arial" w:hAnsi="Arial" w:eastAsia="宋体" w:cs="Times New Roman"/>
      <w:sz w:val="21"/>
      <w:lang w:val="en-US" w:eastAsia="zh-CN" w:bidi="ar-SA"/>
    </w:rPr>
  </w:style>
  <w:style w:type="paragraph" w:customStyle="1" w:styleId="182">
    <w:name w:val="Char"/>
    <w:basedOn w:val="1"/>
    <w:qFormat/>
    <w:uiPriority w:val="0"/>
    <w:pPr>
      <w:spacing w:line="240" w:lineRule="atLeast"/>
      <w:ind w:left="420" w:firstLine="420"/>
    </w:pPr>
    <w:rPr>
      <w:kern w:val="0"/>
      <w:sz w:val="21"/>
    </w:rPr>
  </w:style>
  <w:style w:type="paragraph" w:customStyle="1" w:styleId="183">
    <w:name w:val="_"/>
    <w:basedOn w:val="1"/>
    <w:qFormat/>
    <w:uiPriority w:val="0"/>
    <w:pPr>
      <w:adjustRightInd w:val="0"/>
      <w:spacing w:line="360" w:lineRule="auto"/>
      <w:ind w:left="480" w:firstLine="200" w:firstLineChars="200"/>
      <w:textAlignment w:val="baseline"/>
    </w:pPr>
    <w:rPr>
      <w:kern w:val="0"/>
      <w:sz w:val="24"/>
    </w:rPr>
  </w:style>
  <w:style w:type="paragraph" w:customStyle="1" w:styleId="184">
    <w:name w:val="Char1 Char Char Char"/>
    <w:basedOn w:val="1"/>
    <w:qFormat/>
    <w:uiPriority w:val="0"/>
    <w:rPr>
      <w:rFonts w:ascii="Tahoma" w:hAnsi="Tahoma"/>
      <w:sz w:val="30"/>
    </w:rPr>
  </w:style>
  <w:style w:type="paragraph" w:customStyle="1" w:styleId="185">
    <w:name w:val="CSS1级正文 Char"/>
    <w:basedOn w:val="22"/>
    <w:qFormat/>
    <w:uiPriority w:val="0"/>
    <w:pPr>
      <w:adjustRightInd w:val="0"/>
      <w:snapToGrid w:val="0"/>
      <w:spacing w:line="360" w:lineRule="auto"/>
      <w:ind w:firstLine="480"/>
    </w:pPr>
    <w:rPr>
      <w:rFonts w:ascii="Times New Roman" w:eastAsia="宋体"/>
      <w:sz w:val="24"/>
    </w:rPr>
  </w:style>
  <w:style w:type="paragraph" w:customStyle="1" w:styleId="186">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87">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88">
    <w:name w:val="样式 标题 1 + 居中 段前: 6 磅 段后: 6 磅 行距: 1.5 倍行距"/>
    <w:basedOn w:val="2"/>
    <w:qFormat/>
    <w:uiPriority w:val="0"/>
    <w:pPr>
      <w:keepLines/>
      <w:adjustRightInd w:val="0"/>
      <w:spacing w:before="120" w:after="120" w:line="360" w:lineRule="auto"/>
      <w:jc w:val="center"/>
    </w:pPr>
    <w:rPr>
      <w:rFonts w:ascii="Times New Roman"/>
      <w:b/>
      <w:kern w:val="44"/>
      <w:sz w:val="32"/>
    </w:rPr>
  </w:style>
  <w:style w:type="paragraph" w:customStyle="1" w:styleId="189">
    <w:name w:val="IN Feature"/>
    <w:next w:val="19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0">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91">
    <w:name w:val="首行缩进"/>
    <w:basedOn w:val="1"/>
    <w:qFormat/>
    <w:uiPriority w:val="0"/>
    <w:pPr>
      <w:numPr>
        <w:ilvl w:val="0"/>
        <w:numId w:val="11"/>
      </w:numPr>
      <w:spacing w:line="360" w:lineRule="auto"/>
    </w:pPr>
    <w:rPr>
      <w:rFonts w:eastAsia="仿宋_GB2312"/>
    </w:rPr>
  </w:style>
  <w:style w:type="paragraph" w:customStyle="1" w:styleId="192">
    <w:name w:val="正文字缩2字"/>
    <w:basedOn w:val="1"/>
    <w:qFormat/>
    <w:uiPriority w:val="0"/>
    <w:pPr>
      <w:spacing w:before="60" w:after="60" w:line="360" w:lineRule="auto"/>
      <w:ind w:left="200" w:leftChars="200" w:firstLine="200" w:firstLineChars="200"/>
    </w:pPr>
    <w:rPr>
      <w:sz w:val="24"/>
    </w:rPr>
  </w:style>
  <w:style w:type="paragraph" w:customStyle="1" w:styleId="193">
    <w:name w:val="表文字"/>
    <w:qFormat/>
    <w:uiPriority w:val="0"/>
    <w:rPr>
      <w:rFonts w:ascii="宋体" w:hAnsi="Times New Roman" w:eastAsia="宋体" w:cs="Times New Roman"/>
      <w:kern w:val="2"/>
      <w:lang w:val="en-US" w:eastAsia="zh-CN" w:bidi="ar-SA"/>
    </w:rPr>
  </w:style>
  <w:style w:type="paragraph" w:customStyle="1" w:styleId="194">
    <w:name w:val="正文文本缩进 21"/>
    <w:basedOn w:val="1"/>
    <w:qFormat/>
    <w:uiPriority w:val="0"/>
    <w:pPr>
      <w:adjustRightInd w:val="0"/>
      <w:spacing w:before="120"/>
      <w:ind w:firstLine="420"/>
      <w:textAlignment w:val="baseline"/>
    </w:pPr>
    <w:rPr>
      <w:sz w:val="24"/>
    </w:rPr>
  </w:style>
  <w:style w:type="paragraph" w:customStyle="1" w:styleId="195">
    <w:name w:val="标题无"/>
    <w:basedOn w:val="1"/>
    <w:qFormat/>
    <w:uiPriority w:val="0"/>
    <w:pPr>
      <w:spacing w:line="360" w:lineRule="auto"/>
    </w:pPr>
    <w:rPr>
      <w:sz w:val="24"/>
    </w:rPr>
  </w:style>
  <w:style w:type="paragraph" w:customStyle="1" w:styleId="196">
    <w:name w:val="简单回函地址"/>
    <w:basedOn w:val="1"/>
    <w:qFormat/>
    <w:uiPriority w:val="0"/>
    <w:pPr>
      <w:adjustRightInd w:val="0"/>
      <w:snapToGrid w:val="0"/>
      <w:spacing w:line="360" w:lineRule="auto"/>
    </w:pPr>
    <w:rPr>
      <w:sz w:val="24"/>
    </w:rPr>
  </w:style>
  <w:style w:type="paragraph" w:customStyle="1" w:styleId="197">
    <w:name w:val="正文（首行不缩进）"/>
    <w:basedOn w:val="1"/>
    <w:qFormat/>
    <w:uiPriority w:val="0"/>
    <w:pPr>
      <w:autoSpaceDE w:val="0"/>
      <w:autoSpaceDN w:val="0"/>
      <w:adjustRightInd w:val="0"/>
      <w:spacing w:line="360" w:lineRule="auto"/>
      <w:jc w:val="left"/>
    </w:pPr>
    <w:rPr>
      <w:kern w:val="0"/>
      <w:sz w:val="21"/>
    </w:rPr>
  </w:style>
  <w:style w:type="paragraph" w:customStyle="1" w:styleId="198">
    <w:name w:val="正文1"/>
    <w:basedOn w:val="1"/>
    <w:qFormat/>
    <w:uiPriority w:val="0"/>
    <w:pPr>
      <w:spacing w:line="300" w:lineRule="auto"/>
      <w:ind w:firstLine="200" w:firstLineChars="200"/>
    </w:pPr>
    <w:rPr>
      <w:sz w:val="24"/>
    </w:rPr>
  </w:style>
  <w:style w:type="paragraph" w:customStyle="1" w:styleId="199">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00">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201">
    <w:name w:val="表头样式"/>
    <w:basedOn w:val="1"/>
    <w:qFormat/>
    <w:uiPriority w:val="0"/>
    <w:pPr>
      <w:autoSpaceDE w:val="0"/>
      <w:autoSpaceDN w:val="0"/>
      <w:adjustRightInd w:val="0"/>
      <w:spacing w:line="360" w:lineRule="auto"/>
      <w:jc w:val="left"/>
    </w:pPr>
    <w:rPr>
      <w:b/>
      <w:kern w:val="0"/>
      <w:sz w:val="21"/>
    </w:rPr>
  </w:style>
  <w:style w:type="paragraph" w:customStyle="1" w:styleId="202">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203">
    <w:name w:val="样式 正文缩进正文（首行缩进两字）表正文正文非缩进特点标题4段1 + 首行缩进:  2 字符"/>
    <w:basedOn w:val="15"/>
    <w:qFormat/>
    <w:uiPriority w:val="0"/>
    <w:pPr>
      <w:ind w:firstLine="480" w:firstLineChars="200"/>
    </w:pPr>
  </w:style>
  <w:style w:type="paragraph" w:customStyle="1" w:styleId="204">
    <w:name w:val="图片文字"/>
    <w:basedOn w:val="1"/>
    <w:qFormat/>
    <w:uiPriority w:val="0"/>
    <w:pPr>
      <w:spacing w:line="240" w:lineRule="atLeast"/>
      <w:jc w:val="center"/>
    </w:pPr>
    <w:rPr>
      <w:sz w:val="21"/>
    </w:rPr>
  </w:style>
  <w:style w:type="paragraph" w:customStyle="1" w:styleId="205">
    <w:name w:val="1"/>
    <w:basedOn w:val="1"/>
    <w:next w:val="30"/>
    <w:qFormat/>
    <w:uiPriority w:val="0"/>
    <w:rPr>
      <w:rFonts w:ascii="宋体" w:hAnsi="Courier New"/>
      <w:sz w:val="21"/>
    </w:rPr>
  </w:style>
  <w:style w:type="paragraph" w:customStyle="1" w:styleId="206">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207">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08">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09">
    <w:name w:val="附录3"/>
    <w:basedOn w:val="1"/>
    <w:next w:val="1"/>
    <w:qFormat/>
    <w:uiPriority w:val="0"/>
    <w:pPr>
      <w:tabs>
        <w:tab w:val="left" w:pos="851"/>
      </w:tabs>
      <w:ind w:left="425" w:hanging="425"/>
      <w:outlineLvl w:val="2"/>
    </w:pPr>
    <w:rPr>
      <w:rFonts w:eastAsia="黑体"/>
      <w:b/>
      <w:sz w:val="32"/>
    </w:rPr>
  </w:style>
  <w:style w:type="paragraph" w:customStyle="1" w:styleId="210">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11">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12">
    <w:name w:val="首行缩进 1"/>
    <w:basedOn w:val="1"/>
    <w:qFormat/>
    <w:uiPriority w:val="0"/>
    <w:pPr>
      <w:spacing w:after="120" w:line="360" w:lineRule="auto"/>
      <w:ind w:firstLine="200" w:firstLineChars="200"/>
    </w:pPr>
    <w:rPr>
      <w:sz w:val="24"/>
    </w:rPr>
  </w:style>
  <w:style w:type="paragraph" w:customStyle="1" w:styleId="213">
    <w:name w:val="表头文本"/>
    <w:qFormat/>
    <w:uiPriority w:val="0"/>
    <w:pPr>
      <w:jc w:val="center"/>
    </w:pPr>
    <w:rPr>
      <w:rFonts w:ascii="Arial" w:hAnsi="Arial" w:eastAsia="宋体" w:cs="Times New Roman"/>
      <w:b/>
      <w:sz w:val="21"/>
      <w:lang w:val="en-US" w:eastAsia="zh-CN" w:bidi="ar-SA"/>
    </w:rPr>
  </w:style>
  <w:style w:type="paragraph" w:customStyle="1" w:styleId="214">
    <w:name w:val="Char Char Char"/>
    <w:basedOn w:val="1"/>
    <w:qFormat/>
    <w:uiPriority w:val="0"/>
    <w:rPr>
      <w:rFonts w:ascii="Tahoma" w:hAnsi="Tahoma"/>
      <w:sz w:val="24"/>
    </w:rPr>
  </w:style>
  <w:style w:type="paragraph" w:customStyle="1" w:styleId="215">
    <w:name w:val="Char11"/>
    <w:basedOn w:val="1"/>
    <w:qFormat/>
    <w:uiPriority w:val="0"/>
    <w:pPr>
      <w:spacing w:line="240" w:lineRule="atLeast"/>
      <w:ind w:left="420" w:firstLine="420"/>
    </w:pPr>
    <w:rPr>
      <w:kern w:val="0"/>
      <w:sz w:val="21"/>
    </w:rPr>
  </w:style>
  <w:style w:type="paragraph" w:customStyle="1" w:styleId="216">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17">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218">
    <w:name w:val="默认段落字体 Para Char Char Char Char Char Char Char"/>
    <w:basedOn w:val="1"/>
    <w:qFormat/>
    <w:uiPriority w:val="0"/>
    <w:rPr>
      <w:rFonts w:ascii="Tahoma" w:hAnsi="Tahoma"/>
      <w:sz w:val="24"/>
    </w:rPr>
  </w:style>
  <w:style w:type="paragraph" w:customStyle="1" w:styleId="219">
    <w:name w:val="正文表格"/>
    <w:basedOn w:val="1"/>
    <w:qFormat/>
    <w:uiPriority w:val="0"/>
    <w:pPr>
      <w:adjustRightInd w:val="0"/>
      <w:spacing w:before="40" w:after="40"/>
    </w:pPr>
    <w:rPr>
      <w:sz w:val="24"/>
    </w:rPr>
  </w:style>
  <w:style w:type="paragraph" w:customStyle="1" w:styleId="220">
    <w:name w:val="表格内文字"/>
    <w:basedOn w:val="30"/>
    <w:qFormat/>
    <w:uiPriority w:val="0"/>
    <w:pPr>
      <w:adjustRightInd w:val="0"/>
    </w:pPr>
    <w:rPr>
      <w:color w:val="000000"/>
      <w:lang w:val="en-GB"/>
    </w:rPr>
  </w:style>
  <w:style w:type="paragraph" w:customStyle="1" w:styleId="221">
    <w:name w:val="样式1xz"/>
    <w:basedOn w:val="1"/>
    <w:qFormat/>
    <w:uiPriority w:val="0"/>
    <w:pPr>
      <w:tabs>
        <w:tab w:val="left" w:pos="1050"/>
        <w:tab w:val="right" w:leader="dot" w:pos="8296"/>
      </w:tabs>
    </w:pPr>
    <w:rPr>
      <w:caps/>
      <w:spacing w:val="20"/>
      <w:sz w:val="24"/>
    </w:rPr>
  </w:style>
  <w:style w:type="paragraph" w:customStyle="1" w:styleId="222">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223">
    <w:name w:val="Char1"/>
    <w:basedOn w:val="1"/>
    <w:qFormat/>
    <w:uiPriority w:val="0"/>
    <w:rPr>
      <w:sz w:val="21"/>
    </w:rPr>
  </w:style>
  <w:style w:type="paragraph" w:customStyle="1" w:styleId="224">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5">
    <w:name w:val="Note"/>
    <w:basedOn w:val="1"/>
    <w:qFormat/>
    <w:uiPriority w:val="0"/>
    <w:pPr>
      <w:pBdr>
        <w:top w:val="single" w:color="auto" w:sz="12" w:space="3"/>
        <w:bottom w:val="single" w:color="auto" w:sz="12" w:space="3"/>
      </w:pBdr>
      <w:spacing w:line="360" w:lineRule="auto"/>
    </w:pPr>
    <w:rPr>
      <w:sz w:val="24"/>
    </w:rPr>
  </w:style>
  <w:style w:type="paragraph" w:customStyle="1" w:styleId="226">
    <w:name w:val="af"/>
    <w:basedOn w:val="1"/>
    <w:qFormat/>
    <w:uiPriority w:val="0"/>
    <w:pPr>
      <w:widowControl/>
      <w:spacing w:line="300" w:lineRule="atLeast"/>
      <w:jc w:val="left"/>
    </w:pPr>
    <w:rPr>
      <w:rFonts w:ascii="宋体" w:hAnsi="宋体"/>
      <w:kern w:val="0"/>
      <w:sz w:val="18"/>
    </w:rPr>
  </w:style>
  <w:style w:type="paragraph" w:customStyle="1" w:styleId="227">
    <w:name w:val="Char Char Char Char Char Char Char Char Char Char Char Char Char Char Char Char"/>
    <w:basedOn w:val="1"/>
    <w:qFormat/>
    <w:uiPriority w:val="0"/>
    <w:pPr>
      <w:tabs>
        <w:tab w:val="left" w:pos="360"/>
      </w:tabs>
    </w:pPr>
    <w:rPr>
      <w:sz w:val="24"/>
    </w:rPr>
  </w:style>
  <w:style w:type="paragraph" w:customStyle="1" w:styleId="228">
    <w:name w:val="没有缩进（为图形使用）"/>
    <w:basedOn w:val="1"/>
    <w:qFormat/>
    <w:uiPriority w:val="0"/>
    <w:pPr>
      <w:spacing w:before="120" w:after="120" w:line="360" w:lineRule="auto"/>
    </w:pPr>
    <w:rPr>
      <w:sz w:val="24"/>
    </w:rPr>
  </w:style>
  <w:style w:type="paragraph" w:customStyle="1" w:styleId="229">
    <w:name w:val="样式 宋体 五号 行距: 单倍行距"/>
    <w:basedOn w:val="1"/>
    <w:qFormat/>
    <w:uiPriority w:val="0"/>
    <w:pPr>
      <w:adjustRightInd w:val="0"/>
      <w:jc w:val="left"/>
    </w:pPr>
    <w:rPr>
      <w:rFonts w:ascii="宋体" w:hAnsi="宋体"/>
      <w:kern w:val="0"/>
      <w:sz w:val="21"/>
    </w:rPr>
  </w:style>
  <w:style w:type="paragraph" w:customStyle="1" w:styleId="230">
    <w:name w:val="操作步骤"/>
    <w:basedOn w:val="1"/>
    <w:qFormat/>
    <w:uiPriority w:val="0"/>
    <w:pPr>
      <w:numPr>
        <w:ilvl w:val="0"/>
        <w:numId w:val="12"/>
      </w:numPr>
      <w:autoSpaceDE w:val="0"/>
      <w:autoSpaceDN w:val="0"/>
      <w:adjustRightInd w:val="0"/>
      <w:snapToGrid w:val="0"/>
      <w:spacing w:line="40" w:lineRule="atLeast"/>
      <w:textAlignment w:val="bottom"/>
    </w:pPr>
    <w:rPr>
      <w:rFonts w:ascii="昆仑楷体" w:eastAsia="楷体_GB2312"/>
      <w:kern w:val="0"/>
      <w:sz w:val="21"/>
    </w:rPr>
  </w:style>
  <w:style w:type="paragraph" w:customStyle="1" w:styleId="231">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32">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33">
    <w:name w:val="图例"/>
    <w:basedOn w:val="1"/>
    <w:qFormat/>
    <w:uiPriority w:val="0"/>
    <w:pPr>
      <w:spacing w:before="120" w:after="120" w:line="360" w:lineRule="auto"/>
      <w:jc w:val="center"/>
    </w:pPr>
    <w:rPr>
      <w:rFonts w:eastAsia="仿宋_GB2312"/>
      <w:b/>
      <w:sz w:val="24"/>
    </w:rPr>
  </w:style>
  <w:style w:type="paragraph" w:customStyle="1" w:styleId="234">
    <w:name w:val="Char1 Char Char Char1"/>
    <w:basedOn w:val="1"/>
    <w:qFormat/>
    <w:uiPriority w:val="0"/>
    <w:rPr>
      <w:rFonts w:ascii="Tahoma" w:hAnsi="Tahoma"/>
      <w:sz w:val="24"/>
    </w:rPr>
  </w:style>
  <w:style w:type="paragraph" w:customStyle="1" w:styleId="235">
    <w:name w:val="样式 宋体 五号 两端对齐 行距: 单倍行距"/>
    <w:basedOn w:val="1"/>
    <w:qFormat/>
    <w:uiPriority w:val="0"/>
    <w:pPr>
      <w:adjustRightInd w:val="0"/>
      <w:textAlignment w:val="baseline"/>
    </w:pPr>
    <w:rPr>
      <w:rFonts w:ascii="宋体" w:hAnsi="宋体"/>
      <w:kern w:val="0"/>
      <w:sz w:val="21"/>
    </w:rPr>
  </w:style>
  <w:style w:type="paragraph" w:styleId="236">
    <w:name w:val="List Paragraph"/>
    <w:basedOn w:val="1"/>
    <w:qFormat/>
    <w:uiPriority w:val="99"/>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罗成</Manager>
  <Company>重庆市政府采购中心</Company>
  <Pages>62</Pages>
  <Words>28730</Words>
  <Characters>29510</Characters>
  <Lines>238</Lines>
  <Paragraphs>67</Paragraphs>
  <TotalTime>10</TotalTime>
  <ScaleCrop>false</ScaleCrop>
  <LinksUpToDate>false</LinksUpToDate>
  <CharactersWithSpaces>31158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2023-01-04T02:27:00Z</dcterms:created>
  <dc:creator>周媛媛</dc:creator>
  <cp:lastModifiedBy>奥利佛</cp:lastModifiedBy>
  <cp:lastPrinted>2015-03-25T02:14:00Z</cp:lastPrinted>
  <dcterms:modified xsi:type="dcterms:W3CDTF">2023-07-05T08:06:43Z</dcterms:modified>
  <dc:title>竞争性谈判文件</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48AA3F89356341AB81E9617D9A91B3CB_13</vt:lpwstr>
  </property>
</Properties>
</file>