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auto"/>
          <w:sz w:val="44"/>
          <w:szCs w:val="44"/>
          <w:highlight w:val="none"/>
        </w:rPr>
      </w:pPr>
      <w:r>
        <w:rPr>
          <w:color w:val="auto"/>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color w:val="auto"/>
          <w:sz w:val="44"/>
          <w:szCs w:val="44"/>
          <w:highlight w:val="none"/>
        </w:rPr>
      </w:pPr>
    </w:p>
    <w:p>
      <w:pPr>
        <w:spacing w:line="760" w:lineRule="exact"/>
        <w:jc w:val="center"/>
        <w:rPr>
          <w:rFonts w:ascii="方正仿宋_GBK" w:eastAsia="方正仿宋_GBK"/>
          <w:color w:val="auto"/>
          <w:sz w:val="44"/>
          <w:szCs w:val="44"/>
          <w:highlight w:val="none"/>
        </w:rPr>
      </w:pPr>
    </w:p>
    <w:p>
      <w:pPr>
        <w:spacing w:line="760" w:lineRule="exact"/>
        <w:jc w:val="center"/>
        <w:rPr>
          <w:rFonts w:ascii="方正仿宋_GBK" w:eastAsia="方正仿宋_GBK"/>
          <w:color w:val="auto"/>
          <w:sz w:val="44"/>
          <w:szCs w:val="44"/>
          <w:highlight w:val="none"/>
        </w:rPr>
      </w:pPr>
    </w:p>
    <w:p>
      <w:pPr>
        <w:spacing w:line="760" w:lineRule="exact"/>
        <w:jc w:val="center"/>
        <w:rPr>
          <w:rFonts w:ascii="方正小标宋简体" w:eastAsia="方正小标宋简体"/>
          <w:color w:val="auto"/>
          <w:sz w:val="72"/>
          <w:szCs w:val="72"/>
          <w:highlight w:val="none"/>
        </w:rPr>
      </w:pPr>
      <w:r>
        <w:rPr>
          <w:rFonts w:hint="eastAsia" w:ascii="方正小标宋简体" w:eastAsia="方正小标宋简体"/>
          <w:color w:val="auto"/>
          <w:sz w:val="72"/>
          <w:szCs w:val="72"/>
          <w:highlight w:val="none"/>
        </w:rPr>
        <w:t>重庆医科大学</w:t>
      </w:r>
    </w:p>
    <w:p>
      <w:pPr>
        <w:spacing w:line="760" w:lineRule="exact"/>
        <w:jc w:val="center"/>
        <w:rPr>
          <w:rFonts w:ascii="方正小标宋简体" w:eastAsia="方正小标宋简体"/>
          <w:color w:val="auto"/>
          <w:sz w:val="72"/>
          <w:szCs w:val="72"/>
          <w:highlight w:val="none"/>
        </w:rPr>
      </w:pPr>
    </w:p>
    <w:p>
      <w:pPr>
        <w:spacing w:line="760" w:lineRule="exact"/>
        <w:jc w:val="center"/>
        <w:outlineLvl w:val="0"/>
        <w:rPr>
          <w:rFonts w:ascii="方正小标宋简体" w:eastAsia="方正小标宋简体"/>
          <w:color w:val="auto"/>
          <w:sz w:val="72"/>
          <w:szCs w:val="72"/>
          <w:highlight w:val="none"/>
        </w:rPr>
      </w:pPr>
      <w:r>
        <w:rPr>
          <w:rFonts w:hint="eastAsia" w:ascii="方正小标宋简体" w:eastAsia="方正小标宋简体"/>
          <w:color w:val="auto"/>
          <w:sz w:val="72"/>
          <w:szCs w:val="72"/>
          <w:highlight w:val="none"/>
        </w:rPr>
        <w:t>竞争性谈判文件</w:t>
      </w:r>
    </w:p>
    <w:p>
      <w:pPr>
        <w:spacing w:line="760" w:lineRule="exact"/>
        <w:rPr>
          <w:rFonts w:ascii="方正仿宋_GBK" w:hAnsi="仿宋" w:eastAsia="方正仿宋_GBK"/>
          <w:color w:val="auto"/>
          <w:spacing w:val="80"/>
          <w:sz w:val="44"/>
          <w:szCs w:val="44"/>
          <w:highlight w:val="none"/>
        </w:rPr>
      </w:pPr>
    </w:p>
    <w:p>
      <w:pPr>
        <w:spacing w:line="760" w:lineRule="exact"/>
        <w:jc w:val="center"/>
        <w:rPr>
          <w:rFonts w:ascii="方正仿宋_GBK" w:eastAsia="方正仿宋_GBK"/>
          <w:color w:val="auto"/>
          <w:spacing w:val="80"/>
          <w:sz w:val="44"/>
          <w:szCs w:val="44"/>
          <w:highlight w:val="none"/>
        </w:rPr>
      </w:pPr>
    </w:p>
    <w:p>
      <w:pPr>
        <w:spacing w:line="760" w:lineRule="exact"/>
        <w:ind w:firstLine="964" w:firstLineChars="200"/>
        <w:jc w:val="left"/>
        <w:rPr>
          <w:rFonts w:hint="eastAsia" w:ascii="宋体" w:hAnsi="宋体"/>
          <w:color w:val="auto"/>
          <w:sz w:val="48"/>
          <w:szCs w:val="48"/>
          <w:highlight w:val="none"/>
        </w:rPr>
      </w:pPr>
      <w:r>
        <w:rPr>
          <w:rFonts w:hint="eastAsia" w:ascii="宋体" w:hAnsi="宋体"/>
          <w:b/>
          <w:bCs/>
          <w:color w:val="auto"/>
          <w:sz w:val="48"/>
          <w:szCs w:val="48"/>
          <w:highlight w:val="none"/>
        </w:rPr>
        <w:t>采购计划编号</w:t>
      </w:r>
      <w:r>
        <w:rPr>
          <w:rFonts w:hint="eastAsia" w:ascii="宋体" w:hAnsi="宋体"/>
          <w:color w:val="auto"/>
          <w:sz w:val="48"/>
          <w:szCs w:val="48"/>
          <w:highlight w:val="none"/>
        </w:rPr>
        <w:t>：JC20230504008</w:t>
      </w:r>
    </w:p>
    <w:p>
      <w:pPr>
        <w:spacing w:line="760" w:lineRule="exact"/>
        <w:ind w:left="2886" w:leftChars="342" w:hanging="1928" w:hangingChars="400"/>
        <w:jc w:val="left"/>
        <w:rPr>
          <w:rFonts w:hint="eastAsia" w:ascii="宋体" w:hAnsi="宋体"/>
          <w:color w:val="auto"/>
          <w:sz w:val="48"/>
          <w:szCs w:val="48"/>
          <w:highlight w:val="none"/>
        </w:rPr>
      </w:pPr>
      <w:r>
        <w:rPr>
          <w:rFonts w:hint="eastAsia" w:ascii="宋体" w:hAnsi="宋体"/>
          <w:b/>
          <w:bCs/>
          <w:color w:val="auto"/>
          <w:sz w:val="48"/>
          <w:szCs w:val="48"/>
          <w:highlight w:val="none"/>
        </w:rPr>
        <w:t>采购项目名称</w:t>
      </w:r>
      <w:r>
        <w:rPr>
          <w:rFonts w:hint="eastAsia" w:ascii="宋体" w:hAnsi="宋体"/>
          <w:color w:val="auto"/>
          <w:sz w:val="48"/>
          <w:szCs w:val="48"/>
          <w:highlight w:val="none"/>
        </w:rPr>
        <w:t>：重庆医科大学基础医学院采购动物暂存及</w:t>
      </w:r>
      <w:r>
        <w:rPr>
          <w:rFonts w:hint="eastAsia" w:ascii="宋体" w:hAnsi="宋体"/>
          <w:color w:val="auto"/>
          <w:sz w:val="48"/>
          <w:szCs w:val="48"/>
          <w:highlight w:val="none"/>
          <w:lang w:val="en-US" w:eastAsia="zh-CN"/>
        </w:rPr>
        <w:t>废气</w:t>
      </w:r>
      <w:r>
        <w:rPr>
          <w:rFonts w:hint="eastAsia" w:ascii="宋体" w:hAnsi="宋体"/>
          <w:color w:val="auto"/>
          <w:sz w:val="48"/>
          <w:szCs w:val="48"/>
          <w:highlight w:val="none"/>
        </w:rPr>
        <w:t>排风系统</w:t>
      </w:r>
    </w:p>
    <w:p>
      <w:pPr>
        <w:spacing w:line="760" w:lineRule="exact"/>
        <w:rPr>
          <w:rFonts w:ascii="方正仿宋_GBK" w:eastAsia="方正仿宋_GBK"/>
          <w:color w:val="auto"/>
          <w:sz w:val="44"/>
          <w:szCs w:val="44"/>
          <w:highlight w:val="none"/>
        </w:rPr>
      </w:pPr>
    </w:p>
    <w:p>
      <w:pPr>
        <w:spacing w:line="760" w:lineRule="exact"/>
        <w:jc w:val="center"/>
        <w:rPr>
          <w:rFonts w:hint="eastAsia" w:ascii="宋体" w:hAnsi="宋体"/>
          <w:color w:val="auto"/>
          <w:sz w:val="36"/>
          <w:szCs w:val="36"/>
          <w:highlight w:val="none"/>
        </w:rPr>
      </w:pPr>
    </w:p>
    <w:p>
      <w:pPr>
        <w:spacing w:line="760" w:lineRule="exact"/>
        <w:jc w:val="center"/>
        <w:rPr>
          <w:rFonts w:hint="eastAsia" w:ascii="宋体" w:hAnsi="宋体"/>
          <w:color w:val="auto"/>
          <w:sz w:val="36"/>
          <w:szCs w:val="36"/>
          <w:highlight w:val="none"/>
        </w:rPr>
      </w:pPr>
    </w:p>
    <w:p>
      <w:pPr>
        <w:spacing w:line="760" w:lineRule="exact"/>
        <w:jc w:val="center"/>
        <w:rPr>
          <w:rFonts w:ascii="宋体"/>
          <w:color w:val="auto"/>
          <w:sz w:val="36"/>
          <w:szCs w:val="36"/>
          <w:highlight w:val="none"/>
        </w:rPr>
      </w:pPr>
      <w:r>
        <w:rPr>
          <w:rFonts w:hint="eastAsia" w:ascii="宋体" w:hAnsi="宋体"/>
          <w:color w:val="auto"/>
          <w:sz w:val="36"/>
          <w:szCs w:val="36"/>
          <w:highlight w:val="none"/>
        </w:rPr>
        <w:t>采购人：重庆医科大学</w:t>
      </w:r>
    </w:p>
    <w:p>
      <w:pPr>
        <w:spacing w:line="760" w:lineRule="exact"/>
        <w:jc w:val="center"/>
        <w:rPr>
          <w:rFonts w:ascii="宋体"/>
          <w:color w:val="auto"/>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auto"/>
          <w:sz w:val="36"/>
          <w:szCs w:val="36"/>
          <w:highlight w:val="none"/>
        </w:rPr>
        <w:t>二〇二三年</w:t>
      </w:r>
      <w:r>
        <w:rPr>
          <w:rFonts w:hint="eastAsia" w:ascii="宋体" w:hAnsi="宋体"/>
          <w:color w:val="auto"/>
          <w:sz w:val="36"/>
          <w:szCs w:val="36"/>
          <w:highlight w:val="none"/>
          <w:lang w:val="en-US" w:eastAsia="zh-CN"/>
        </w:rPr>
        <w:t>五</w:t>
      </w:r>
      <w:r>
        <w:rPr>
          <w:rFonts w:hint="eastAsia" w:ascii="宋体" w:hAnsi="宋体"/>
          <w:color w:val="auto"/>
          <w:sz w:val="36"/>
          <w:szCs w:val="36"/>
          <w:highlight w:val="none"/>
        </w:rPr>
        <w:t>月</w:t>
      </w:r>
    </w:p>
    <w:p>
      <w:pPr>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目</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录</w:t>
      </w:r>
    </w:p>
    <w:p>
      <w:pPr>
        <w:pStyle w:val="45"/>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TOC \o "1-3" \h \z </w:instrText>
      </w:r>
      <w:r>
        <w:rPr>
          <w:rFonts w:ascii="方正仿宋_GBK" w:eastAsia="方正仿宋_GBK"/>
          <w:color w:val="auto"/>
          <w:szCs w:val="28"/>
          <w:highlight w:val="none"/>
        </w:rPr>
        <w:fldChar w:fldCharType="separate"/>
      </w: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_Toc15793 </w:instrText>
      </w:r>
      <w:r>
        <w:rPr>
          <w:rFonts w:ascii="方正仿宋_GBK" w:eastAsia="方正仿宋_GBK"/>
          <w:color w:val="auto"/>
          <w:szCs w:val="28"/>
          <w:highlight w:val="none"/>
        </w:rPr>
        <w:fldChar w:fldCharType="separate"/>
      </w:r>
      <w:r>
        <w:rPr>
          <w:rFonts w:hint="eastAsia" w:ascii="黑体" w:hAnsi="黑体"/>
          <w:color w:val="auto"/>
          <w:szCs w:val="44"/>
          <w:highlight w:val="none"/>
        </w:rPr>
        <w:t>第一篇</w:t>
      </w:r>
      <w:r>
        <w:rPr>
          <w:rFonts w:ascii="黑体" w:hAnsi="黑体"/>
          <w:color w:val="auto"/>
          <w:szCs w:val="44"/>
          <w:highlight w:val="none"/>
        </w:rPr>
        <w:t xml:space="preserve">  </w:t>
      </w:r>
      <w:r>
        <w:rPr>
          <w:rFonts w:hint="eastAsia" w:ascii="黑体" w:hAnsi="黑体"/>
          <w:color w:val="auto"/>
          <w:szCs w:val="44"/>
          <w:highlight w:val="none"/>
        </w:rPr>
        <w:t>竞争性谈判邀请书</w:t>
      </w:r>
      <w:r>
        <w:rPr>
          <w:color w:val="auto"/>
          <w:highlight w:val="none"/>
        </w:rPr>
        <w:tab/>
      </w:r>
      <w:r>
        <w:rPr>
          <w:color w:val="auto"/>
          <w:highlight w:val="none"/>
        </w:rPr>
        <w:fldChar w:fldCharType="begin"/>
      </w:r>
      <w:r>
        <w:rPr>
          <w:color w:val="auto"/>
          <w:highlight w:val="none"/>
        </w:rPr>
        <w:instrText xml:space="preserve"> PAGEREF _Toc15793 \h </w:instrText>
      </w:r>
      <w:r>
        <w:rPr>
          <w:color w:val="auto"/>
          <w:highlight w:val="none"/>
        </w:rPr>
        <w:fldChar w:fldCharType="separate"/>
      </w:r>
      <w:r>
        <w:rPr>
          <w:color w:val="auto"/>
          <w:highlight w:val="none"/>
        </w:rPr>
        <w:t>- 3 -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_Toc418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一、竞争性谈判内容</w:t>
      </w:r>
      <w:r>
        <w:rPr>
          <w:color w:val="auto"/>
          <w:highlight w:val="none"/>
        </w:rPr>
        <w:tab/>
      </w:r>
      <w:r>
        <w:rPr>
          <w:color w:val="auto"/>
          <w:highlight w:val="none"/>
        </w:rPr>
        <w:fldChar w:fldCharType="begin"/>
      </w:r>
      <w:r>
        <w:rPr>
          <w:color w:val="auto"/>
          <w:highlight w:val="none"/>
        </w:rPr>
        <w:instrText xml:space="preserve"> PAGEREF _Toc418 \h </w:instrText>
      </w:r>
      <w:r>
        <w:rPr>
          <w:color w:val="auto"/>
          <w:highlight w:val="none"/>
        </w:rPr>
        <w:fldChar w:fldCharType="separate"/>
      </w:r>
      <w:r>
        <w:rPr>
          <w:color w:val="auto"/>
          <w:highlight w:val="none"/>
        </w:rPr>
        <w:t>- 3 -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_Toc18116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二、资金来源</w:t>
      </w:r>
      <w:r>
        <w:rPr>
          <w:color w:val="auto"/>
          <w:highlight w:val="none"/>
        </w:rPr>
        <w:tab/>
      </w:r>
      <w:r>
        <w:rPr>
          <w:color w:val="auto"/>
          <w:highlight w:val="none"/>
        </w:rPr>
        <w:fldChar w:fldCharType="begin"/>
      </w:r>
      <w:r>
        <w:rPr>
          <w:color w:val="auto"/>
          <w:highlight w:val="none"/>
        </w:rPr>
        <w:instrText xml:space="preserve"> PAGEREF _Toc18116 \h </w:instrText>
      </w:r>
      <w:r>
        <w:rPr>
          <w:color w:val="auto"/>
          <w:highlight w:val="none"/>
        </w:rPr>
        <w:fldChar w:fldCharType="separate"/>
      </w:r>
      <w:r>
        <w:rPr>
          <w:color w:val="auto"/>
          <w:highlight w:val="none"/>
        </w:rPr>
        <w:t>- 3 -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_Toc15282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三、谈判资格</w:t>
      </w:r>
      <w:r>
        <w:rPr>
          <w:color w:val="auto"/>
          <w:highlight w:val="none"/>
        </w:rPr>
        <w:tab/>
      </w:r>
      <w:r>
        <w:rPr>
          <w:color w:val="auto"/>
          <w:highlight w:val="none"/>
        </w:rPr>
        <w:fldChar w:fldCharType="begin"/>
      </w:r>
      <w:r>
        <w:rPr>
          <w:color w:val="auto"/>
          <w:highlight w:val="none"/>
        </w:rPr>
        <w:instrText xml:space="preserve"> PAGEREF _Toc15282 \h </w:instrText>
      </w:r>
      <w:r>
        <w:rPr>
          <w:color w:val="auto"/>
          <w:highlight w:val="none"/>
        </w:rPr>
        <w:fldChar w:fldCharType="separate"/>
      </w:r>
      <w:r>
        <w:rPr>
          <w:color w:val="auto"/>
          <w:highlight w:val="none"/>
        </w:rPr>
        <w:t>- 3 -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_Toc27228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四、谈判有关说明</w:t>
      </w:r>
      <w:r>
        <w:rPr>
          <w:color w:val="auto"/>
          <w:highlight w:val="none"/>
        </w:rPr>
        <w:tab/>
      </w:r>
      <w:r>
        <w:rPr>
          <w:color w:val="auto"/>
          <w:highlight w:val="none"/>
        </w:rPr>
        <w:fldChar w:fldCharType="begin"/>
      </w:r>
      <w:r>
        <w:rPr>
          <w:color w:val="auto"/>
          <w:highlight w:val="none"/>
        </w:rPr>
        <w:instrText xml:space="preserve"> PAGEREF _Toc27228 \h </w:instrText>
      </w:r>
      <w:r>
        <w:rPr>
          <w:color w:val="auto"/>
          <w:highlight w:val="none"/>
        </w:rPr>
        <w:fldChar w:fldCharType="separate"/>
      </w:r>
      <w:r>
        <w:rPr>
          <w:color w:val="auto"/>
          <w:highlight w:val="none"/>
        </w:rPr>
        <w:t>- 3 -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_Toc26288 </w:instrText>
      </w:r>
      <w:r>
        <w:rPr>
          <w:rFonts w:ascii="方正仿宋_GBK" w:eastAsia="方正仿宋_GBK"/>
          <w:color w:val="auto"/>
          <w:szCs w:val="28"/>
          <w:highlight w:val="none"/>
        </w:rPr>
        <w:fldChar w:fldCharType="separate"/>
      </w:r>
      <w:r>
        <w:rPr>
          <w:rFonts w:hint="eastAsia" w:ascii="方正仿宋_GBK" w:eastAsia="方正仿宋_GBK"/>
          <w:bCs/>
          <w:color w:val="auto"/>
          <w:szCs w:val="28"/>
          <w:highlight w:val="none"/>
        </w:rPr>
        <w:t>六、采购项目需落实的政府采购政策</w:t>
      </w:r>
      <w:r>
        <w:rPr>
          <w:color w:val="auto"/>
          <w:highlight w:val="none"/>
        </w:rPr>
        <w:tab/>
      </w:r>
      <w:r>
        <w:rPr>
          <w:color w:val="auto"/>
          <w:highlight w:val="none"/>
        </w:rPr>
        <w:fldChar w:fldCharType="begin"/>
      </w:r>
      <w:r>
        <w:rPr>
          <w:color w:val="auto"/>
          <w:highlight w:val="none"/>
        </w:rPr>
        <w:instrText xml:space="preserve"> PAGEREF _Toc26288 \h </w:instrText>
      </w:r>
      <w:r>
        <w:rPr>
          <w:color w:val="auto"/>
          <w:highlight w:val="none"/>
        </w:rPr>
        <w:fldChar w:fldCharType="separate"/>
      </w:r>
      <w:r>
        <w:rPr>
          <w:color w:val="auto"/>
          <w:highlight w:val="none"/>
        </w:rPr>
        <w:t>- 6 -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_Toc1707 </w:instrText>
      </w:r>
      <w:r>
        <w:rPr>
          <w:rFonts w:ascii="方正仿宋_GBK" w:eastAsia="方正仿宋_GBK"/>
          <w:color w:val="auto"/>
          <w:szCs w:val="28"/>
          <w:highlight w:val="none"/>
        </w:rPr>
        <w:fldChar w:fldCharType="separate"/>
      </w:r>
      <w:r>
        <w:rPr>
          <w:rFonts w:hint="eastAsia" w:ascii="方正仿宋_GBK" w:eastAsia="方正仿宋_GBK"/>
          <w:bCs/>
          <w:color w:val="auto"/>
          <w:szCs w:val="28"/>
          <w:highlight w:val="none"/>
        </w:rPr>
        <w:t>七、其它有关规定</w:t>
      </w:r>
      <w:r>
        <w:rPr>
          <w:color w:val="auto"/>
          <w:highlight w:val="none"/>
        </w:rPr>
        <w:tab/>
      </w:r>
      <w:r>
        <w:rPr>
          <w:color w:val="auto"/>
          <w:highlight w:val="none"/>
        </w:rPr>
        <w:fldChar w:fldCharType="begin"/>
      </w:r>
      <w:r>
        <w:rPr>
          <w:color w:val="auto"/>
          <w:highlight w:val="none"/>
        </w:rPr>
        <w:instrText xml:space="preserve"> PAGEREF _Toc1707 \h </w:instrText>
      </w:r>
      <w:r>
        <w:rPr>
          <w:color w:val="auto"/>
          <w:highlight w:val="none"/>
        </w:rPr>
        <w:fldChar w:fldCharType="separate"/>
      </w:r>
      <w:r>
        <w:rPr>
          <w:color w:val="auto"/>
          <w:highlight w:val="none"/>
        </w:rPr>
        <w:t>- 7 -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_Toc7684 </w:instrText>
      </w:r>
      <w:r>
        <w:rPr>
          <w:rFonts w:ascii="方正仿宋_GBK" w:eastAsia="方正仿宋_GBK"/>
          <w:color w:val="auto"/>
          <w:szCs w:val="28"/>
          <w:highlight w:val="none"/>
        </w:rPr>
        <w:fldChar w:fldCharType="separate"/>
      </w:r>
      <w:r>
        <w:rPr>
          <w:rFonts w:hint="eastAsia" w:ascii="方正仿宋_GBK" w:eastAsia="方正仿宋_GBK"/>
          <w:bCs/>
          <w:color w:val="auto"/>
          <w:szCs w:val="28"/>
          <w:highlight w:val="none"/>
        </w:rPr>
        <w:t>八、联系方式</w:t>
      </w:r>
      <w:r>
        <w:rPr>
          <w:color w:val="auto"/>
          <w:highlight w:val="none"/>
        </w:rPr>
        <w:tab/>
      </w:r>
      <w:r>
        <w:rPr>
          <w:color w:val="auto"/>
          <w:highlight w:val="none"/>
        </w:rPr>
        <w:fldChar w:fldCharType="begin"/>
      </w:r>
      <w:r>
        <w:rPr>
          <w:color w:val="auto"/>
          <w:highlight w:val="none"/>
        </w:rPr>
        <w:instrText xml:space="preserve"> PAGEREF _Toc7684 \h </w:instrText>
      </w:r>
      <w:r>
        <w:rPr>
          <w:color w:val="auto"/>
          <w:highlight w:val="none"/>
        </w:rPr>
        <w:fldChar w:fldCharType="separate"/>
      </w:r>
      <w:r>
        <w:rPr>
          <w:color w:val="auto"/>
          <w:highlight w:val="none"/>
        </w:rPr>
        <w:t>- 8 -</w:t>
      </w:r>
      <w:r>
        <w:rPr>
          <w:color w:val="auto"/>
          <w:highlight w:val="none"/>
        </w:rPr>
        <w:fldChar w:fldCharType="end"/>
      </w:r>
      <w:r>
        <w:rPr>
          <w:rFonts w:ascii="方正仿宋_GBK" w:eastAsia="方正仿宋_GBK"/>
          <w:color w:val="auto"/>
          <w:szCs w:val="28"/>
          <w:highlight w:val="none"/>
        </w:rPr>
        <w:fldChar w:fldCharType="end"/>
      </w:r>
    </w:p>
    <w:p>
      <w:pPr>
        <w:pStyle w:val="45"/>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_Toc3984 </w:instrText>
      </w:r>
      <w:r>
        <w:rPr>
          <w:rFonts w:ascii="方正仿宋_GBK" w:eastAsia="方正仿宋_GBK"/>
          <w:color w:val="auto"/>
          <w:szCs w:val="28"/>
          <w:highlight w:val="none"/>
        </w:rPr>
        <w:fldChar w:fldCharType="separate"/>
      </w:r>
      <w:r>
        <w:rPr>
          <w:rFonts w:hint="eastAsia" w:ascii="黑体" w:hAnsi="黑体"/>
          <w:color w:val="auto"/>
          <w:szCs w:val="44"/>
          <w:highlight w:val="none"/>
        </w:rPr>
        <w:t>第二篇</w:t>
      </w:r>
      <w:r>
        <w:rPr>
          <w:rFonts w:ascii="黑体" w:hAnsi="黑体"/>
          <w:color w:val="auto"/>
          <w:szCs w:val="44"/>
          <w:highlight w:val="none"/>
        </w:rPr>
        <w:t xml:space="preserve">  </w:t>
      </w:r>
      <w:r>
        <w:rPr>
          <w:rFonts w:hint="eastAsia" w:ascii="黑体" w:hAnsi="黑体"/>
          <w:color w:val="auto"/>
          <w:szCs w:val="44"/>
          <w:highlight w:val="none"/>
        </w:rPr>
        <w:t>供应商须知</w:t>
      </w:r>
      <w:r>
        <w:rPr>
          <w:color w:val="auto"/>
          <w:highlight w:val="none"/>
        </w:rPr>
        <w:tab/>
      </w:r>
      <w:r>
        <w:rPr>
          <w:color w:val="auto"/>
          <w:highlight w:val="none"/>
        </w:rPr>
        <w:fldChar w:fldCharType="begin"/>
      </w:r>
      <w:r>
        <w:rPr>
          <w:color w:val="auto"/>
          <w:highlight w:val="none"/>
        </w:rPr>
        <w:instrText xml:space="preserve"> PAGEREF _Toc3984 \h </w:instrText>
      </w:r>
      <w:r>
        <w:rPr>
          <w:color w:val="auto"/>
          <w:highlight w:val="none"/>
        </w:rPr>
        <w:fldChar w:fldCharType="separate"/>
      </w:r>
      <w:r>
        <w:rPr>
          <w:color w:val="auto"/>
          <w:highlight w:val="none"/>
        </w:rPr>
        <w:t>- 9 -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_Toc31705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一、谈判费用</w:t>
      </w:r>
      <w:r>
        <w:rPr>
          <w:color w:val="auto"/>
          <w:highlight w:val="none"/>
        </w:rPr>
        <w:tab/>
      </w:r>
      <w:r>
        <w:rPr>
          <w:color w:val="auto"/>
          <w:highlight w:val="none"/>
        </w:rPr>
        <w:fldChar w:fldCharType="begin"/>
      </w:r>
      <w:r>
        <w:rPr>
          <w:color w:val="auto"/>
          <w:highlight w:val="none"/>
        </w:rPr>
        <w:instrText xml:space="preserve"> PAGEREF _Toc31705 \h </w:instrText>
      </w:r>
      <w:r>
        <w:rPr>
          <w:color w:val="auto"/>
          <w:highlight w:val="none"/>
        </w:rPr>
        <w:fldChar w:fldCharType="separate"/>
      </w:r>
      <w:r>
        <w:rPr>
          <w:color w:val="auto"/>
          <w:highlight w:val="none"/>
        </w:rPr>
        <w:t>- 9 -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_Toc32036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二、竞争性谈判文件</w:t>
      </w:r>
      <w:r>
        <w:rPr>
          <w:color w:val="auto"/>
          <w:highlight w:val="none"/>
        </w:rPr>
        <w:tab/>
      </w:r>
      <w:r>
        <w:rPr>
          <w:color w:val="auto"/>
          <w:highlight w:val="none"/>
        </w:rPr>
        <w:fldChar w:fldCharType="begin"/>
      </w:r>
      <w:r>
        <w:rPr>
          <w:color w:val="auto"/>
          <w:highlight w:val="none"/>
        </w:rPr>
        <w:instrText xml:space="preserve"> PAGEREF _Toc32036 \h </w:instrText>
      </w:r>
      <w:r>
        <w:rPr>
          <w:color w:val="auto"/>
          <w:highlight w:val="none"/>
        </w:rPr>
        <w:fldChar w:fldCharType="separate"/>
      </w:r>
      <w:r>
        <w:rPr>
          <w:color w:val="auto"/>
          <w:highlight w:val="none"/>
        </w:rPr>
        <w:t>- 9 -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_Toc19452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三、谈判要求</w:t>
      </w:r>
      <w:r>
        <w:rPr>
          <w:color w:val="auto"/>
          <w:highlight w:val="none"/>
        </w:rPr>
        <w:tab/>
      </w:r>
      <w:r>
        <w:rPr>
          <w:color w:val="auto"/>
          <w:highlight w:val="none"/>
        </w:rPr>
        <w:fldChar w:fldCharType="begin"/>
      </w:r>
      <w:r>
        <w:rPr>
          <w:color w:val="auto"/>
          <w:highlight w:val="none"/>
        </w:rPr>
        <w:instrText xml:space="preserve"> PAGEREF _Toc19452 \h </w:instrText>
      </w:r>
      <w:r>
        <w:rPr>
          <w:color w:val="auto"/>
          <w:highlight w:val="none"/>
        </w:rPr>
        <w:fldChar w:fldCharType="separate"/>
      </w:r>
      <w:r>
        <w:rPr>
          <w:color w:val="auto"/>
          <w:highlight w:val="none"/>
        </w:rPr>
        <w:t>- 9 -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_Toc14265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四、谈判程序</w:t>
      </w:r>
      <w:r>
        <w:rPr>
          <w:color w:val="auto"/>
          <w:highlight w:val="none"/>
        </w:rPr>
        <w:tab/>
      </w:r>
      <w:r>
        <w:rPr>
          <w:color w:val="auto"/>
          <w:highlight w:val="none"/>
        </w:rPr>
        <w:fldChar w:fldCharType="begin"/>
      </w:r>
      <w:r>
        <w:rPr>
          <w:color w:val="auto"/>
          <w:highlight w:val="none"/>
        </w:rPr>
        <w:instrText xml:space="preserve"> PAGEREF _Toc14265 \h </w:instrText>
      </w:r>
      <w:r>
        <w:rPr>
          <w:color w:val="auto"/>
          <w:highlight w:val="none"/>
        </w:rPr>
        <w:fldChar w:fldCharType="separate"/>
      </w:r>
      <w:r>
        <w:rPr>
          <w:color w:val="auto"/>
          <w:highlight w:val="none"/>
        </w:rPr>
        <w:t>- 12 -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_Toc14949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五、评审依据</w:t>
      </w:r>
      <w:r>
        <w:rPr>
          <w:color w:val="auto"/>
          <w:highlight w:val="none"/>
        </w:rPr>
        <w:tab/>
      </w:r>
      <w:r>
        <w:rPr>
          <w:color w:val="auto"/>
          <w:highlight w:val="none"/>
        </w:rPr>
        <w:fldChar w:fldCharType="begin"/>
      </w:r>
      <w:r>
        <w:rPr>
          <w:color w:val="auto"/>
          <w:highlight w:val="none"/>
        </w:rPr>
        <w:instrText xml:space="preserve"> PAGEREF _Toc14949 \h </w:instrText>
      </w:r>
      <w:r>
        <w:rPr>
          <w:color w:val="auto"/>
          <w:highlight w:val="none"/>
        </w:rPr>
        <w:fldChar w:fldCharType="separate"/>
      </w:r>
      <w:r>
        <w:rPr>
          <w:color w:val="auto"/>
          <w:highlight w:val="none"/>
        </w:rPr>
        <w:t>- 16 -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_Toc13476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六、成交原则</w:t>
      </w:r>
      <w:r>
        <w:rPr>
          <w:color w:val="auto"/>
          <w:highlight w:val="none"/>
        </w:rPr>
        <w:tab/>
      </w:r>
      <w:r>
        <w:rPr>
          <w:color w:val="auto"/>
          <w:highlight w:val="none"/>
        </w:rPr>
        <w:fldChar w:fldCharType="begin"/>
      </w:r>
      <w:r>
        <w:rPr>
          <w:color w:val="auto"/>
          <w:highlight w:val="none"/>
        </w:rPr>
        <w:instrText xml:space="preserve"> PAGEREF _Toc13476 \h </w:instrText>
      </w:r>
      <w:r>
        <w:rPr>
          <w:color w:val="auto"/>
          <w:highlight w:val="none"/>
        </w:rPr>
        <w:fldChar w:fldCharType="separate"/>
      </w:r>
      <w:r>
        <w:rPr>
          <w:color w:val="auto"/>
          <w:highlight w:val="none"/>
        </w:rPr>
        <w:t>- 16 -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_Toc846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七、成交通知</w:t>
      </w:r>
      <w:r>
        <w:rPr>
          <w:color w:val="auto"/>
          <w:highlight w:val="none"/>
        </w:rPr>
        <w:tab/>
      </w:r>
      <w:r>
        <w:rPr>
          <w:color w:val="auto"/>
          <w:highlight w:val="none"/>
        </w:rPr>
        <w:fldChar w:fldCharType="begin"/>
      </w:r>
      <w:r>
        <w:rPr>
          <w:color w:val="auto"/>
          <w:highlight w:val="none"/>
        </w:rPr>
        <w:instrText xml:space="preserve"> PAGEREF _Toc846 \h </w:instrText>
      </w:r>
      <w:r>
        <w:rPr>
          <w:color w:val="auto"/>
          <w:highlight w:val="none"/>
        </w:rPr>
        <w:fldChar w:fldCharType="separate"/>
      </w:r>
      <w:r>
        <w:rPr>
          <w:color w:val="auto"/>
          <w:highlight w:val="none"/>
        </w:rPr>
        <w:t>- 19 -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_Toc21133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八、关于质疑和投诉</w:t>
      </w:r>
      <w:r>
        <w:rPr>
          <w:color w:val="auto"/>
          <w:highlight w:val="none"/>
        </w:rPr>
        <w:tab/>
      </w:r>
      <w:r>
        <w:rPr>
          <w:color w:val="auto"/>
          <w:highlight w:val="none"/>
        </w:rPr>
        <w:fldChar w:fldCharType="begin"/>
      </w:r>
      <w:r>
        <w:rPr>
          <w:color w:val="auto"/>
          <w:highlight w:val="none"/>
        </w:rPr>
        <w:instrText xml:space="preserve"> PAGEREF _Toc21133 \h </w:instrText>
      </w:r>
      <w:r>
        <w:rPr>
          <w:color w:val="auto"/>
          <w:highlight w:val="none"/>
        </w:rPr>
        <w:fldChar w:fldCharType="separate"/>
      </w:r>
      <w:r>
        <w:rPr>
          <w:color w:val="auto"/>
          <w:highlight w:val="none"/>
        </w:rPr>
        <w:t>- 19 -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_Toc6345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九、签订合同</w:t>
      </w:r>
      <w:r>
        <w:rPr>
          <w:color w:val="auto"/>
          <w:highlight w:val="none"/>
        </w:rPr>
        <w:tab/>
      </w:r>
      <w:r>
        <w:rPr>
          <w:color w:val="auto"/>
          <w:highlight w:val="none"/>
        </w:rPr>
        <w:fldChar w:fldCharType="begin"/>
      </w:r>
      <w:r>
        <w:rPr>
          <w:color w:val="auto"/>
          <w:highlight w:val="none"/>
        </w:rPr>
        <w:instrText xml:space="preserve"> PAGEREF _Toc6345 \h </w:instrText>
      </w:r>
      <w:r>
        <w:rPr>
          <w:color w:val="auto"/>
          <w:highlight w:val="none"/>
        </w:rPr>
        <w:fldChar w:fldCharType="separate"/>
      </w:r>
      <w:r>
        <w:rPr>
          <w:color w:val="auto"/>
          <w:highlight w:val="none"/>
        </w:rPr>
        <w:t>- 21 -</w:t>
      </w:r>
      <w:r>
        <w:rPr>
          <w:color w:val="auto"/>
          <w:highlight w:val="none"/>
        </w:rPr>
        <w:fldChar w:fldCharType="end"/>
      </w:r>
      <w:r>
        <w:rPr>
          <w:rFonts w:ascii="方正仿宋_GBK" w:eastAsia="方正仿宋_GBK"/>
          <w:color w:val="auto"/>
          <w:szCs w:val="28"/>
          <w:highlight w:val="none"/>
        </w:rPr>
        <w:fldChar w:fldCharType="end"/>
      </w:r>
    </w:p>
    <w:p>
      <w:pPr>
        <w:pStyle w:val="45"/>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_Toc14623 </w:instrText>
      </w:r>
      <w:r>
        <w:rPr>
          <w:rFonts w:ascii="方正仿宋_GBK" w:eastAsia="方正仿宋_GBK"/>
          <w:color w:val="auto"/>
          <w:szCs w:val="28"/>
          <w:highlight w:val="none"/>
        </w:rPr>
        <w:fldChar w:fldCharType="separate"/>
      </w:r>
      <w:r>
        <w:rPr>
          <w:rFonts w:hint="eastAsia" w:ascii="黑体" w:hAnsi="黑体"/>
          <w:color w:val="auto"/>
          <w:szCs w:val="44"/>
          <w:highlight w:val="none"/>
        </w:rPr>
        <w:t>第三篇</w:t>
      </w:r>
      <w:r>
        <w:rPr>
          <w:rFonts w:ascii="黑体" w:hAnsi="黑体"/>
          <w:color w:val="auto"/>
          <w:szCs w:val="44"/>
          <w:highlight w:val="none"/>
        </w:rPr>
        <w:t xml:space="preserve">  </w:t>
      </w:r>
      <w:r>
        <w:rPr>
          <w:rFonts w:hint="eastAsia" w:ascii="黑体" w:hAnsi="黑体"/>
          <w:color w:val="auto"/>
          <w:szCs w:val="44"/>
          <w:highlight w:val="none"/>
        </w:rPr>
        <w:t>谈判项目技术需求</w:t>
      </w:r>
      <w:r>
        <w:rPr>
          <w:color w:val="auto"/>
          <w:highlight w:val="none"/>
        </w:rPr>
        <w:tab/>
      </w:r>
      <w:r>
        <w:rPr>
          <w:color w:val="auto"/>
          <w:highlight w:val="none"/>
        </w:rPr>
        <w:fldChar w:fldCharType="begin"/>
      </w:r>
      <w:r>
        <w:rPr>
          <w:color w:val="auto"/>
          <w:highlight w:val="none"/>
        </w:rPr>
        <w:instrText xml:space="preserve"> PAGEREF _Toc14623 \h </w:instrText>
      </w:r>
      <w:r>
        <w:rPr>
          <w:color w:val="auto"/>
          <w:highlight w:val="none"/>
        </w:rPr>
        <w:fldChar w:fldCharType="separate"/>
      </w:r>
      <w:r>
        <w:rPr>
          <w:color w:val="auto"/>
          <w:highlight w:val="none"/>
        </w:rPr>
        <w:t>- 22 -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_Toc4652 </w:instrText>
      </w:r>
      <w:r>
        <w:rPr>
          <w:rFonts w:ascii="方正仿宋_GBK" w:eastAsia="方正仿宋_GBK"/>
          <w:color w:val="auto"/>
          <w:szCs w:val="28"/>
          <w:highlight w:val="none"/>
        </w:rPr>
        <w:fldChar w:fldCharType="separate"/>
      </w:r>
      <w:r>
        <w:rPr>
          <w:rFonts w:hint="default" w:ascii="方正仿宋_GBK" w:eastAsia="方正仿宋_GBK"/>
          <w:color w:val="auto"/>
          <w:szCs w:val="28"/>
          <w:highlight w:val="none"/>
        </w:rPr>
        <w:t xml:space="preserve">一、 </w:t>
      </w:r>
      <w:r>
        <w:rPr>
          <w:rFonts w:hint="eastAsia" w:ascii="方正仿宋_GBK" w:eastAsia="方正仿宋_GBK"/>
          <w:color w:val="auto"/>
          <w:szCs w:val="28"/>
          <w:highlight w:val="none"/>
        </w:rPr>
        <w:t>项目一览表</w:t>
      </w:r>
      <w:r>
        <w:rPr>
          <w:color w:val="auto"/>
          <w:highlight w:val="none"/>
        </w:rPr>
        <w:tab/>
      </w:r>
      <w:r>
        <w:rPr>
          <w:color w:val="auto"/>
          <w:highlight w:val="none"/>
        </w:rPr>
        <w:fldChar w:fldCharType="begin"/>
      </w:r>
      <w:r>
        <w:rPr>
          <w:color w:val="auto"/>
          <w:highlight w:val="none"/>
        </w:rPr>
        <w:instrText xml:space="preserve"> PAGEREF _Toc4652 \h </w:instrText>
      </w:r>
      <w:r>
        <w:rPr>
          <w:color w:val="auto"/>
          <w:highlight w:val="none"/>
        </w:rPr>
        <w:fldChar w:fldCharType="separate"/>
      </w:r>
      <w:r>
        <w:rPr>
          <w:color w:val="auto"/>
          <w:highlight w:val="none"/>
        </w:rPr>
        <w:t>- 22 -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_Toc24394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二、技术规格及质量要求</w:t>
      </w:r>
      <w:r>
        <w:rPr>
          <w:color w:val="auto"/>
          <w:highlight w:val="none"/>
        </w:rPr>
        <w:tab/>
      </w:r>
      <w:r>
        <w:rPr>
          <w:color w:val="auto"/>
          <w:highlight w:val="none"/>
        </w:rPr>
        <w:fldChar w:fldCharType="begin"/>
      </w:r>
      <w:r>
        <w:rPr>
          <w:color w:val="auto"/>
          <w:highlight w:val="none"/>
        </w:rPr>
        <w:instrText xml:space="preserve"> PAGEREF _Toc24394 \h </w:instrText>
      </w:r>
      <w:r>
        <w:rPr>
          <w:color w:val="auto"/>
          <w:highlight w:val="none"/>
        </w:rPr>
        <w:fldChar w:fldCharType="separate"/>
      </w:r>
      <w:r>
        <w:rPr>
          <w:color w:val="auto"/>
          <w:highlight w:val="none"/>
        </w:rPr>
        <w:t>- 23 -</w:t>
      </w:r>
      <w:r>
        <w:rPr>
          <w:color w:val="auto"/>
          <w:highlight w:val="none"/>
        </w:rPr>
        <w:fldChar w:fldCharType="end"/>
      </w:r>
      <w:r>
        <w:rPr>
          <w:rFonts w:ascii="方正仿宋_GBK" w:eastAsia="方正仿宋_GBK"/>
          <w:color w:val="auto"/>
          <w:szCs w:val="28"/>
          <w:highlight w:val="none"/>
        </w:rPr>
        <w:fldChar w:fldCharType="end"/>
      </w:r>
    </w:p>
    <w:p>
      <w:pPr>
        <w:pStyle w:val="45"/>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_Toc7126 </w:instrText>
      </w:r>
      <w:r>
        <w:rPr>
          <w:rFonts w:ascii="方正仿宋_GBK" w:eastAsia="方正仿宋_GBK"/>
          <w:color w:val="auto"/>
          <w:szCs w:val="28"/>
          <w:highlight w:val="none"/>
        </w:rPr>
        <w:fldChar w:fldCharType="separate"/>
      </w:r>
      <w:r>
        <w:rPr>
          <w:rFonts w:hint="eastAsia" w:ascii="黑体" w:hAnsi="黑体"/>
          <w:color w:val="auto"/>
          <w:szCs w:val="44"/>
          <w:highlight w:val="none"/>
        </w:rPr>
        <w:t>第四篇</w:t>
      </w:r>
      <w:r>
        <w:rPr>
          <w:rFonts w:ascii="黑体" w:hAnsi="黑体"/>
          <w:color w:val="auto"/>
          <w:szCs w:val="44"/>
          <w:highlight w:val="none"/>
        </w:rPr>
        <w:t xml:space="preserve">  </w:t>
      </w:r>
      <w:r>
        <w:rPr>
          <w:rFonts w:hint="eastAsia" w:ascii="黑体" w:hAnsi="黑体"/>
          <w:color w:val="auto"/>
          <w:szCs w:val="44"/>
          <w:highlight w:val="none"/>
        </w:rPr>
        <w:t>谈判项目服务需求</w:t>
      </w:r>
      <w:r>
        <w:rPr>
          <w:color w:val="auto"/>
          <w:highlight w:val="none"/>
        </w:rPr>
        <w:tab/>
      </w:r>
      <w:r>
        <w:rPr>
          <w:color w:val="auto"/>
          <w:highlight w:val="none"/>
        </w:rPr>
        <w:fldChar w:fldCharType="begin"/>
      </w:r>
      <w:r>
        <w:rPr>
          <w:color w:val="auto"/>
          <w:highlight w:val="none"/>
        </w:rPr>
        <w:instrText xml:space="preserve"> PAGEREF _Toc7126 \h </w:instrText>
      </w:r>
      <w:r>
        <w:rPr>
          <w:color w:val="auto"/>
          <w:highlight w:val="none"/>
        </w:rPr>
        <w:fldChar w:fldCharType="separate"/>
      </w:r>
      <w:r>
        <w:rPr>
          <w:color w:val="auto"/>
          <w:highlight w:val="none"/>
        </w:rPr>
        <w:t>- 26 -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_Toc13424 </w:instrText>
      </w:r>
      <w:r>
        <w:rPr>
          <w:rFonts w:ascii="方正仿宋_GBK" w:eastAsia="方正仿宋_GBK"/>
          <w:color w:val="auto"/>
          <w:szCs w:val="28"/>
          <w:highlight w:val="none"/>
        </w:rPr>
        <w:fldChar w:fldCharType="separate"/>
      </w:r>
      <w:r>
        <w:rPr>
          <w:rFonts w:hint="eastAsia" w:ascii="方正仿宋_GBK" w:hAnsi="宋体" w:eastAsia="方正仿宋_GBK"/>
          <w:color w:val="auto"/>
          <w:szCs w:val="28"/>
          <w:highlight w:val="none"/>
        </w:rPr>
        <w:t>一、交货时间、地点及验收方式</w:t>
      </w:r>
      <w:r>
        <w:rPr>
          <w:color w:val="auto"/>
          <w:highlight w:val="none"/>
        </w:rPr>
        <w:tab/>
      </w:r>
      <w:r>
        <w:rPr>
          <w:color w:val="auto"/>
          <w:highlight w:val="none"/>
        </w:rPr>
        <w:fldChar w:fldCharType="begin"/>
      </w:r>
      <w:r>
        <w:rPr>
          <w:color w:val="auto"/>
          <w:highlight w:val="none"/>
        </w:rPr>
        <w:instrText xml:space="preserve"> PAGEREF _Toc13424 \h </w:instrText>
      </w:r>
      <w:r>
        <w:rPr>
          <w:color w:val="auto"/>
          <w:highlight w:val="none"/>
        </w:rPr>
        <w:fldChar w:fldCharType="separate"/>
      </w:r>
      <w:r>
        <w:rPr>
          <w:color w:val="auto"/>
          <w:highlight w:val="none"/>
        </w:rPr>
        <w:t>- 26 -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_Toc4628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二、质量保证及售后服务</w:t>
      </w:r>
      <w:r>
        <w:rPr>
          <w:color w:val="auto"/>
          <w:highlight w:val="none"/>
        </w:rPr>
        <w:tab/>
      </w:r>
      <w:r>
        <w:rPr>
          <w:color w:val="auto"/>
          <w:highlight w:val="none"/>
        </w:rPr>
        <w:fldChar w:fldCharType="begin"/>
      </w:r>
      <w:r>
        <w:rPr>
          <w:color w:val="auto"/>
          <w:highlight w:val="none"/>
        </w:rPr>
        <w:instrText xml:space="preserve"> PAGEREF _Toc4628 \h </w:instrText>
      </w:r>
      <w:r>
        <w:rPr>
          <w:color w:val="auto"/>
          <w:highlight w:val="none"/>
        </w:rPr>
        <w:fldChar w:fldCharType="separate"/>
      </w:r>
      <w:r>
        <w:rPr>
          <w:color w:val="auto"/>
          <w:highlight w:val="none"/>
        </w:rPr>
        <w:t>- 27 -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_Toc3134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三、报价要求</w:t>
      </w:r>
      <w:r>
        <w:rPr>
          <w:color w:val="auto"/>
          <w:highlight w:val="none"/>
        </w:rPr>
        <w:tab/>
      </w:r>
      <w:r>
        <w:rPr>
          <w:color w:val="auto"/>
          <w:highlight w:val="none"/>
        </w:rPr>
        <w:fldChar w:fldCharType="begin"/>
      </w:r>
      <w:r>
        <w:rPr>
          <w:color w:val="auto"/>
          <w:highlight w:val="none"/>
        </w:rPr>
        <w:instrText xml:space="preserve"> PAGEREF _Toc3134 \h </w:instrText>
      </w:r>
      <w:r>
        <w:rPr>
          <w:color w:val="auto"/>
          <w:highlight w:val="none"/>
        </w:rPr>
        <w:fldChar w:fldCharType="separate"/>
      </w:r>
      <w:r>
        <w:rPr>
          <w:color w:val="auto"/>
          <w:highlight w:val="none"/>
        </w:rPr>
        <w:t>- 28 -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_Toc2095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五、知识产权</w:t>
      </w:r>
      <w:r>
        <w:rPr>
          <w:color w:val="auto"/>
          <w:highlight w:val="none"/>
        </w:rPr>
        <w:tab/>
      </w:r>
      <w:r>
        <w:rPr>
          <w:color w:val="auto"/>
          <w:highlight w:val="none"/>
        </w:rPr>
        <w:fldChar w:fldCharType="begin"/>
      </w:r>
      <w:r>
        <w:rPr>
          <w:color w:val="auto"/>
          <w:highlight w:val="none"/>
        </w:rPr>
        <w:instrText xml:space="preserve"> PAGEREF _Toc2095 \h </w:instrText>
      </w:r>
      <w:r>
        <w:rPr>
          <w:color w:val="auto"/>
          <w:highlight w:val="none"/>
        </w:rPr>
        <w:fldChar w:fldCharType="separate"/>
      </w:r>
      <w:r>
        <w:rPr>
          <w:color w:val="auto"/>
          <w:highlight w:val="none"/>
        </w:rPr>
        <w:t>- 28 -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_Toc10747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六、培训</w:t>
      </w:r>
      <w:r>
        <w:rPr>
          <w:color w:val="auto"/>
          <w:highlight w:val="none"/>
        </w:rPr>
        <w:tab/>
      </w:r>
      <w:r>
        <w:rPr>
          <w:color w:val="auto"/>
          <w:highlight w:val="none"/>
        </w:rPr>
        <w:fldChar w:fldCharType="begin"/>
      </w:r>
      <w:r>
        <w:rPr>
          <w:color w:val="auto"/>
          <w:highlight w:val="none"/>
        </w:rPr>
        <w:instrText xml:space="preserve"> PAGEREF _Toc10747 \h </w:instrText>
      </w:r>
      <w:r>
        <w:rPr>
          <w:color w:val="auto"/>
          <w:highlight w:val="none"/>
        </w:rPr>
        <w:fldChar w:fldCharType="separate"/>
      </w:r>
      <w:r>
        <w:rPr>
          <w:color w:val="auto"/>
          <w:highlight w:val="none"/>
        </w:rPr>
        <w:t>- 29 -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_Toc17644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七、其他</w:t>
      </w:r>
      <w:r>
        <w:rPr>
          <w:color w:val="auto"/>
          <w:highlight w:val="none"/>
        </w:rPr>
        <w:tab/>
      </w:r>
      <w:r>
        <w:rPr>
          <w:color w:val="auto"/>
          <w:highlight w:val="none"/>
        </w:rPr>
        <w:fldChar w:fldCharType="begin"/>
      </w:r>
      <w:r>
        <w:rPr>
          <w:color w:val="auto"/>
          <w:highlight w:val="none"/>
        </w:rPr>
        <w:instrText xml:space="preserve"> PAGEREF _Toc17644 \h </w:instrText>
      </w:r>
      <w:r>
        <w:rPr>
          <w:color w:val="auto"/>
          <w:highlight w:val="none"/>
        </w:rPr>
        <w:fldChar w:fldCharType="separate"/>
      </w:r>
      <w:r>
        <w:rPr>
          <w:color w:val="auto"/>
          <w:highlight w:val="none"/>
        </w:rPr>
        <w:t>- 29 -</w:t>
      </w:r>
      <w:r>
        <w:rPr>
          <w:color w:val="auto"/>
          <w:highlight w:val="none"/>
        </w:rPr>
        <w:fldChar w:fldCharType="end"/>
      </w:r>
      <w:r>
        <w:rPr>
          <w:rFonts w:ascii="方正仿宋_GBK" w:eastAsia="方正仿宋_GBK"/>
          <w:color w:val="auto"/>
          <w:szCs w:val="28"/>
          <w:highlight w:val="none"/>
        </w:rPr>
        <w:fldChar w:fldCharType="end"/>
      </w:r>
    </w:p>
    <w:p>
      <w:pPr>
        <w:pStyle w:val="45"/>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_Toc28557 </w:instrText>
      </w:r>
      <w:r>
        <w:rPr>
          <w:rFonts w:ascii="方正仿宋_GBK" w:eastAsia="方正仿宋_GBK"/>
          <w:color w:val="auto"/>
          <w:szCs w:val="28"/>
          <w:highlight w:val="none"/>
        </w:rPr>
        <w:fldChar w:fldCharType="separate"/>
      </w:r>
      <w:r>
        <w:rPr>
          <w:rFonts w:hint="eastAsia" w:ascii="黑体" w:hAnsi="黑体"/>
          <w:color w:val="auto"/>
          <w:szCs w:val="44"/>
          <w:highlight w:val="none"/>
        </w:rPr>
        <w:t>第五篇</w:t>
      </w:r>
      <w:r>
        <w:rPr>
          <w:rFonts w:ascii="黑体" w:hAnsi="黑体"/>
          <w:color w:val="auto"/>
          <w:szCs w:val="44"/>
          <w:highlight w:val="none"/>
        </w:rPr>
        <w:t xml:space="preserve">  </w:t>
      </w:r>
      <w:r>
        <w:rPr>
          <w:rFonts w:hint="eastAsia" w:ascii="黑体" w:hAnsi="黑体"/>
          <w:color w:val="auto"/>
          <w:szCs w:val="44"/>
          <w:highlight w:val="none"/>
        </w:rPr>
        <w:t>合同草案条款</w:t>
      </w:r>
      <w:r>
        <w:rPr>
          <w:color w:val="auto"/>
          <w:highlight w:val="none"/>
        </w:rPr>
        <w:tab/>
      </w:r>
      <w:r>
        <w:rPr>
          <w:color w:val="auto"/>
          <w:highlight w:val="none"/>
        </w:rPr>
        <w:fldChar w:fldCharType="begin"/>
      </w:r>
      <w:r>
        <w:rPr>
          <w:color w:val="auto"/>
          <w:highlight w:val="none"/>
        </w:rPr>
        <w:instrText xml:space="preserve"> PAGEREF _Toc28557 \h </w:instrText>
      </w:r>
      <w:r>
        <w:rPr>
          <w:color w:val="auto"/>
          <w:highlight w:val="none"/>
        </w:rPr>
        <w:fldChar w:fldCharType="separate"/>
      </w:r>
      <w:r>
        <w:rPr>
          <w:color w:val="auto"/>
          <w:highlight w:val="none"/>
        </w:rPr>
        <w:t>- 30 -</w:t>
      </w:r>
      <w:r>
        <w:rPr>
          <w:color w:val="auto"/>
          <w:highlight w:val="none"/>
        </w:rPr>
        <w:fldChar w:fldCharType="end"/>
      </w:r>
      <w:r>
        <w:rPr>
          <w:rFonts w:ascii="方正仿宋_GBK" w:eastAsia="方正仿宋_GBK"/>
          <w:color w:val="auto"/>
          <w:szCs w:val="28"/>
          <w:highlight w:val="none"/>
        </w:rPr>
        <w:fldChar w:fldCharType="end"/>
      </w:r>
    </w:p>
    <w:p>
      <w:pPr>
        <w:pStyle w:val="45"/>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_Toc18432 </w:instrText>
      </w:r>
      <w:r>
        <w:rPr>
          <w:rFonts w:ascii="方正仿宋_GBK" w:eastAsia="方正仿宋_GBK"/>
          <w:color w:val="auto"/>
          <w:szCs w:val="28"/>
          <w:highlight w:val="none"/>
        </w:rPr>
        <w:fldChar w:fldCharType="separate"/>
      </w:r>
      <w:r>
        <w:rPr>
          <w:rFonts w:hint="eastAsia" w:ascii="黑体" w:hAnsi="黑体"/>
          <w:color w:val="auto"/>
          <w:szCs w:val="44"/>
          <w:highlight w:val="none"/>
        </w:rPr>
        <w:t>第六篇</w:t>
      </w:r>
      <w:r>
        <w:rPr>
          <w:rFonts w:ascii="黑体" w:hAnsi="黑体"/>
          <w:color w:val="auto"/>
          <w:szCs w:val="44"/>
          <w:highlight w:val="none"/>
        </w:rPr>
        <w:t xml:space="preserve">  </w:t>
      </w:r>
      <w:r>
        <w:rPr>
          <w:rFonts w:hint="eastAsia" w:ascii="黑体" w:hAnsi="黑体"/>
          <w:color w:val="auto"/>
          <w:szCs w:val="44"/>
          <w:highlight w:val="none"/>
        </w:rPr>
        <w:t>响应文件格式要求</w:t>
      </w:r>
      <w:r>
        <w:rPr>
          <w:color w:val="auto"/>
          <w:highlight w:val="none"/>
        </w:rPr>
        <w:tab/>
      </w:r>
      <w:r>
        <w:rPr>
          <w:color w:val="auto"/>
          <w:highlight w:val="none"/>
        </w:rPr>
        <w:fldChar w:fldCharType="begin"/>
      </w:r>
      <w:r>
        <w:rPr>
          <w:color w:val="auto"/>
          <w:highlight w:val="none"/>
        </w:rPr>
        <w:instrText xml:space="preserve"> PAGEREF _Toc18432 \h </w:instrText>
      </w:r>
      <w:r>
        <w:rPr>
          <w:color w:val="auto"/>
          <w:highlight w:val="none"/>
        </w:rPr>
        <w:fldChar w:fldCharType="separate"/>
      </w:r>
      <w:r>
        <w:rPr>
          <w:color w:val="auto"/>
          <w:highlight w:val="none"/>
        </w:rPr>
        <w:t>- 41 -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_Toc5521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一、经济部分</w:t>
      </w:r>
      <w:r>
        <w:rPr>
          <w:color w:val="auto"/>
          <w:highlight w:val="none"/>
        </w:rPr>
        <w:tab/>
      </w:r>
      <w:r>
        <w:rPr>
          <w:color w:val="auto"/>
          <w:highlight w:val="none"/>
        </w:rPr>
        <w:fldChar w:fldCharType="begin"/>
      </w:r>
      <w:r>
        <w:rPr>
          <w:color w:val="auto"/>
          <w:highlight w:val="none"/>
        </w:rPr>
        <w:instrText xml:space="preserve"> PAGEREF _Toc5521 \h </w:instrText>
      </w:r>
      <w:r>
        <w:rPr>
          <w:color w:val="auto"/>
          <w:highlight w:val="none"/>
        </w:rPr>
        <w:fldChar w:fldCharType="separate"/>
      </w:r>
      <w:r>
        <w:rPr>
          <w:color w:val="auto"/>
          <w:highlight w:val="none"/>
        </w:rPr>
        <w:t>- 43 -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_Toc18512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二、技术部分</w:t>
      </w:r>
      <w:r>
        <w:rPr>
          <w:color w:val="auto"/>
          <w:highlight w:val="none"/>
        </w:rPr>
        <w:tab/>
      </w:r>
      <w:r>
        <w:rPr>
          <w:color w:val="auto"/>
          <w:highlight w:val="none"/>
        </w:rPr>
        <w:fldChar w:fldCharType="begin"/>
      </w:r>
      <w:r>
        <w:rPr>
          <w:color w:val="auto"/>
          <w:highlight w:val="none"/>
        </w:rPr>
        <w:instrText xml:space="preserve"> PAGEREF _Toc18512 \h </w:instrText>
      </w:r>
      <w:r>
        <w:rPr>
          <w:color w:val="auto"/>
          <w:highlight w:val="none"/>
        </w:rPr>
        <w:fldChar w:fldCharType="separate"/>
      </w:r>
      <w:r>
        <w:rPr>
          <w:color w:val="auto"/>
          <w:highlight w:val="none"/>
        </w:rPr>
        <w:t>- 46 -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_Toc15663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三、服务部分</w:t>
      </w:r>
      <w:r>
        <w:rPr>
          <w:color w:val="auto"/>
          <w:highlight w:val="none"/>
        </w:rPr>
        <w:tab/>
      </w:r>
      <w:r>
        <w:rPr>
          <w:color w:val="auto"/>
          <w:highlight w:val="none"/>
        </w:rPr>
        <w:fldChar w:fldCharType="begin"/>
      </w:r>
      <w:r>
        <w:rPr>
          <w:color w:val="auto"/>
          <w:highlight w:val="none"/>
        </w:rPr>
        <w:instrText xml:space="preserve"> PAGEREF _Toc15663 \h </w:instrText>
      </w:r>
      <w:r>
        <w:rPr>
          <w:color w:val="auto"/>
          <w:highlight w:val="none"/>
        </w:rPr>
        <w:fldChar w:fldCharType="separate"/>
      </w:r>
      <w:r>
        <w:rPr>
          <w:color w:val="auto"/>
          <w:highlight w:val="none"/>
        </w:rPr>
        <w:t>- 47 -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_Toc22765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四、资格条件及其他</w:t>
      </w:r>
      <w:r>
        <w:rPr>
          <w:color w:val="auto"/>
          <w:highlight w:val="none"/>
        </w:rPr>
        <w:tab/>
      </w:r>
      <w:r>
        <w:rPr>
          <w:color w:val="auto"/>
          <w:highlight w:val="none"/>
        </w:rPr>
        <w:fldChar w:fldCharType="begin"/>
      </w:r>
      <w:r>
        <w:rPr>
          <w:color w:val="auto"/>
          <w:highlight w:val="none"/>
        </w:rPr>
        <w:instrText xml:space="preserve"> PAGEREF _Toc22765 \h </w:instrText>
      </w:r>
      <w:r>
        <w:rPr>
          <w:color w:val="auto"/>
          <w:highlight w:val="none"/>
        </w:rPr>
        <w:fldChar w:fldCharType="separate"/>
      </w:r>
      <w:r>
        <w:rPr>
          <w:color w:val="auto"/>
          <w:highlight w:val="none"/>
        </w:rPr>
        <w:t>- 48 -</w:t>
      </w:r>
      <w:r>
        <w:rPr>
          <w:color w:val="auto"/>
          <w:highlight w:val="none"/>
        </w:rPr>
        <w:fldChar w:fldCharType="end"/>
      </w:r>
      <w:r>
        <w:rPr>
          <w:rFonts w:ascii="方正仿宋_GBK" w:eastAsia="方正仿宋_GBK"/>
          <w:color w:val="auto"/>
          <w:szCs w:val="28"/>
          <w:highlight w:val="none"/>
        </w:rPr>
        <w:fldChar w:fldCharType="end"/>
      </w:r>
    </w:p>
    <w:p>
      <w:pPr>
        <w:pStyle w:val="29"/>
        <w:tabs>
          <w:tab w:val="right" w:leader="dot" w:pos="9412"/>
        </w:tabs>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HYPERLINK \l _Toc29076 </w:instrText>
      </w:r>
      <w:r>
        <w:rPr>
          <w:rFonts w:ascii="方正仿宋_GBK" w:eastAsia="方正仿宋_GBK"/>
          <w:color w:val="auto"/>
          <w:szCs w:val="28"/>
          <w:highlight w:val="none"/>
        </w:rPr>
        <w:fldChar w:fldCharType="separate"/>
      </w:r>
      <w:r>
        <w:rPr>
          <w:rFonts w:hint="eastAsia" w:ascii="方正仿宋_GBK" w:eastAsia="方正仿宋_GBK"/>
          <w:color w:val="auto"/>
          <w:szCs w:val="28"/>
          <w:highlight w:val="none"/>
        </w:rPr>
        <w:t>五、其他应提供的资料</w:t>
      </w:r>
      <w:r>
        <w:rPr>
          <w:color w:val="auto"/>
          <w:highlight w:val="none"/>
        </w:rPr>
        <w:tab/>
      </w:r>
      <w:r>
        <w:rPr>
          <w:color w:val="auto"/>
          <w:highlight w:val="none"/>
        </w:rPr>
        <w:fldChar w:fldCharType="begin"/>
      </w:r>
      <w:r>
        <w:rPr>
          <w:color w:val="auto"/>
          <w:highlight w:val="none"/>
        </w:rPr>
        <w:instrText xml:space="preserve"> PAGEREF _Toc29076 \h </w:instrText>
      </w:r>
      <w:r>
        <w:rPr>
          <w:color w:val="auto"/>
          <w:highlight w:val="none"/>
        </w:rPr>
        <w:fldChar w:fldCharType="separate"/>
      </w:r>
      <w:r>
        <w:rPr>
          <w:color w:val="auto"/>
          <w:highlight w:val="none"/>
        </w:rPr>
        <w:t>- 53 -</w:t>
      </w:r>
      <w:r>
        <w:rPr>
          <w:color w:val="auto"/>
          <w:highlight w:val="none"/>
        </w:rPr>
        <w:fldChar w:fldCharType="end"/>
      </w:r>
      <w:r>
        <w:rPr>
          <w:rFonts w:ascii="方正仿宋_GBK" w:eastAsia="方正仿宋_GBK"/>
          <w:color w:val="auto"/>
          <w:szCs w:val="28"/>
          <w:highlight w:val="none"/>
        </w:rPr>
        <w:fldChar w:fldCharType="end"/>
      </w:r>
    </w:p>
    <w:p>
      <w:pPr>
        <w:pStyle w:val="45"/>
        <w:tabs>
          <w:tab w:val="right" w:leader="dot" w:pos="9402"/>
        </w:tabs>
        <w:spacing w:line="360" w:lineRule="exact"/>
        <w:ind w:left="0" w:leftChars="0"/>
        <w:rPr>
          <w:rFonts w:ascii="方正仿宋_GBK" w:hAnsi="Calibri" w:eastAsia="方正仿宋_GBK"/>
          <w:color w:val="auto"/>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color w:val="auto"/>
          <w:szCs w:val="28"/>
          <w:highlight w:val="none"/>
        </w:rPr>
        <w:fldChar w:fldCharType="end"/>
      </w:r>
    </w:p>
    <w:p>
      <w:pPr>
        <w:pStyle w:val="4"/>
        <w:spacing w:before="0" w:after="0" w:line="560" w:lineRule="exact"/>
        <w:jc w:val="center"/>
        <w:rPr>
          <w:rFonts w:ascii="黑体"/>
          <w:b w:val="0"/>
          <w:color w:val="auto"/>
          <w:sz w:val="44"/>
          <w:szCs w:val="44"/>
          <w:highlight w:val="none"/>
        </w:rPr>
      </w:pPr>
      <w:bookmarkStart w:id="0" w:name="_Toc11641050"/>
      <w:bookmarkStart w:id="1" w:name="_Toc15793"/>
      <w:bookmarkStart w:id="2" w:name="_Toc12789052"/>
      <w:r>
        <w:rPr>
          <w:rFonts w:hint="eastAsia" w:ascii="黑体" w:hAnsi="黑体"/>
          <w:b w:val="0"/>
          <w:color w:val="auto"/>
          <w:sz w:val="44"/>
          <w:szCs w:val="44"/>
          <w:highlight w:val="none"/>
        </w:rPr>
        <w:t>第一篇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竞争性谈判邀请书</w:t>
      </w:r>
      <w:bookmarkEnd w:id="0"/>
      <w:bookmarkEnd w:id="1"/>
      <w:bookmarkEnd w:id="2"/>
    </w:p>
    <w:p>
      <w:pPr>
        <w:snapToGrid w:val="0"/>
        <w:spacing w:line="560" w:lineRule="exact"/>
        <w:ind w:firstLine="560" w:firstLineChars="200"/>
        <w:rPr>
          <w:rFonts w:hint="eastAsia" w:ascii="仿宋" w:hAnsi="仿宋" w:eastAsia="仿宋" w:cs="仿宋"/>
          <w:color w:val="auto"/>
          <w:szCs w:val="28"/>
          <w:highlight w:val="none"/>
        </w:rPr>
      </w:pPr>
      <w:bookmarkStart w:id="3" w:name="_Toc373860293"/>
      <w:bookmarkStart w:id="4" w:name="_Toc317775178"/>
      <w:r>
        <w:rPr>
          <w:rFonts w:hint="eastAsia" w:ascii="仿宋" w:hAnsi="仿宋" w:eastAsia="仿宋" w:cs="仿宋"/>
          <w:color w:val="auto"/>
          <w:szCs w:val="28"/>
          <w:highlight w:val="none"/>
        </w:rPr>
        <w:t>重庆医科大学对“</w:t>
      </w:r>
      <w:r>
        <w:rPr>
          <w:rFonts w:hint="eastAsia" w:ascii="仿宋" w:hAnsi="仿宋" w:eastAsia="仿宋" w:cs="仿宋"/>
          <w:color w:val="auto"/>
          <w:kern w:val="0"/>
          <w:szCs w:val="28"/>
          <w:highlight w:val="none"/>
        </w:rPr>
        <w:t>重庆医科大学基础医学院采购动物暂存及废气排风系统</w:t>
      </w:r>
      <w:r>
        <w:rPr>
          <w:rFonts w:hint="eastAsia" w:ascii="仿宋" w:hAnsi="仿宋" w:eastAsia="仿宋" w:cs="仿宋"/>
          <w:color w:val="auto"/>
          <w:szCs w:val="28"/>
          <w:highlight w:val="none"/>
        </w:rPr>
        <w:t>”项目进行竞争性谈判采购。欢迎有资格的供应商前来参加谈判。</w:t>
      </w:r>
    </w:p>
    <w:p>
      <w:pPr>
        <w:pStyle w:val="5"/>
        <w:spacing w:before="0" w:after="0" w:line="560" w:lineRule="exact"/>
        <w:ind w:firstLine="422" w:firstLineChars="150"/>
        <w:rPr>
          <w:rFonts w:hint="eastAsia" w:ascii="仿宋" w:hAnsi="仿宋" w:eastAsia="仿宋" w:cs="仿宋"/>
          <w:b/>
          <w:bCs/>
          <w:color w:val="auto"/>
          <w:sz w:val="28"/>
          <w:szCs w:val="28"/>
          <w:highlight w:val="none"/>
        </w:rPr>
      </w:pPr>
      <w:bookmarkStart w:id="5" w:name="_Toc317775175"/>
      <w:bookmarkStart w:id="6" w:name="_Toc535312130"/>
      <w:bookmarkStart w:id="7" w:name="_Toc313893526"/>
      <w:bookmarkStart w:id="8" w:name="_Toc418"/>
      <w:r>
        <w:rPr>
          <w:rFonts w:hint="eastAsia" w:ascii="仿宋" w:hAnsi="仿宋" w:eastAsia="仿宋" w:cs="仿宋"/>
          <w:b/>
          <w:bCs/>
          <w:color w:val="auto"/>
          <w:sz w:val="28"/>
          <w:szCs w:val="28"/>
          <w:highlight w:val="none"/>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保证金</w:t>
            </w:r>
          </w:p>
          <w:p>
            <w:pPr>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Cs/>
                <w:color w:val="auto"/>
                <w:kern w:val="0"/>
                <w:szCs w:val="28"/>
                <w:highlight w:val="none"/>
              </w:rPr>
            </w:pPr>
            <w:r>
              <w:rPr>
                <w:rFonts w:hint="eastAsia" w:ascii="仿宋" w:hAnsi="仿宋" w:eastAsia="仿宋" w:cs="仿宋"/>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cs="仿宋"/>
                <w:color w:val="auto"/>
                <w:kern w:val="0"/>
                <w:szCs w:val="28"/>
                <w:highlight w:val="none"/>
              </w:rPr>
            </w:pPr>
            <w:bookmarkStart w:id="9" w:name="_Hlk344477914"/>
            <w:r>
              <w:rPr>
                <w:rFonts w:hint="eastAsia" w:ascii="仿宋" w:hAnsi="仿宋" w:eastAsia="仿宋" w:cs="仿宋"/>
                <w:color w:val="auto"/>
                <w:kern w:val="0"/>
                <w:szCs w:val="28"/>
                <w:highlight w:val="none"/>
              </w:rPr>
              <w:t>重庆医科大学基础医学院采购动物暂存及废气排风系统</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color w:val="auto"/>
                <w:szCs w:val="28"/>
                <w:highlight w:val="none"/>
              </w:rPr>
            </w:pPr>
            <w:r>
              <w:rPr>
                <w:rFonts w:hint="eastAsia" w:ascii="仿宋" w:hAnsi="仿宋" w:eastAsia="仿宋" w:cs="仿宋"/>
                <w:color w:val="auto"/>
                <w:szCs w:val="28"/>
                <w:highlight w:val="none"/>
              </w:rPr>
              <w:t>26.4</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color w:val="auto"/>
                <w:szCs w:val="28"/>
                <w:highlight w:val="none"/>
                <w:lang w:eastAsia="zh-CN"/>
              </w:rPr>
            </w:pPr>
            <w:r>
              <w:rPr>
                <w:rFonts w:hint="eastAsia" w:ascii="仿宋" w:hAnsi="仿宋" w:eastAsia="仿宋" w:cs="仿宋"/>
                <w:color w:val="auto"/>
                <w:szCs w:val="28"/>
                <w:highlight w:val="none"/>
              </w:rPr>
              <w:t>0.5</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仿宋" w:hAnsi="仿宋" w:eastAsia="仿宋" w:cs="仿宋"/>
                <w:color w:val="auto"/>
                <w:kern w:val="0"/>
                <w:szCs w:val="28"/>
                <w:highlight w:val="none"/>
              </w:rPr>
            </w:pPr>
          </w:p>
        </w:tc>
      </w:tr>
      <w:bookmarkEnd w:id="9"/>
    </w:tbl>
    <w:p>
      <w:pPr>
        <w:pStyle w:val="5"/>
        <w:spacing w:before="0" w:after="0" w:line="560" w:lineRule="exact"/>
        <w:ind w:firstLine="562" w:firstLineChars="200"/>
        <w:rPr>
          <w:rFonts w:hint="eastAsia" w:ascii="仿宋" w:hAnsi="仿宋" w:eastAsia="仿宋" w:cs="仿宋"/>
          <w:b/>
          <w:bCs/>
          <w:color w:val="auto"/>
          <w:sz w:val="28"/>
          <w:szCs w:val="28"/>
          <w:highlight w:val="none"/>
        </w:rPr>
      </w:pPr>
      <w:bookmarkStart w:id="10" w:name="_Toc18116"/>
      <w:r>
        <w:rPr>
          <w:rFonts w:hint="eastAsia" w:ascii="仿宋" w:hAnsi="仿宋" w:eastAsia="仿宋" w:cs="仿宋"/>
          <w:b/>
          <w:bCs/>
          <w:color w:val="auto"/>
          <w:sz w:val="28"/>
          <w:szCs w:val="28"/>
          <w:highlight w:val="none"/>
        </w:rPr>
        <w:t>二、资金来源</w:t>
      </w:r>
      <w:bookmarkEnd w:id="10"/>
    </w:p>
    <w:p>
      <w:pPr>
        <w:spacing w:line="560" w:lineRule="exact"/>
        <w:ind w:firstLine="560" w:firstLineChars="200"/>
        <w:rPr>
          <w:rFonts w:hint="eastAsia" w:ascii="仿宋" w:hAnsi="仿宋" w:eastAsia="仿宋" w:cs="仿宋"/>
          <w:bCs/>
          <w:color w:val="auto"/>
          <w:szCs w:val="28"/>
          <w:highlight w:val="none"/>
        </w:rPr>
      </w:pPr>
      <w:r>
        <w:rPr>
          <w:rFonts w:hint="eastAsia" w:ascii="仿宋" w:hAnsi="仿宋" w:eastAsia="仿宋" w:cs="仿宋"/>
          <w:bCs/>
          <w:color w:val="auto"/>
          <w:szCs w:val="28"/>
          <w:highlight w:val="none"/>
        </w:rPr>
        <w:t>学校自筹，资金已到位。</w:t>
      </w:r>
    </w:p>
    <w:p>
      <w:pPr>
        <w:pStyle w:val="5"/>
        <w:spacing w:before="0" w:after="0" w:line="560" w:lineRule="exact"/>
        <w:ind w:firstLine="562" w:firstLineChars="200"/>
        <w:rPr>
          <w:rFonts w:hint="eastAsia" w:ascii="仿宋" w:hAnsi="仿宋" w:eastAsia="仿宋" w:cs="仿宋"/>
          <w:b/>
          <w:bCs/>
          <w:color w:val="auto"/>
          <w:sz w:val="28"/>
          <w:szCs w:val="28"/>
          <w:highlight w:val="none"/>
        </w:rPr>
      </w:pPr>
      <w:bookmarkStart w:id="11" w:name="_Toc15282"/>
      <w:r>
        <w:rPr>
          <w:rFonts w:hint="eastAsia" w:ascii="仿宋" w:hAnsi="仿宋" w:eastAsia="仿宋" w:cs="仿宋"/>
          <w:b/>
          <w:bCs/>
          <w:color w:val="auto"/>
          <w:sz w:val="28"/>
          <w:szCs w:val="28"/>
          <w:highlight w:val="none"/>
        </w:rPr>
        <w:t>三、谈判资格</w:t>
      </w:r>
      <w:bookmarkEnd w:id="11"/>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（一）一般资格条件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1.具有独立承担民事责任的能力；</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2.具有良好的商业信誉和健全的财务会计制度；</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3.具有履行合同所必需的设备和专业技术能力；</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4.有依法缴纳税收和社会保障资金的良好记录；</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5.参加政府采购活动前三年内，在经营活动中没有重大违法记录；</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6.法律、行政法规规定的其他条件。</w:t>
      </w:r>
    </w:p>
    <w:p>
      <w:pPr>
        <w:pStyle w:val="5"/>
        <w:spacing w:before="0" w:after="0" w:line="560" w:lineRule="exact"/>
        <w:ind w:firstLine="562" w:firstLineChars="200"/>
        <w:rPr>
          <w:rFonts w:hint="eastAsia" w:ascii="仿宋" w:hAnsi="仿宋" w:eastAsia="仿宋" w:cs="仿宋"/>
          <w:b/>
          <w:bCs/>
          <w:color w:val="auto"/>
          <w:sz w:val="28"/>
          <w:szCs w:val="28"/>
          <w:highlight w:val="none"/>
        </w:rPr>
      </w:pPr>
      <w:bookmarkStart w:id="12" w:name="_Toc27228"/>
      <w:r>
        <w:rPr>
          <w:rFonts w:hint="eastAsia" w:ascii="仿宋" w:hAnsi="仿宋" w:eastAsia="仿宋" w:cs="仿宋"/>
          <w:b/>
          <w:bCs/>
          <w:color w:val="auto"/>
          <w:sz w:val="28"/>
          <w:szCs w:val="28"/>
          <w:highlight w:val="none"/>
        </w:rPr>
        <w:t>四、谈判有关说明</w:t>
      </w:r>
      <w:bookmarkEnd w:id="3"/>
      <w:bookmarkEnd w:id="12"/>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（二）凡有意参加谈判的供应商，请于公告发布之日（2023年</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22</w:t>
      </w:r>
      <w:r>
        <w:rPr>
          <w:rFonts w:hint="eastAsia" w:ascii="仿宋" w:hAnsi="仿宋" w:eastAsia="仿宋" w:cs="仿宋"/>
          <w:color w:val="auto"/>
          <w:szCs w:val="28"/>
          <w:highlight w:val="none"/>
        </w:rPr>
        <w:t>日）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（三）报名方式</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1.报名期限：2023年</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22</w:t>
      </w:r>
      <w:r>
        <w:rPr>
          <w:rFonts w:hint="eastAsia" w:ascii="仿宋" w:hAnsi="仿宋" w:eastAsia="仿宋" w:cs="仿宋"/>
          <w:color w:val="auto"/>
          <w:szCs w:val="28"/>
          <w:highlight w:val="none"/>
        </w:rPr>
        <w:t>日9：00至2023年</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26</w:t>
      </w:r>
      <w:r>
        <w:rPr>
          <w:rFonts w:hint="eastAsia" w:ascii="仿宋" w:hAnsi="仿宋" w:eastAsia="仿宋" w:cs="仿宋"/>
          <w:color w:val="auto"/>
          <w:szCs w:val="28"/>
          <w:highlight w:val="none"/>
        </w:rPr>
        <w:t>日17:00（法定公休日、法定节假日除外）</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2.在报名期限内，投标人将保证金汇款凭证（注明采购计划编号、采购项目名称）、供应商名称及地址、联系人姓名及联系方式、电子邮箱地址等相关信息，</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"mailto:在报名截止时间前发送至359781294@qq.com" </w:instrText>
      </w:r>
      <w:r>
        <w:rPr>
          <w:rFonts w:hint="eastAsia" w:ascii="仿宋" w:hAnsi="仿宋" w:eastAsia="仿宋" w:cs="仿宋"/>
          <w:color w:val="auto"/>
          <w:highlight w:val="none"/>
        </w:rPr>
        <w:fldChar w:fldCharType="separate"/>
      </w:r>
      <w:r>
        <w:rPr>
          <w:rStyle w:val="64"/>
          <w:rFonts w:hint="eastAsia" w:ascii="仿宋" w:hAnsi="仿宋" w:eastAsia="仿宋" w:cs="仿宋"/>
          <w:color w:val="auto"/>
          <w:szCs w:val="28"/>
          <w:highlight w:val="none"/>
        </w:rPr>
        <w:t>在报名截止时间前发送至359781294@qq.com</w:t>
      </w:r>
      <w:r>
        <w:rPr>
          <w:rStyle w:val="64"/>
          <w:rFonts w:hint="eastAsia" w:ascii="仿宋" w:hAnsi="仿宋" w:eastAsia="仿宋" w:cs="仿宋"/>
          <w:color w:val="auto"/>
          <w:szCs w:val="28"/>
          <w:highlight w:val="none"/>
        </w:rPr>
        <w:fldChar w:fldCharType="end"/>
      </w:r>
      <w:r>
        <w:rPr>
          <w:rFonts w:hint="eastAsia" w:ascii="仿宋" w:hAnsi="仿宋" w:eastAsia="仿宋" w:cs="仿宋"/>
          <w:color w:val="auto"/>
          <w:szCs w:val="28"/>
          <w:highlight w:val="none"/>
        </w:rPr>
        <w:t>邮箱。只有在规定时间内发送了报名信息的供应商的响应文件才被接收。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3.收到报名信息后，我校将为其办理进校备案，只有办理了备案的人员才能进入学校。</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（四）供应商须满足以下三种要件，其响应文件才被接受：</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1、按时递交了响应文件；</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2、按时报名签到；</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3、缴纳了</w:t>
      </w:r>
      <w:r>
        <w:rPr>
          <w:rFonts w:hint="eastAsia" w:ascii="仿宋" w:hAnsi="仿宋" w:eastAsia="仿宋" w:cs="仿宋"/>
          <w:color w:val="auto"/>
          <w:kern w:val="0"/>
          <w:szCs w:val="28"/>
          <w:highlight w:val="none"/>
        </w:rPr>
        <w:t>“重庆医科大学基础医学院采购动物暂存及废气排风系统”</w:t>
      </w:r>
      <w:r>
        <w:rPr>
          <w:rFonts w:hint="eastAsia" w:ascii="仿宋" w:hAnsi="仿宋" w:eastAsia="仿宋" w:cs="仿宋"/>
          <w:color w:val="auto"/>
          <w:szCs w:val="28"/>
          <w:highlight w:val="none"/>
        </w:rPr>
        <w:t>项目保证金；</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r>
        <w:rPr>
          <w:rFonts w:hint="eastAsia" w:ascii="仿宋" w:hAnsi="仿宋" w:eastAsia="仿宋" w:cs="仿宋"/>
          <w:color w:val="auto"/>
          <w:szCs w:val="28"/>
          <w:highlight w:val="none"/>
          <w:lang w:val="en-US" w:eastAsia="zh-CN"/>
        </w:rPr>
        <w:t>五</w:t>
      </w:r>
      <w:r>
        <w:rPr>
          <w:rFonts w:hint="eastAsia" w:ascii="仿宋" w:hAnsi="仿宋" w:eastAsia="仿宋" w:cs="仿宋"/>
          <w:color w:val="auto"/>
          <w:szCs w:val="28"/>
          <w:highlight w:val="none"/>
        </w:rPr>
        <w:t>）谈判地点：重庆医科大学袁家岗校区基础医学院北楼136室</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r>
        <w:rPr>
          <w:rFonts w:hint="eastAsia" w:ascii="仿宋" w:hAnsi="仿宋" w:eastAsia="仿宋" w:cs="仿宋"/>
          <w:color w:val="auto"/>
          <w:szCs w:val="28"/>
          <w:highlight w:val="none"/>
          <w:lang w:val="en-US" w:eastAsia="zh-CN"/>
        </w:rPr>
        <w:t>六</w:t>
      </w:r>
      <w:r>
        <w:rPr>
          <w:rFonts w:hint="eastAsia" w:ascii="仿宋" w:hAnsi="仿宋" w:eastAsia="仿宋" w:cs="仿宋"/>
          <w:color w:val="auto"/>
          <w:szCs w:val="28"/>
          <w:highlight w:val="none"/>
        </w:rPr>
        <w:t>）提交响应文件开始时间：2023年</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29</w:t>
      </w:r>
      <w:r>
        <w:rPr>
          <w:rFonts w:hint="eastAsia" w:ascii="仿宋" w:hAnsi="仿宋" w:eastAsia="仿宋" w:cs="仿宋"/>
          <w:color w:val="auto"/>
          <w:szCs w:val="28"/>
          <w:highlight w:val="none"/>
        </w:rPr>
        <w:t>日北京时间</w:t>
      </w:r>
      <w:r>
        <w:rPr>
          <w:rFonts w:hint="eastAsia" w:ascii="仿宋" w:hAnsi="仿宋" w:eastAsia="仿宋" w:cs="仿宋"/>
          <w:color w:val="auto"/>
          <w:szCs w:val="28"/>
          <w:highlight w:val="none"/>
          <w:lang w:val="en-US" w:eastAsia="zh-CN"/>
        </w:rPr>
        <w:t>上午10</w:t>
      </w:r>
      <w:r>
        <w:rPr>
          <w:rFonts w:hint="eastAsia" w:ascii="仿宋" w:hAnsi="仿宋" w:eastAsia="仿宋" w:cs="仿宋"/>
          <w:color w:val="auto"/>
          <w:szCs w:val="28"/>
          <w:highlight w:val="none"/>
        </w:rPr>
        <w:t>:</w:t>
      </w:r>
      <w:r>
        <w:rPr>
          <w:rFonts w:hint="eastAsia" w:ascii="仿宋" w:hAnsi="仿宋" w:eastAsia="仿宋" w:cs="仿宋"/>
          <w:color w:val="auto"/>
          <w:szCs w:val="28"/>
          <w:highlight w:val="none"/>
          <w:lang w:val="en-US" w:eastAsia="zh-CN"/>
        </w:rPr>
        <w:t>3</w:t>
      </w:r>
      <w:r>
        <w:rPr>
          <w:rFonts w:hint="eastAsia" w:ascii="仿宋" w:hAnsi="仿宋" w:eastAsia="仿宋" w:cs="仿宋"/>
          <w:color w:val="auto"/>
          <w:szCs w:val="28"/>
          <w:highlight w:val="none"/>
        </w:rPr>
        <w:t>0</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r>
        <w:rPr>
          <w:rFonts w:hint="eastAsia" w:ascii="仿宋" w:hAnsi="仿宋" w:eastAsia="仿宋" w:cs="仿宋"/>
          <w:color w:val="auto"/>
          <w:szCs w:val="28"/>
          <w:highlight w:val="none"/>
          <w:lang w:val="en-US" w:eastAsia="zh-CN"/>
        </w:rPr>
        <w:t>七</w:t>
      </w:r>
      <w:r>
        <w:rPr>
          <w:rFonts w:hint="eastAsia" w:ascii="仿宋" w:hAnsi="仿宋" w:eastAsia="仿宋" w:cs="仿宋"/>
          <w:color w:val="auto"/>
          <w:szCs w:val="28"/>
          <w:highlight w:val="none"/>
        </w:rPr>
        <w:t>）提交响应文件截止时间：2023年</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29</w:t>
      </w:r>
      <w:r>
        <w:rPr>
          <w:rFonts w:hint="eastAsia" w:ascii="仿宋" w:hAnsi="仿宋" w:eastAsia="仿宋" w:cs="仿宋"/>
          <w:color w:val="auto"/>
          <w:szCs w:val="28"/>
          <w:highlight w:val="none"/>
        </w:rPr>
        <w:t>日北京时间</w:t>
      </w:r>
      <w:r>
        <w:rPr>
          <w:rFonts w:hint="eastAsia" w:ascii="仿宋" w:hAnsi="仿宋" w:eastAsia="仿宋" w:cs="仿宋"/>
          <w:color w:val="auto"/>
          <w:szCs w:val="28"/>
          <w:highlight w:val="none"/>
          <w:lang w:val="en-US" w:eastAsia="zh-CN"/>
        </w:rPr>
        <w:t>上午11</w:t>
      </w:r>
      <w:r>
        <w:rPr>
          <w:rFonts w:hint="eastAsia" w:ascii="仿宋" w:hAnsi="仿宋" w:eastAsia="仿宋" w:cs="仿宋"/>
          <w:color w:val="auto"/>
          <w:szCs w:val="28"/>
          <w:highlight w:val="none"/>
        </w:rPr>
        <w:t>:00</w:t>
      </w:r>
    </w:p>
    <w:p>
      <w:pPr>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w:t>
      </w:r>
      <w:r>
        <w:rPr>
          <w:rFonts w:hint="eastAsia" w:ascii="仿宋" w:hAnsi="仿宋" w:eastAsia="仿宋" w:cs="仿宋"/>
          <w:color w:val="auto"/>
          <w:szCs w:val="28"/>
          <w:highlight w:val="none"/>
          <w:lang w:val="en-US" w:eastAsia="zh-CN"/>
        </w:rPr>
        <w:t>八</w:t>
      </w:r>
      <w:r>
        <w:rPr>
          <w:rFonts w:hint="eastAsia" w:ascii="仿宋" w:hAnsi="仿宋" w:eastAsia="仿宋" w:cs="仿宋"/>
          <w:color w:val="auto"/>
          <w:szCs w:val="28"/>
          <w:highlight w:val="none"/>
        </w:rPr>
        <w:t>）谈判开始时间：</w:t>
      </w:r>
      <w:bookmarkEnd w:id="4"/>
      <w:bookmarkStart w:id="13" w:name="_Toc373860294"/>
      <w:bookmarkStart w:id="14" w:name="_Toc525047161"/>
      <w:bookmarkStart w:id="15" w:name="_Toc521053053"/>
      <w:r>
        <w:rPr>
          <w:rFonts w:hint="eastAsia" w:ascii="仿宋" w:hAnsi="仿宋" w:eastAsia="仿宋" w:cs="仿宋"/>
          <w:color w:val="auto"/>
          <w:szCs w:val="28"/>
          <w:highlight w:val="none"/>
        </w:rPr>
        <w:t>2023年</w:t>
      </w:r>
      <w:r>
        <w:rPr>
          <w:rFonts w:hint="eastAsia" w:ascii="仿宋" w:hAnsi="仿宋" w:eastAsia="仿宋" w:cs="仿宋"/>
          <w:color w:val="auto"/>
          <w:szCs w:val="28"/>
          <w:highlight w:val="none"/>
          <w:lang w:val="en-US" w:eastAsia="zh-CN"/>
        </w:rPr>
        <w:t>5</w:t>
      </w:r>
      <w:r>
        <w:rPr>
          <w:rFonts w:hint="eastAsia" w:ascii="仿宋" w:hAnsi="仿宋" w:eastAsia="仿宋" w:cs="仿宋"/>
          <w:color w:val="auto"/>
          <w:szCs w:val="28"/>
          <w:highlight w:val="none"/>
        </w:rPr>
        <w:t>月</w:t>
      </w:r>
      <w:r>
        <w:rPr>
          <w:rFonts w:hint="eastAsia" w:ascii="仿宋" w:hAnsi="仿宋" w:eastAsia="仿宋" w:cs="仿宋"/>
          <w:color w:val="auto"/>
          <w:szCs w:val="28"/>
          <w:highlight w:val="none"/>
          <w:lang w:val="en-US" w:eastAsia="zh-CN"/>
        </w:rPr>
        <w:t>29</w:t>
      </w:r>
      <w:r>
        <w:rPr>
          <w:rFonts w:hint="eastAsia" w:ascii="仿宋" w:hAnsi="仿宋" w:eastAsia="仿宋" w:cs="仿宋"/>
          <w:color w:val="auto"/>
          <w:szCs w:val="28"/>
          <w:highlight w:val="none"/>
        </w:rPr>
        <w:t>日北京时间</w:t>
      </w:r>
      <w:r>
        <w:rPr>
          <w:rFonts w:hint="eastAsia" w:ascii="仿宋" w:hAnsi="仿宋" w:eastAsia="仿宋" w:cs="仿宋"/>
          <w:color w:val="auto"/>
          <w:szCs w:val="28"/>
          <w:highlight w:val="none"/>
          <w:lang w:val="en-US" w:eastAsia="zh-CN"/>
        </w:rPr>
        <w:t>上午1</w:t>
      </w:r>
      <w:bookmarkStart w:id="99" w:name="_GoBack"/>
      <w:bookmarkEnd w:id="99"/>
      <w:r>
        <w:rPr>
          <w:rFonts w:hint="eastAsia" w:ascii="仿宋" w:hAnsi="仿宋" w:eastAsia="仿宋" w:cs="仿宋"/>
          <w:color w:val="auto"/>
          <w:szCs w:val="28"/>
          <w:highlight w:val="none"/>
          <w:lang w:val="en-US" w:eastAsia="zh-CN"/>
        </w:rPr>
        <w:t>1</w:t>
      </w:r>
      <w:r>
        <w:rPr>
          <w:rFonts w:hint="eastAsia" w:ascii="仿宋" w:hAnsi="仿宋" w:eastAsia="仿宋" w:cs="仿宋"/>
          <w:color w:val="auto"/>
          <w:szCs w:val="28"/>
          <w:highlight w:val="none"/>
        </w:rPr>
        <w:t>:00</w:t>
      </w:r>
    </w:p>
    <w:p>
      <w:pPr>
        <w:spacing w:line="560" w:lineRule="exact"/>
        <w:ind w:firstLine="562" w:firstLineChars="200"/>
        <w:rPr>
          <w:rFonts w:hint="eastAsia" w:ascii="仿宋" w:hAnsi="仿宋" w:eastAsia="仿宋" w:cs="仿宋"/>
          <w:b/>
          <w:bCs w:val="0"/>
          <w:color w:val="auto"/>
          <w:szCs w:val="28"/>
          <w:highlight w:val="none"/>
        </w:rPr>
      </w:pPr>
      <w:r>
        <w:rPr>
          <w:rFonts w:hint="eastAsia" w:ascii="仿宋" w:hAnsi="仿宋" w:eastAsia="仿宋" w:cs="仿宋"/>
          <w:b/>
          <w:bCs w:val="0"/>
          <w:color w:val="auto"/>
          <w:szCs w:val="28"/>
          <w:highlight w:val="none"/>
        </w:rPr>
        <w:t>五、保证金</w:t>
      </w:r>
      <w:bookmarkEnd w:id="13"/>
      <w:bookmarkEnd w:id="14"/>
      <w:bookmarkEnd w:id="15"/>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（一）缴纳保证金方式</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1、按《重庆市财政局关于进一步规范投标报名及保证金缴纳的通知》的规定，具体缴纳方式如下：</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（1）分项目单次递交的供应商，须按本项目规定的保证金数额进行缴纳，由供应商从其基本账户将保证金汇至重庆医科大学的账号上，同时在进账凭证上明确“</w:t>
      </w:r>
      <w:r>
        <w:rPr>
          <w:rFonts w:hint="eastAsia" w:ascii="仿宋" w:hAnsi="仿宋" w:eastAsia="仿宋" w:cs="仿宋"/>
          <w:color w:val="auto"/>
          <w:kern w:val="0"/>
          <w:szCs w:val="28"/>
          <w:highlight w:val="none"/>
        </w:rPr>
        <w:t>重庆医科大学基础医学院购买低温高速冷冻离心机等设备</w:t>
      </w:r>
      <w:r>
        <w:rPr>
          <w:rFonts w:hint="eastAsia" w:ascii="仿宋" w:hAnsi="仿宋" w:eastAsia="仿宋" w:cs="仿宋"/>
          <w:color w:val="auto"/>
          <w:szCs w:val="28"/>
          <w:highlight w:val="none"/>
        </w:rPr>
        <w:t>”的采购计划编号，保证金的到账截止时间为谈判当天上午8:30。</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供应商须在投标前到学校财务处（第二教学楼110室）凭汇款凭证（原件或复印件）领取投标保证金的单据，以备投标时查验。投标人须充分考虑银行工作的时间差风险。</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递交保证金账号信息如下：</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户  名：重庆医科大学</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账  号：5000 1033 6000 5000 8726</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开户行：中国建设银行股份有限公司重庆高新区分行</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保证金的到账截止时间为谈判当天上午8:30。</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财务处联系电话：023-68486151  </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2、缴纳保证金需注意事项：</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（1）供应商必须在付款凭证备注栏中注明“</w:t>
      </w:r>
      <w:r>
        <w:rPr>
          <w:rFonts w:hint="eastAsia" w:ascii="仿宋" w:hAnsi="仿宋" w:eastAsia="仿宋" w:cs="仿宋"/>
          <w:color w:val="auto"/>
          <w:kern w:val="0"/>
          <w:szCs w:val="28"/>
          <w:highlight w:val="none"/>
        </w:rPr>
        <w:t>重庆医科大学基础医学院采购动物暂存及废气排风系统</w:t>
      </w:r>
      <w:r>
        <w:rPr>
          <w:rFonts w:hint="eastAsia" w:ascii="仿宋" w:hAnsi="仿宋" w:eastAsia="仿宋" w:cs="仿宋"/>
          <w:color w:val="auto"/>
          <w:szCs w:val="28"/>
          <w:highlight w:val="none"/>
        </w:rPr>
        <w:t>”的采购计划编号；</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（3）各供应商在递交保证金时，到款账户为上述指定的保证金专用账户。来款账户必须为本公司基本账户，否则，投标无效。</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（4）投标查验时，请出具由学校财务处开具的投标保证金电子票据。</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3、保证金数额不超过采购预算的2%。</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（二）保证金退还方式</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1、分项目单次递交的保证金</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1.1分项目单次递交的未成交供应商的保证金，在成交通知书发放后，由投标公司持投标保证金收据到重庆医科大学基础医学院办理退款手续。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1.2成交供应商的保证金，在成交供应商与采购人签订合同后，持投标保证金收据到重庆医科大学基础医学院办理退款手续。</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1.3保证金退还办理时间为每周四下午2:30时到5:00时。</w:t>
      </w:r>
    </w:p>
    <w:p>
      <w:pPr>
        <w:pStyle w:val="5"/>
        <w:spacing w:before="0" w:after="0" w:line="560" w:lineRule="exact"/>
        <w:ind w:firstLine="562" w:firstLineChars="200"/>
        <w:rPr>
          <w:rFonts w:hint="eastAsia" w:ascii="仿宋" w:hAnsi="仿宋" w:eastAsia="仿宋" w:cs="仿宋"/>
          <w:b/>
          <w:bCs w:val="0"/>
          <w:color w:val="auto"/>
          <w:sz w:val="28"/>
          <w:szCs w:val="28"/>
          <w:highlight w:val="none"/>
        </w:rPr>
      </w:pPr>
      <w:bookmarkStart w:id="16" w:name="_Toc26288"/>
      <w:r>
        <w:rPr>
          <w:rFonts w:hint="eastAsia" w:ascii="仿宋" w:hAnsi="仿宋" w:eastAsia="仿宋" w:cs="仿宋"/>
          <w:b/>
          <w:bCs w:val="0"/>
          <w:color w:val="auto"/>
          <w:sz w:val="28"/>
          <w:szCs w:val="28"/>
          <w:highlight w:val="none"/>
        </w:rPr>
        <w:t>六、采购项目需落实的政府采购政策</w:t>
      </w:r>
      <w:bookmarkEnd w:id="16"/>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（二）按照《财政部工业和信息化部关于印发≥政府采购促进中小企业发展暂行办法≥的通知》（财库〔2011〕181号）的规定，落实促进中小企业发展政策。</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（三）按照《财政部、司法部关于政府采购支持监狱企业发展有关问题的通知》（财库〔2014〕68号）的规定，落实支持监狱企业发展政策。</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（四）按照《三部门联合发布关于促进残疾人就业政府采购政策的通知》（财库〔2017〕141号）的规定，落实支持残疾人福利性单位发展政策。</w:t>
      </w:r>
    </w:p>
    <w:p>
      <w:pPr>
        <w:pStyle w:val="5"/>
        <w:spacing w:before="0" w:after="0" w:line="560" w:lineRule="exact"/>
        <w:ind w:firstLine="562" w:firstLineChars="200"/>
        <w:rPr>
          <w:rFonts w:hint="eastAsia" w:ascii="仿宋" w:hAnsi="仿宋" w:eastAsia="仿宋" w:cs="仿宋"/>
          <w:b/>
          <w:bCs w:val="0"/>
          <w:color w:val="auto"/>
          <w:sz w:val="28"/>
          <w:szCs w:val="28"/>
          <w:highlight w:val="none"/>
        </w:rPr>
      </w:pPr>
      <w:bookmarkStart w:id="17" w:name="_Toc1707"/>
      <w:r>
        <w:rPr>
          <w:rFonts w:hint="eastAsia" w:ascii="仿宋" w:hAnsi="仿宋" w:eastAsia="仿宋" w:cs="仿宋"/>
          <w:b/>
          <w:bCs w:val="0"/>
          <w:color w:val="auto"/>
          <w:sz w:val="28"/>
          <w:szCs w:val="28"/>
          <w:highlight w:val="none"/>
        </w:rPr>
        <w:t>七、其它有关规定</w:t>
      </w:r>
      <w:bookmarkEnd w:id="17"/>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1、法定代表人为同一个人的两个及两个以上法人，母公司、全资子公司及其控股公司，都不得在同一分包的货物采购中同时参与谈判，否则均为无效谈判。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2、单个分包为单一货物的，一个制造商对同一品牌同一规格型号的货物，仅能委托一个代理商参加该分包的谈判，否则为无效谈判。</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3、同一分包的货物，制造商参与谈判的，不得再委托代理商参与谈判，否则为无效谈判。</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4、为采购项目提供整体设计、规范编制或者项目管理、监理、检测等服务的供应商，不得再参加该采购项目的其他采购活动。</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5、本项目在响应文件提交截止时间前发布的竞争性谈判文件及补遗文件在重庆医科大学校园网上（主页-服务大厅-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6、超过响应文件截止时间递交的响应文件，恕不接收。</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7、谈判费用：无论谈判结果如何，供应商参与本项目谈判的所有费用均应由供应商自行承担。</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8、列入失信被执行人、重大税收违法案件当事人名单、政府采购严重违法失信行为记录名单等及其他不符合《中华人民共和国政府采购法》第二十二条规定条件的供应商，将拒绝其参与政府采购活动。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8.1 供应商可通过信用中国网站（www.creditchina.gov.cn）查询以下内容</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8.1.1“失信被执行人”；</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8.1.2“重大税收违法案件当事人名单”；</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8.1.3“政府采购严重违法失信行为记录名单”</w:t>
      </w:r>
    </w:p>
    <w:p>
      <w:pPr>
        <w:pStyle w:val="5"/>
        <w:spacing w:before="0" w:after="0" w:line="560" w:lineRule="exact"/>
        <w:ind w:firstLine="562" w:firstLineChars="200"/>
        <w:rPr>
          <w:rFonts w:hint="eastAsia" w:ascii="仿宋" w:hAnsi="仿宋" w:eastAsia="仿宋" w:cs="仿宋"/>
          <w:b/>
          <w:bCs w:val="0"/>
          <w:color w:val="auto"/>
          <w:sz w:val="28"/>
          <w:szCs w:val="28"/>
          <w:highlight w:val="none"/>
        </w:rPr>
      </w:pPr>
      <w:bookmarkStart w:id="18" w:name="_Toc7684"/>
      <w:r>
        <w:rPr>
          <w:rFonts w:hint="eastAsia" w:ascii="仿宋" w:hAnsi="仿宋" w:eastAsia="仿宋" w:cs="仿宋"/>
          <w:b/>
          <w:bCs w:val="0"/>
          <w:color w:val="auto"/>
          <w:sz w:val="28"/>
          <w:szCs w:val="28"/>
          <w:highlight w:val="none"/>
        </w:rPr>
        <w:t>八、联系方式</w:t>
      </w:r>
      <w:bookmarkEnd w:id="18"/>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采购人：重庆医科大学基础医学院</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联系人：彭老师</w:t>
      </w:r>
    </w:p>
    <w:p>
      <w:pPr>
        <w:snapToGrid w:val="0"/>
        <w:spacing w:line="560" w:lineRule="exact"/>
        <w:ind w:firstLine="560" w:firstLineChars="200"/>
        <w:rPr>
          <w:rFonts w:hint="eastAsia" w:ascii="仿宋" w:hAnsi="仿宋" w:eastAsia="仿宋" w:cs="仿宋"/>
          <w:color w:val="auto"/>
          <w:szCs w:val="28"/>
          <w:highlight w:val="none"/>
        </w:rPr>
      </w:pPr>
      <w:r>
        <w:rPr>
          <w:rFonts w:hint="eastAsia" w:ascii="仿宋" w:hAnsi="仿宋" w:eastAsia="仿宋" w:cs="仿宋"/>
          <w:color w:val="auto"/>
          <w:szCs w:val="28"/>
          <w:highlight w:val="none"/>
        </w:rPr>
        <w:t>电  话：（023）68486679</w:t>
      </w:r>
    </w:p>
    <w:p>
      <w:pPr>
        <w:snapToGrid w:val="0"/>
        <w:spacing w:line="560" w:lineRule="exact"/>
        <w:ind w:firstLine="560" w:firstLineChars="200"/>
        <w:rPr>
          <w:rFonts w:hint="eastAsia" w:ascii="仿宋" w:hAnsi="仿宋" w:eastAsia="仿宋" w:cs="仿宋"/>
          <w:color w:val="auto"/>
          <w:szCs w:val="28"/>
          <w:highlight w:val="none"/>
        </w:rPr>
        <w:sectPr>
          <w:pgSz w:w="11907" w:h="16840"/>
          <w:pgMar w:top="1418" w:right="1304" w:bottom="1134" w:left="1304" w:header="964" w:footer="992" w:gutter="0"/>
          <w:pgNumType w:fmt="numberInDash"/>
          <w:cols w:space="720" w:num="1"/>
          <w:docGrid w:linePitch="312" w:charSpace="0"/>
        </w:sectPr>
      </w:pPr>
      <w:r>
        <w:rPr>
          <w:rFonts w:hint="eastAsia" w:ascii="仿宋" w:hAnsi="仿宋" w:eastAsia="仿宋" w:cs="仿宋"/>
          <w:color w:val="auto"/>
          <w:szCs w:val="28"/>
          <w:highlight w:val="none"/>
        </w:rPr>
        <w:t>地  址： 重庆市渝中区医学院路1号基础医学院北楼348室</w:t>
      </w:r>
    </w:p>
    <w:p>
      <w:pPr>
        <w:pStyle w:val="4"/>
        <w:spacing w:before="0" w:after="0" w:line="560" w:lineRule="exact"/>
        <w:jc w:val="center"/>
        <w:rPr>
          <w:rFonts w:hint="eastAsia" w:ascii="黑体"/>
          <w:b w:val="0"/>
          <w:color w:val="auto"/>
          <w:sz w:val="44"/>
          <w:szCs w:val="44"/>
          <w:highlight w:val="none"/>
        </w:rPr>
      </w:pPr>
      <w:bookmarkStart w:id="19" w:name="_Toc102227313"/>
      <w:bookmarkStart w:id="20" w:name="_Toc3984"/>
      <w:r>
        <w:rPr>
          <w:rFonts w:hint="eastAsia" w:ascii="黑体" w:hAnsi="黑体"/>
          <w:b w:val="0"/>
          <w:color w:val="auto"/>
          <w:sz w:val="44"/>
          <w:szCs w:val="44"/>
          <w:highlight w:val="none"/>
        </w:rPr>
        <w:t>第二篇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供应商须知</w:t>
      </w:r>
      <w:bookmarkEnd w:id="19"/>
      <w:bookmarkEnd w:id="20"/>
    </w:p>
    <w:p>
      <w:pPr>
        <w:pStyle w:val="5"/>
        <w:spacing w:before="0" w:after="0" w:line="560" w:lineRule="exact"/>
        <w:ind w:firstLine="560" w:firstLineChars="200"/>
        <w:rPr>
          <w:rFonts w:ascii="方正仿宋_GBK" w:eastAsia="方正仿宋_GBK"/>
          <w:b/>
          <w:bCs/>
          <w:color w:val="auto"/>
          <w:sz w:val="28"/>
          <w:szCs w:val="28"/>
          <w:highlight w:val="none"/>
        </w:rPr>
      </w:pPr>
      <w:bookmarkStart w:id="21" w:name="_Toc31705"/>
      <w:bookmarkStart w:id="22" w:name="_Toc342913389"/>
      <w:r>
        <w:rPr>
          <w:rFonts w:hint="eastAsia" w:ascii="方正仿宋_GBK" w:eastAsia="方正仿宋_GBK"/>
          <w:b/>
          <w:bCs/>
          <w:color w:val="auto"/>
          <w:sz w:val="28"/>
          <w:szCs w:val="28"/>
          <w:highlight w:val="none"/>
        </w:rPr>
        <w:t>一、谈判费用</w:t>
      </w:r>
      <w:bookmarkEnd w:id="21"/>
      <w:bookmarkEnd w:id="22"/>
    </w:p>
    <w:p>
      <w:pPr>
        <w:pStyle w:val="172"/>
        <w:spacing w:line="56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参与谈判的供应商应承担其编制响应文件与递交响应文件所涉及的一切费用，不论谈判结果如何，采购人和采购代理机构在任何情况下无义务也无责任承担这些费用。</w:t>
      </w:r>
    </w:p>
    <w:p>
      <w:pPr>
        <w:pStyle w:val="5"/>
        <w:tabs>
          <w:tab w:val="left" w:pos="2640"/>
        </w:tabs>
        <w:spacing w:before="0" w:after="0" w:line="560" w:lineRule="exact"/>
        <w:ind w:firstLine="560" w:firstLineChars="200"/>
        <w:rPr>
          <w:rFonts w:ascii="方正仿宋_GBK" w:eastAsia="方正仿宋_GBK"/>
          <w:b w:val="0"/>
          <w:color w:val="auto"/>
          <w:sz w:val="28"/>
          <w:szCs w:val="28"/>
          <w:highlight w:val="none"/>
        </w:rPr>
      </w:pPr>
      <w:bookmarkStart w:id="23" w:name="_Toc342913391"/>
      <w:bookmarkStart w:id="24" w:name="_Toc32036"/>
      <w:r>
        <w:rPr>
          <w:rFonts w:hint="eastAsia" w:ascii="方正仿宋_GBK" w:eastAsia="方正仿宋_GBK"/>
          <w:b/>
          <w:bCs/>
          <w:color w:val="auto"/>
          <w:sz w:val="28"/>
          <w:szCs w:val="28"/>
          <w:highlight w:val="none"/>
        </w:rPr>
        <w:t>二、竞争性谈判文件</w:t>
      </w:r>
      <w:bookmarkEnd w:id="23"/>
      <w:bookmarkEnd w:id="24"/>
      <w:r>
        <w:rPr>
          <w:rFonts w:ascii="方正仿宋_GBK" w:eastAsia="方正仿宋_GBK"/>
          <w:b w:val="0"/>
          <w:color w:val="auto"/>
          <w:sz w:val="28"/>
          <w:szCs w:val="28"/>
          <w:highlight w:val="none"/>
        </w:rPr>
        <w:tab/>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w:t>
      </w:r>
      <w:bookmarkStart w:id="25" w:name="_Toc318159160"/>
      <w:bookmarkStart w:id="26" w:name="_Toc318159349"/>
      <w:bookmarkStart w:id="27" w:name="_Toc318159780"/>
      <w:bookmarkStart w:id="28" w:name="_Toc318166429"/>
      <w:r>
        <w:rPr>
          <w:rFonts w:hint="eastAsia" w:ascii="方正仿宋_GBK" w:eastAsia="方正仿宋_GBK"/>
          <w:color w:val="auto"/>
          <w:szCs w:val="28"/>
          <w:highlight w:val="none"/>
        </w:rPr>
        <w:t>本竞争性谈判文件中，谈判小组根据与供应商谈判情况可能实质性变动的内容为竞争性谈判文件第三、四、五篇全部内容。</w:t>
      </w:r>
    </w:p>
    <w:bookmarkEnd w:id="25"/>
    <w:bookmarkEnd w:id="26"/>
    <w:bookmarkEnd w:id="27"/>
    <w:bookmarkEnd w:id="28"/>
    <w:p>
      <w:pPr>
        <w:pStyle w:val="5"/>
        <w:spacing w:before="0" w:after="0" w:line="560" w:lineRule="exact"/>
        <w:ind w:firstLine="560" w:firstLineChars="200"/>
        <w:rPr>
          <w:rFonts w:ascii="方正仿宋_GBK" w:eastAsia="方正仿宋_GBK"/>
          <w:b/>
          <w:bCs/>
          <w:color w:val="auto"/>
          <w:sz w:val="28"/>
          <w:szCs w:val="28"/>
          <w:highlight w:val="none"/>
        </w:rPr>
      </w:pPr>
      <w:bookmarkStart w:id="29" w:name="_Toc19452"/>
      <w:bookmarkStart w:id="30" w:name="_Toc179714297"/>
      <w:bookmarkStart w:id="31" w:name="_Toc102227318"/>
      <w:bookmarkStart w:id="32" w:name="_Toc342913392"/>
      <w:r>
        <w:rPr>
          <w:rFonts w:hint="eastAsia" w:ascii="方正仿宋_GBK" w:eastAsia="方正仿宋_GBK"/>
          <w:b/>
          <w:bCs/>
          <w:color w:val="auto"/>
          <w:sz w:val="28"/>
          <w:szCs w:val="28"/>
          <w:highlight w:val="none"/>
        </w:rPr>
        <w:t>三、谈判要求</w:t>
      </w:r>
      <w:bookmarkEnd w:id="29"/>
      <w:bookmarkEnd w:id="30"/>
      <w:bookmarkEnd w:id="31"/>
      <w:bookmarkEnd w:id="32"/>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（一）响应文件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响应文件组成</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谈判有效期：响应文件及有关承诺文件有效期为谈判开始时间起</w:t>
      </w:r>
      <w:r>
        <w:rPr>
          <w:rFonts w:ascii="方正仿宋_GBK" w:eastAsia="方正仿宋_GBK"/>
          <w:color w:val="auto"/>
          <w:szCs w:val="28"/>
          <w:highlight w:val="none"/>
        </w:rPr>
        <w:t>90</w:t>
      </w:r>
      <w:r>
        <w:rPr>
          <w:rFonts w:hint="eastAsia" w:ascii="方正仿宋_GBK" w:eastAsia="方正仿宋_GBK"/>
          <w:color w:val="auto"/>
          <w:szCs w:val="28"/>
          <w:highlight w:val="none"/>
        </w:rPr>
        <w:t>天。</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（二）保证金：</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供应商提交保证金金额和方式详见“</w:t>
      </w:r>
      <w:r>
        <w:rPr>
          <w:rFonts w:hint="eastAsia" w:ascii="方正仿宋_GBK" w:eastAsia="方正仿宋_GBK"/>
          <w:color w:val="auto"/>
          <w:szCs w:val="28"/>
          <w:highlight w:val="none"/>
          <w:u w:val="single"/>
        </w:rPr>
        <w:t>第一篇</w:t>
      </w:r>
      <w:r>
        <w:rPr>
          <w:rFonts w:ascii="方正仿宋_GBK" w:eastAsia="方正仿宋_GBK"/>
          <w:color w:val="auto"/>
          <w:szCs w:val="28"/>
          <w:highlight w:val="none"/>
          <w:u w:val="single"/>
        </w:rPr>
        <w:t xml:space="preserve">  </w:t>
      </w:r>
      <w:r>
        <w:rPr>
          <w:rFonts w:hint="eastAsia" w:ascii="方正仿宋_GBK" w:eastAsia="方正仿宋_GBK"/>
          <w:color w:val="auto"/>
          <w:szCs w:val="28"/>
          <w:highlight w:val="none"/>
          <w:u w:val="single"/>
        </w:rPr>
        <w:t>五、保证金”</w:t>
      </w:r>
      <w:r>
        <w:rPr>
          <w:rFonts w:hint="eastAsia" w:ascii="方正仿宋_GBK" w:eastAsia="方正仿宋_GBK"/>
          <w:color w:val="auto"/>
          <w:szCs w:val="28"/>
          <w:highlight w:val="none"/>
        </w:rPr>
        <w:t>；</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发生以下情况之一者，保证金不予退还：</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2.1</w:t>
      </w:r>
      <w:r>
        <w:rPr>
          <w:rFonts w:hint="eastAsia" w:ascii="方正仿宋_GBK" w:eastAsia="方正仿宋_GBK"/>
          <w:color w:val="auto"/>
          <w:szCs w:val="28"/>
          <w:highlight w:val="none"/>
        </w:rPr>
        <w:t>供应商在提交响应文件截止时间后撤回响应文件的；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2.2</w:t>
      </w:r>
      <w:r>
        <w:rPr>
          <w:rFonts w:hint="eastAsia" w:ascii="方正仿宋_GBK" w:eastAsia="方正仿宋_GBK"/>
          <w:color w:val="auto"/>
          <w:szCs w:val="28"/>
          <w:highlight w:val="none"/>
        </w:rPr>
        <w:t>供应商在响应文件中提供虚假材料的；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2.3</w:t>
      </w:r>
      <w:r>
        <w:rPr>
          <w:rFonts w:hint="eastAsia" w:ascii="方正仿宋_GBK" w:eastAsia="方正仿宋_GBK"/>
          <w:color w:val="auto"/>
          <w:szCs w:val="28"/>
          <w:highlight w:val="none"/>
        </w:rPr>
        <w:t>除因不可抗力或竞争性谈判文件认可的情形以外，成交供应商不与采购人签订合同的；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2.4</w:t>
      </w:r>
      <w:r>
        <w:rPr>
          <w:rFonts w:hint="eastAsia" w:ascii="方正仿宋_GBK" w:eastAsia="方正仿宋_GBK"/>
          <w:color w:val="auto"/>
          <w:szCs w:val="28"/>
          <w:highlight w:val="none"/>
        </w:rPr>
        <w:t>供应商与采购人、其他供应商或者采购代理机构恶意串通的；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2.5</w:t>
      </w:r>
      <w:r>
        <w:rPr>
          <w:rFonts w:hint="eastAsia" w:ascii="方正仿宋_GBK" w:eastAsia="方正仿宋_GBK"/>
          <w:color w:val="auto"/>
          <w:szCs w:val="28"/>
          <w:highlight w:val="none"/>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（三）修正错误</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（四）报价要求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1. </w:t>
      </w:r>
      <w:r>
        <w:rPr>
          <w:rFonts w:hint="eastAsia" w:ascii="方正仿宋_GBK" w:eastAsia="方正仿宋_GBK"/>
          <w:color w:val="auto"/>
          <w:szCs w:val="28"/>
          <w:highlight w:val="none"/>
        </w:rPr>
        <w:t>本次报价须为人民币报价。若为进口设备，其投标报价为免税价（免关税及增值税）</w:t>
      </w:r>
      <w:r>
        <w:rPr>
          <w:rFonts w:ascii="方正仿宋_GBK" w:eastAsia="方正仿宋_GBK"/>
          <w:color w:val="auto"/>
          <w:szCs w:val="28"/>
          <w:highlight w:val="none"/>
        </w:rPr>
        <w:t>,</w:t>
      </w:r>
      <w:r>
        <w:rPr>
          <w:rFonts w:hint="eastAsia" w:ascii="方正仿宋_GBK" w:eastAsia="方正仿宋_GBK"/>
          <w:color w:val="auto"/>
          <w:szCs w:val="28"/>
          <w:highlight w:val="none"/>
        </w:rPr>
        <w:t>包含（但不限于）：产品价、运输费（含装卸费）、</w:t>
      </w:r>
      <w:r>
        <w:rPr>
          <w:rFonts w:ascii="方正仿宋_GBK" w:eastAsia="方正仿宋_GBK"/>
          <w:color w:val="auto"/>
          <w:szCs w:val="28"/>
          <w:highlight w:val="none"/>
        </w:rPr>
        <w:t>0.6%</w:t>
      </w:r>
      <w:r>
        <w:rPr>
          <w:rFonts w:hint="eastAsia" w:ascii="方正仿宋_GBK" w:eastAsia="方正仿宋_GBK"/>
          <w:color w:val="auto"/>
          <w:szCs w:val="28"/>
          <w:highlight w:val="none"/>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2. </w:t>
      </w:r>
      <w:r>
        <w:rPr>
          <w:rFonts w:hint="eastAsia" w:ascii="方正仿宋_GBK" w:eastAsia="方正仿宋_GBK"/>
          <w:color w:val="auto"/>
          <w:szCs w:val="28"/>
          <w:highlight w:val="none"/>
        </w:rPr>
        <w:t>本次报价须为人民币报价。若为国产设备</w:t>
      </w:r>
      <w:r>
        <w:rPr>
          <w:rFonts w:ascii="方正仿宋_GBK" w:eastAsia="方正仿宋_GBK"/>
          <w:color w:val="auto"/>
          <w:szCs w:val="28"/>
          <w:highlight w:val="none"/>
        </w:rPr>
        <w:t>,</w:t>
      </w:r>
      <w:r>
        <w:rPr>
          <w:rFonts w:hint="eastAsia" w:ascii="方正仿宋_GBK" w:eastAsia="方正仿宋_GBK"/>
          <w:color w:val="auto"/>
          <w:szCs w:val="28"/>
          <w:highlight w:val="none"/>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3. </w:t>
      </w:r>
      <w:r>
        <w:rPr>
          <w:rFonts w:hint="eastAsia" w:ascii="方正仿宋_GBK" w:eastAsia="方正仿宋_GBK"/>
          <w:color w:val="auto"/>
          <w:szCs w:val="28"/>
          <w:highlight w:val="none"/>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hint="eastAsia" w:ascii="方正仿宋_GBK" w:eastAsia="方正仿宋_GBK"/>
          <w:color w:val="auto"/>
          <w:szCs w:val="28"/>
          <w:highlight w:val="none"/>
          <w:lang w:val="en-US" w:eastAsia="zh-CN"/>
        </w:rPr>
        <w:t>五</w:t>
      </w:r>
      <w:r>
        <w:rPr>
          <w:rFonts w:hint="eastAsia" w:ascii="方正仿宋_GBK" w:eastAsia="方正仿宋_GBK"/>
          <w:color w:val="auto"/>
          <w:szCs w:val="28"/>
          <w:highlight w:val="none"/>
        </w:rPr>
        <w:t>）提交响应文件的份数和签署</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响应文件一式四份，其中正本一份，副本二份，电子文档一份（电子文档内容应与纸质文件正本一致，如不一致以纸质文件正本为准。推荐采用光盘或</w:t>
      </w:r>
      <w:r>
        <w:rPr>
          <w:rFonts w:ascii="方正仿宋_GBK" w:eastAsia="方正仿宋_GBK"/>
          <w:color w:val="auto"/>
          <w:szCs w:val="28"/>
          <w:highlight w:val="none"/>
        </w:rPr>
        <w:t>U</w:t>
      </w:r>
      <w:r>
        <w:rPr>
          <w:rFonts w:hint="eastAsia" w:ascii="方正仿宋_GBK" w:eastAsia="方正仿宋_GBK"/>
          <w:color w:val="auto"/>
          <w:szCs w:val="28"/>
          <w:highlight w:val="none"/>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电报、电话、传真形式的响应文件概不接受。</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hint="eastAsia" w:ascii="方正仿宋_GBK" w:eastAsia="方正仿宋_GBK"/>
          <w:color w:val="auto"/>
          <w:szCs w:val="28"/>
          <w:highlight w:val="none"/>
          <w:lang w:val="en-US" w:eastAsia="zh-CN"/>
        </w:rPr>
        <w:t>六</w:t>
      </w:r>
      <w:r>
        <w:rPr>
          <w:rFonts w:hint="eastAsia" w:ascii="方正仿宋_GBK" w:eastAsia="方正仿宋_GBK"/>
          <w:color w:val="auto"/>
          <w:szCs w:val="28"/>
          <w:highlight w:val="none"/>
        </w:rPr>
        <w:t>）响应文件的递交</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响应文件的密封与标记</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1.1</w:t>
      </w:r>
      <w:r>
        <w:rPr>
          <w:rFonts w:hint="eastAsia" w:ascii="方正仿宋_GBK" w:hAnsi="宋体" w:eastAsia="方正仿宋_GBK"/>
          <w:color w:val="auto"/>
          <w:sz w:val="28"/>
          <w:szCs w:val="28"/>
          <w:highlight w:val="none"/>
        </w:rPr>
        <w:t>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1.2</w:t>
      </w:r>
      <w:r>
        <w:rPr>
          <w:rFonts w:hint="eastAsia" w:ascii="方正仿宋_GBK" w:hAnsi="宋体" w:eastAsia="方正仿宋_GBK"/>
          <w:color w:val="auto"/>
          <w:sz w:val="28"/>
          <w:szCs w:val="28"/>
          <w:highlight w:val="none"/>
        </w:rPr>
        <w:t>封套的封口处应加盖供应商公章或由法定代表人授权代表签字。</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w:t>
      </w:r>
      <w:r>
        <w:rPr>
          <w:rFonts w:hint="eastAsia" w:ascii="方正仿宋_GBK" w:hAnsi="宋体" w:eastAsia="方正仿宋_GBK"/>
          <w:color w:val="auto"/>
          <w:sz w:val="28"/>
          <w:szCs w:val="28"/>
          <w:highlight w:val="none"/>
        </w:rPr>
        <w:t>如果响应文件通过邮寄递交，供应商应将响应文件用内、外两层封套密封。</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2.1</w:t>
      </w:r>
      <w:r>
        <w:rPr>
          <w:rFonts w:hint="eastAsia" w:ascii="方正仿宋_GBK" w:hAnsi="宋体" w:eastAsia="方正仿宋_GBK"/>
          <w:color w:val="auto"/>
          <w:sz w:val="28"/>
          <w:szCs w:val="28"/>
          <w:highlight w:val="none"/>
        </w:rPr>
        <w:t>内层封套的封装与标记同</w:t>
      </w:r>
      <w:r>
        <w:rPr>
          <w:rFonts w:ascii="方正仿宋_GBK" w:hAnsi="宋体" w:eastAsia="方正仿宋_GBK"/>
          <w:color w:val="auto"/>
          <w:sz w:val="28"/>
          <w:szCs w:val="28"/>
          <w:highlight w:val="none"/>
        </w:rPr>
        <w:t xml:space="preserve"> </w:t>
      </w:r>
      <w:r>
        <w:rPr>
          <w:rFonts w:hint="eastAsia" w:ascii="方正仿宋_GBK" w:hAnsi="宋体" w:eastAsia="方正仿宋_GBK"/>
          <w:color w:val="auto"/>
          <w:sz w:val="28"/>
          <w:szCs w:val="28"/>
          <w:highlight w:val="none"/>
        </w:rPr>
        <w:t>“</w:t>
      </w: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”款规定。</w:t>
      </w:r>
    </w:p>
    <w:p>
      <w:pPr>
        <w:pStyle w:val="30"/>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2.2</w:t>
      </w:r>
      <w:r>
        <w:rPr>
          <w:rFonts w:hint="eastAsia" w:ascii="方正仿宋_GBK" w:hAnsi="宋体" w:eastAsia="方正仿宋_GBK"/>
          <w:color w:val="auto"/>
          <w:sz w:val="28"/>
          <w:szCs w:val="28"/>
          <w:highlight w:val="none"/>
        </w:rPr>
        <w:t>外层封套装入“</w:t>
      </w: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hint="eastAsia" w:ascii="方正仿宋_GBK" w:eastAsia="方正仿宋_GBK"/>
          <w:color w:val="auto"/>
          <w:szCs w:val="28"/>
          <w:highlight w:val="none"/>
          <w:lang w:val="en-US" w:eastAsia="zh-CN"/>
        </w:rPr>
        <w:t>七</w:t>
      </w:r>
      <w:r>
        <w:rPr>
          <w:rFonts w:hint="eastAsia" w:ascii="方正仿宋_GBK" w:eastAsia="方正仿宋_GBK"/>
          <w:color w:val="auto"/>
          <w:szCs w:val="28"/>
          <w:highlight w:val="none"/>
        </w:rPr>
        <w:t>）响应文件语言：简体中文</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hint="eastAsia" w:ascii="方正仿宋_GBK" w:eastAsia="方正仿宋_GBK"/>
          <w:color w:val="auto"/>
          <w:szCs w:val="28"/>
          <w:highlight w:val="none"/>
          <w:lang w:val="en-US" w:eastAsia="zh-CN"/>
        </w:rPr>
        <w:t>八</w:t>
      </w:r>
      <w:r>
        <w:rPr>
          <w:rFonts w:hint="eastAsia" w:ascii="方正仿宋_GBK" w:eastAsia="方正仿宋_GBK"/>
          <w:color w:val="auto"/>
          <w:szCs w:val="28"/>
          <w:highlight w:val="none"/>
        </w:rPr>
        <w:t>）供应商参与人员</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各供应商应当派</w:t>
      </w:r>
      <w:r>
        <w:rPr>
          <w:rFonts w:ascii="方正仿宋_GBK" w:eastAsia="方正仿宋_GBK"/>
          <w:color w:val="auto"/>
          <w:szCs w:val="28"/>
          <w:highlight w:val="none"/>
        </w:rPr>
        <w:t>1-2</w:t>
      </w:r>
      <w:r>
        <w:rPr>
          <w:rFonts w:hint="eastAsia" w:ascii="方正仿宋_GBK" w:eastAsia="方正仿宋_GBK"/>
          <w:color w:val="auto"/>
          <w:szCs w:val="28"/>
          <w:highlight w:val="none"/>
        </w:rPr>
        <w:t>名代表参与谈判，至少</w:t>
      </w:r>
      <w:r>
        <w:rPr>
          <w:rFonts w:ascii="方正仿宋_GBK" w:eastAsia="方正仿宋_GBK"/>
          <w:color w:val="auto"/>
          <w:szCs w:val="28"/>
          <w:highlight w:val="none"/>
        </w:rPr>
        <w:t>1</w:t>
      </w:r>
      <w:r>
        <w:rPr>
          <w:rFonts w:hint="eastAsia" w:ascii="方正仿宋_GBK" w:eastAsia="方正仿宋_GBK"/>
          <w:color w:val="auto"/>
          <w:szCs w:val="28"/>
          <w:highlight w:val="none"/>
        </w:rPr>
        <w:t>人应为法定代表人或具有法定代表人授权委托书的授权代表。</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hint="eastAsia" w:ascii="方正仿宋_GBK" w:eastAsia="方正仿宋_GBK"/>
          <w:color w:val="auto"/>
          <w:szCs w:val="28"/>
          <w:highlight w:val="none"/>
          <w:lang w:val="en-US" w:eastAsia="zh-CN"/>
        </w:rPr>
        <w:t>九</w:t>
      </w:r>
      <w:r>
        <w:rPr>
          <w:rFonts w:hint="eastAsia" w:ascii="方正仿宋_GBK" w:eastAsia="方正仿宋_GBK"/>
          <w:color w:val="auto"/>
          <w:szCs w:val="28"/>
          <w:highlight w:val="none"/>
        </w:rPr>
        <w:t>）无效谈判</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供应商发生以下条款情况之一者，视为无效谈判，其响应文件将被拒绝：</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供应商不符合规定的基本资格条件或特定资格条件的；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供应商未按谈判文件规定购买谈判文件的；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供应商的法定代表人或其授权代表未参加谈判；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供应商未在保证金到账截止时间前提交足额保证金的；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供应商所提交的响应文件不按规定签字、盖章的；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供应商的最后报价超过采购预算或最高限价的；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9.</w:t>
      </w:r>
      <w:r>
        <w:rPr>
          <w:rFonts w:hint="eastAsia" w:ascii="方正仿宋_GBK" w:eastAsia="方正仿宋_GBK"/>
          <w:color w:val="auto"/>
          <w:szCs w:val="28"/>
          <w:highlight w:val="none"/>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10.</w:t>
      </w:r>
      <w:r>
        <w:rPr>
          <w:rFonts w:hint="eastAsia" w:ascii="方正仿宋_GBK" w:eastAsia="方正仿宋_GBK"/>
          <w:color w:val="auto"/>
          <w:szCs w:val="28"/>
          <w:highlight w:val="none"/>
        </w:rPr>
        <w:t>同一合同项（分包）下的货物，制造商参与谈判的，再委托代理商参与谈判的</w:t>
      </w:r>
      <w:r>
        <w:rPr>
          <w:rFonts w:ascii="方正仿宋_GBK" w:eastAsia="方正仿宋_GBK"/>
          <w:color w:val="auto"/>
          <w:szCs w:val="28"/>
          <w:highlight w:val="none"/>
        </w:rPr>
        <w:t>.</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供应商以联合体形式参与谈判的。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供应商如会上不能解答谈判文件的技术问题，视为无效谈判。</w:t>
      </w:r>
    </w:p>
    <w:p>
      <w:pPr>
        <w:pStyle w:val="5"/>
        <w:spacing w:before="0" w:after="0" w:line="560" w:lineRule="exact"/>
        <w:ind w:firstLine="560" w:firstLineChars="200"/>
        <w:rPr>
          <w:rFonts w:ascii="方正仿宋_GBK" w:eastAsia="方正仿宋_GBK"/>
          <w:b w:val="0"/>
          <w:color w:val="auto"/>
          <w:sz w:val="28"/>
          <w:szCs w:val="28"/>
          <w:highlight w:val="none"/>
        </w:rPr>
      </w:pPr>
      <w:bookmarkStart w:id="33" w:name="_Toc14265"/>
      <w:bookmarkStart w:id="34" w:name="_Toc102227319"/>
      <w:bookmarkStart w:id="35" w:name="_Toc179714298"/>
      <w:bookmarkStart w:id="36" w:name="_Toc342913393"/>
      <w:r>
        <w:rPr>
          <w:rFonts w:hint="eastAsia" w:ascii="方正仿宋_GBK" w:eastAsia="方正仿宋_GBK"/>
          <w:b w:val="0"/>
          <w:color w:val="auto"/>
          <w:sz w:val="28"/>
          <w:szCs w:val="28"/>
          <w:highlight w:val="none"/>
        </w:rPr>
        <w:t>四、谈判程序</w:t>
      </w:r>
      <w:bookmarkEnd w:id="33"/>
      <w:bookmarkEnd w:id="34"/>
      <w:bookmarkEnd w:id="35"/>
      <w:bookmarkEnd w:id="36"/>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Pr>
          <w:rFonts w:ascii="方正仿宋_GBK" w:eastAsia="方正仿宋_GBK"/>
          <w:color w:val="auto"/>
          <w:szCs w:val="28"/>
          <w:highlight w:val="none"/>
        </w:rPr>
        <w:t xml:space="preserve"> </w:t>
      </w:r>
    </w:p>
    <w:p>
      <w:pPr>
        <w:snapToGrid w:val="0"/>
        <w:spacing w:line="560" w:lineRule="exact"/>
        <w:ind w:firstLine="560" w:firstLineChars="200"/>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1.</w:t>
      </w:r>
      <w:r>
        <w:rPr>
          <w:rFonts w:hint="eastAsia" w:ascii="方正仿宋_GBK" w:eastAsia="方正仿宋_GBK" w:cs="宋体"/>
          <w:color w:val="auto"/>
          <w:kern w:val="0"/>
          <w:szCs w:val="28"/>
          <w:highlight w:val="none"/>
        </w:rPr>
        <w:t>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供</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应</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商</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基</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本</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资</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格</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条</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1</w:t>
            </w:r>
            <w:r>
              <w:rPr>
                <w:rFonts w:hint="eastAsia" w:ascii="方正仿宋_GBK" w:hAnsi="仿宋" w:eastAsia="方正仿宋_GBK"/>
                <w:color w:val="auto"/>
                <w:szCs w:val="28"/>
                <w:highlight w:val="none"/>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①供应商法人营业执照（副本）或事业单位法人证书（副本）或个体工商户营业执照或有效的自然人身份证明、组织机构代码证复印件（注</w:t>
            </w:r>
            <w:r>
              <w:rPr>
                <w:rFonts w:ascii="方正仿宋_GBK" w:eastAsia="方正仿宋_GBK" w:cs="宋体"/>
                <w:color w:val="auto"/>
                <w:kern w:val="0"/>
                <w:szCs w:val="28"/>
                <w:highlight w:val="none"/>
              </w:rPr>
              <w:t>1</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 xml:space="preserve"> </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2</w:t>
            </w:r>
            <w:r>
              <w:rPr>
                <w:rFonts w:hint="eastAsia" w:ascii="方正仿宋_GBK" w:hAnsi="仿宋" w:eastAsia="方正仿宋_GBK" w:cs="仿宋_GB2312"/>
                <w:color w:val="auto"/>
                <w:szCs w:val="28"/>
                <w:highlight w:val="none"/>
                <w:lang w:val="zh-CN"/>
              </w:rPr>
              <w:t>）</w:t>
            </w:r>
            <w:r>
              <w:rPr>
                <w:rFonts w:hint="eastAsia" w:ascii="方正仿宋_GBK" w:hAnsi="仿宋" w:eastAsia="方正仿宋_GBK"/>
                <w:color w:val="auto"/>
                <w:szCs w:val="28"/>
                <w:highlight w:val="none"/>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①提供</w:t>
            </w:r>
            <w:r>
              <w:rPr>
                <w:rFonts w:ascii="方正仿宋_GBK" w:hAnsi="仿宋" w:eastAsia="方正仿宋_GBK"/>
                <w:color w:val="auto"/>
                <w:szCs w:val="28"/>
                <w:highlight w:val="none"/>
              </w:rPr>
              <w:t>20</w:t>
            </w:r>
            <w:r>
              <w:rPr>
                <w:rFonts w:hint="eastAsia" w:ascii="方正仿宋_GBK" w:hAnsi="仿宋" w:eastAsia="方正仿宋_GBK"/>
                <w:color w:val="auto"/>
                <w:szCs w:val="28"/>
                <w:highlight w:val="none"/>
              </w:rPr>
              <w:t>21或</w:t>
            </w:r>
            <w:r>
              <w:rPr>
                <w:rFonts w:ascii="方正仿宋_GBK" w:hAnsi="仿宋" w:eastAsia="方正仿宋_GBK"/>
                <w:color w:val="auto"/>
                <w:szCs w:val="28"/>
                <w:highlight w:val="none"/>
              </w:rPr>
              <w:t>202</w:t>
            </w:r>
            <w:r>
              <w:rPr>
                <w:rFonts w:hint="eastAsia" w:ascii="方正仿宋_GBK" w:hAnsi="仿宋"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3</w:t>
            </w:r>
            <w:r>
              <w:rPr>
                <w:rFonts w:hint="eastAsia" w:ascii="方正仿宋_GBK" w:hAnsi="仿宋" w:eastAsia="方正仿宋_GBK" w:cs="仿宋_GB2312"/>
                <w:color w:val="auto"/>
                <w:szCs w:val="28"/>
                <w:highlight w:val="none"/>
                <w:lang w:val="zh-CN"/>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4</w:t>
            </w:r>
            <w:r>
              <w:rPr>
                <w:rFonts w:hint="eastAsia" w:ascii="方正仿宋_GBK" w:hAnsi="仿宋" w:eastAsia="方正仿宋_GBK" w:cs="仿宋_GB2312"/>
                <w:color w:val="auto"/>
                <w:szCs w:val="28"/>
                <w:highlight w:val="none"/>
                <w:lang w:val="zh-CN"/>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①税务登记证（副本）复印件（注</w:t>
            </w:r>
            <w:r>
              <w:rPr>
                <w:rFonts w:ascii="方正仿宋_GBK" w:eastAsia="方正仿宋_GBK" w:cs="宋体"/>
                <w:color w:val="auto"/>
                <w:kern w:val="0"/>
                <w:szCs w:val="28"/>
                <w:highlight w:val="none"/>
              </w:rPr>
              <w:t>2</w:t>
            </w:r>
            <w:r>
              <w:rPr>
                <w:rFonts w:hint="eastAsia" w:ascii="方正仿宋_GBK" w:hAnsi="仿宋" w:eastAsia="方正仿宋_GBK"/>
                <w:color w:val="auto"/>
                <w:szCs w:val="28"/>
                <w:highlight w:val="none"/>
              </w:rPr>
              <w:t>）</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②缴纳社会保障金的证明材料复印件（缴纳社会保障金的证明材料指：社会保险登记证（注</w:t>
            </w:r>
            <w:r>
              <w:rPr>
                <w:rFonts w:ascii="方正仿宋_GBK" w:hAnsi="仿宋" w:eastAsia="方正仿宋_GBK"/>
                <w:color w:val="auto"/>
                <w:szCs w:val="28"/>
                <w:highlight w:val="none"/>
              </w:rPr>
              <w:t>2</w:t>
            </w:r>
            <w:r>
              <w:rPr>
                <w:rFonts w:hint="eastAsia" w:ascii="方正仿宋_GBK" w:hAnsi="仿宋" w:eastAsia="方正仿宋_GBK"/>
                <w:color w:val="auto"/>
                <w:szCs w:val="28"/>
                <w:highlight w:val="none"/>
              </w:rPr>
              <w:t>）或缴纳社会保险的凭据（专用收据或社会保险缴纳清单）。</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5</w:t>
            </w:r>
            <w:r>
              <w:rPr>
                <w:rFonts w:hint="eastAsia" w:ascii="方正仿宋_GBK" w:hAnsi="仿宋" w:eastAsia="方正仿宋_GBK"/>
                <w:color w:val="auto"/>
                <w:szCs w:val="28"/>
                <w:highlight w:val="none"/>
              </w:rPr>
              <w:t>）参加政府采购活动前三年内，在经营活动中没有重大违法记录（注</w:t>
            </w:r>
            <w:r>
              <w:rPr>
                <w:rFonts w:ascii="方正仿宋_GBK" w:eastAsia="方正仿宋_GBK" w:cs="宋体"/>
                <w:color w:val="auto"/>
                <w:kern w:val="0"/>
                <w:szCs w:val="28"/>
                <w:highlight w:val="none"/>
              </w:rPr>
              <w:t>2</w:t>
            </w:r>
            <w:r>
              <w:rPr>
                <w:rFonts w:hint="eastAsia" w:ascii="方正仿宋_GBK" w:hAnsi="仿宋" w:eastAsia="方正仿宋_GBK"/>
                <w:color w:val="auto"/>
                <w:szCs w:val="28"/>
                <w:highlight w:val="none"/>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①供应商提供书面声明（见格式文件）；</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②采购人或采购代理机构将通过</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“信用中国”网站</w:t>
            </w:r>
            <w:r>
              <w:rPr>
                <w:rFonts w:ascii="方正仿宋_GBK" w:hAnsi="仿宋" w:eastAsia="方正仿宋_GBK"/>
                <w:color w:val="auto"/>
                <w:szCs w:val="28"/>
                <w:highlight w:val="none"/>
              </w:rPr>
              <w:t>(www.creditchina.gov.cn)</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w:t>
            </w:r>
            <w:r>
              <w:rPr>
                <w:rFonts w:hint="eastAsia" w:ascii="方正仿宋_GBK" w:hAnsi="仿宋" w:eastAsia="方正仿宋_GBK"/>
                <w:color w:val="auto"/>
                <w:szCs w:val="28"/>
                <w:highlight w:val="none"/>
              </w:rPr>
              <w:t>中国政府采购网</w:t>
            </w:r>
            <w:r>
              <w:rPr>
                <w:rFonts w:ascii="方正仿宋_GBK" w:hAnsi="仿宋" w:eastAsia="方正仿宋_GBK"/>
                <w:color w:val="auto"/>
                <w:szCs w:val="28"/>
                <w:highlight w:val="none"/>
              </w:rPr>
              <w:t>"(www.ccgp.gov.cn)</w:t>
            </w:r>
            <w:r>
              <w:rPr>
                <w:rFonts w:hint="eastAsia" w:ascii="方正仿宋_GBK" w:hAnsi="仿宋" w:eastAsia="方正仿宋_GBK"/>
                <w:color w:val="auto"/>
                <w:szCs w:val="28"/>
                <w:highlight w:val="none"/>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6</w:t>
            </w:r>
            <w:r>
              <w:rPr>
                <w:rFonts w:hint="eastAsia" w:ascii="方正仿宋_GBK" w:hAnsi="仿宋" w:eastAsia="方正仿宋_GBK"/>
                <w:color w:val="auto"/>
                <w:szCs w:val="28"/>
                <w:highlight w:val="none"/>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按照竞争性谈判文件要求足额缴纳保证金</w:t>
            </w:r>
          </w:p>
        </w:tc>
      </w:tr>
    </w:tbl>
    <w:p>
      <w:pPr>
        <w:snapToGrid w:val="0"/>
        <w:spacing w:line="560" w:lineRule="exact"/>
        <w:ind w:firstLine="560" w:firstLineChars="200"/>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注</w:t>
      </w:r>
      <w:r>
        <w:rPr>
          <w:rFonts w:ascii="方正仿宋_GBK" w:eastAsia="方正仿宋_GBK" w:cs="宋体"/>
          <w:color w:val="auto"/>
          <w:kern w:val="0"/>
          <w:szCs w:val="28"/>
          <w:highlight w:val="none"/>
        </w:rPr>
        <w:t>1</w:t>
      </w:r>
      <w:r>
        <w:rPr>
          <w:rFonts w:hint="eastAsia" w:ascii="方正仿宋_GBK" w:eastAsia="方正仿宋_GBK" w:cs="宋体"/>
          <w:color w:val="auto"/>
          <w:kern w:val="0"/>
          <w:szCs w:val="28"/>
          <w:highlight w:val="none"/>
        </w:rPr>
        <w:t>：</w:t>
      </w:r>
      <w:r>
        <w:rPr>
          <w:rFonts w:hint="eastAsia" w:ascii="方正仿宋_GBK" w:hAnsi="仿宋" w:eastAsia="方正仿宋_GBK" w:cs="宋体"/>
          <w:color w:val="auto"/>
          <w:kern w:val="0"/>
          <w:szCs w:val="28"/>
          <w:highlight w:val="none"/>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注</w:t>
      </w:r>
      <w:r>
        <w:rPr>
          <w:rFonts w:ascii="方正仿宋_GBK" w:eastAsia="方正仿宋_GBK" w:cs="宋体"/>
          <w:color w:val="auto"/>
          <w:kern w:val="0"/>
          <w:szCs w:val="28"/>
          <w:highlight w:val="none"/>
        </w:rPr>
        <w:t>2</w:t>
      </w:r>
      <w:r>
        <w:rPr>
          <w:rFonts w:hint="eastAsia" w:ascii="方正仿宋_GBK" w:eastAsia="方正仿宋_GBK" w:cs="宋体"/>
          <w:color w:val="auto"/>
          <w:kern w:val="0"/>
          <w:szCs w:val="28"/>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auto"/>
          <w:kern w:val="0"/>
          <w:szCs w:val="28"/>
          <w:highlight w:val="none"/>
        </w:rPr>
      </w:pPr>
      <w:r>
        <w:rPr>
          <w:rFonts w:ascii="方正仿宋_GBK" w:eastAsia="方正仿宋_GBK" w:cs="宋体"/>
          <w:color w:val="auto"/>
          <w:kern w:val="0"/>
          <w:szCs w:val="28"/>
          <w:highlight w:val="none"/>
        </w:rPr>
        <w:t>2.</w:t>
      </w:r>
      <w:r>
        <w:rPr>
          <w:rFonts w:hint="eastAsia" w:ascii="方正仿宋_GBK" w:eastAsia="方正仿宋_GBK" w:cs="宋体"/>
          <w:color w:val="auto"/>
          <w:kern w:val="0"/>
          <w:szCs w:val="28"/>
          <w:highlight w:val="none"/>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auto"/>
          <w:kern w:val="0"/>
          <w:szCs w:val="28"/>
          <w:highlight w:val="none"/>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lang w:val="zh-CN"/>
              </w:rPr>
              <w:t>只能有一个</w:t>
            </w: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olor w:val="auto"/>
                <w:szCs w:val="28"/>
                <w:highlight w:val="none"/>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文件正、副本数量（含电子文档）符合</w:t>
            </w:r>
            <w:r>
              <w:rPr>
                <w:rFonts w:hint="eastAsia" w:ascii="方正仿宋_GBK" w:eastAsia="方正仿宋_GBK" w:cs="仿宋_GB2312"/>
                <w:color w:val="auto"/>
                <w:szCs w:val="28"/>
                <w:highlight w:val="none"/>
              </w:rPr>
              <w:t>竞争性谈判</w:t>
            </w:r>
            <w:r>
              <w:rPr>
                <w:rFonts w:hint="eastAsia" w:ascii="方正仿宋_GBK" w:eastAsia="方正仿宋_GBK" w:cs="仿宋_GB2312"/>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s="宋体"/>
                <w:color w:val="auto"/>
                <w:kern w:val="0"/>
                <w:szCs w:val="28"/>
                <w:highlight w:val="none"/>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满足谈判文件</w:t>
            </w:r>
            <w:r>
              <w:rPr>
                <w:rFonts w:hint="eastAsia" w:ascii="方正仿宋_GBK" w:eastAsia="方正仿宋_GBK" w:cs="仿宋_GB2312"/>
                <w:color w:val="auto"/>
                <w:szCs w:val="28"/>
                <w:highlight w:val="none"/>
                <w:lang w:val="zh-CN"/>
              </w:rPr>
              <w:t>规定。</w:t>
            </w:r>
          </w:p>
        </w:tc>
      </w:tr>
    </w:tbl>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（七）供应商在谈判时作出的所有书面承诺须由法定代表人或其授权代表签字。</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5"/>
        <w:spacing w:before="0" w:after="0" w:line="560" w:lineRule="exact"/>
        <w:ind w:firstLine="560" w:firstLineChars="200"/>
        <w:rPr>
          <w:rFonts w:ascii="方正仿宋_GBK" w:eastAsia="方正仿宋_GBK"/>
          <w:b w:val="0"/>
          <w:color w:val="auto"/>
          <w:sz w:val="28"/>
          <w:szCs w:val="28"/>
          <w:highlight w:val="none"/>
        </w:rPr>
      </w:pPr>
      <w:bookmarkStart w:id="37" w:name="_Toc14949"/>
      <w:bookmarkStart w:id="38" w:name="_Toc102227320"/>
      <w:bookmarkStart w:id="39" w:name="_Toc342913394"/>
      <w:r>
        <w:rPr>
          <w:rFonts w:hint="eastAsia" w:ascii="方正仿宋_GBK" w:eastAsia="方正仿宋_GBK"/>
          <w:b w:val="0"/>
          <w:color w:val="auto"/>
          <w:sz w:val="28"/>
          <w:szCs w:val="28"/>
          <w:highlight w:val="none"/>
        </w:rPr>
        <w:t>五、评审依据</w:t>
      </w:r>
      <w:bookmarkEnd w:id="37"/>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评审的依据为竞争性谈判文件和响应文件（含有效的补充文件）。谈判小组判断响应文件对竞争性谈判文件的响应，仅基于响应文件本身而不靠外部证据。</w:t>
      </w:r>
    </w:p>
    <w:p>
      <w:pPr>
        <w:pStyle w:val="5"/>
        <w:spacing w:before="0" w:after="0" w:line="560" w:lineRule="exact"/>
        <w:ind w:firstLine="560" w:firstLineChars="200"/>
        <w:rPr>
          <w:rFonts w:ascii="方正仿宋_GBK" w:eastAsia="方正仿宋_GBK"/>
          <w:b w:val="0"/>
          <w:color w:val="auto"/>
          <w:sz w:val="28"/>
          <w:szCs w:val="28"/>
          <w:highlight w:val="none"/>
        </w:rPr>
      </w:pPr>
      <w:bookmarkStart w:id="40" w:name="_Toc13476"/>
      <w:r>
        <w:rPr>
          <w:rFonts w:hint="eastAsia" w:ascii="方正仿宋_GBK" w:eastAsia="方正仿宋_GBK"/>
          <w:b w:val="0"/>
          <w:color w:val="auto"/>
          <w:sz w:val="28"/>
          <w:szCs w:val="28"/>
          <w:highlight w:val="none"/>
        </w:rPr>
        <w:t>六、成交</w:t>
      </w:r>
      <w:bookmarkEnd w:id="38"/>
      <w:r>
        <w:rPr>
          <w:rFonts w:hint="eastAsia" w:ascii="方正仿宋_GBK" w:eastAsia="方正仿宋_GBK"/>
          <w:b w:val="0"/>
          <w:color w:val="auto"/>
          <w:sz w:val="28"/>
          <w:szCs w:val="28"/>
          <w:highlight w:val="none"/>
        </w:rPr>
        <w:t>原则</w:t>
      </w:r>
      <w:bookmarkEnd w:id="39"/>
      <w:bookmarkEnd w:id="40"/>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（一）评审办法</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color w:val="auto"/>
          <w:szCs w:val="28"/>
          <w:highlight w:val="none"/>
        </w:rPr>
        <w:t>3</w:t>
      </w:r>
      <w:r>
        <w:rPr>
          <w:rFonts w:hint="eastAsia" w:ascii="方正仿宋_GBK" w:eastAsia="方正仿宋_GBK"/>
          <w:color w:val="auto"/>
          <w:szCs w:val="28"/>
          <w:highlight w:val="none"/>
        </w:rPr>
        <w:t>名以上成交候选人，并编写评审报告。</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成交价格</w:t>
      </w:r>
      <w:r>
        <w:rPr>
          <w:rFonts w:ascii="方正仿宋_GBK" w:eastAsia="方正仿宋_GBK"/>
          <w:color w:val="auto"/>
          <w:szCs w:val="28"/>
          <w:highlight w:val="none"/>
        </w:rPr>
        <w:t>=</w:t>
      </w:r>
      <w:r>
        <w:rPr>
          <w:rFonts w:hint="eastAsia" w:ascii="方正仿宋_GBK" w:eastAsia="方正仿宋_GBK"/>
          <w:color w:val="auto"/>
          <w:szCs w:val="28"/>
          <w:highlight w:val="none"/>
        </w:rPr>
        <w:t>成交供应商的最后报价</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（二）评审细则</w:t>
      </w:r>
    </w:p>
    <w:p>
      <w:pPr>
        <w:tabs>
          <w:tab w:val="left" w:pos="36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资格符合性检查</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对响应文件的有效性、完整性和响应程度检查</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关于政策性扣减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3.1</w:t>
      </w:r>
      <w:r>
        <w:rPr>
          <w:rFonts w:hint="eastAsia" w:ascii="方正仿宋_GBK" w:eastAsia="方正仿宋_GBK"/>
          <w:color w:val="auto"/>
          <w:szCs w:val="28"/>
          <w:highlight w:val="none"/>
        </w:rPr>
        <w:t>政策性扣减范围</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3.2  </w:t>
      </w:r>
      <w:r>
        <w:rPr>
          <w:rFonts w:hint="eastAsia" w:ascii="方正仿宋_GBK" w:eastAsia="方正仿宋_GBK"/>
          <w:color w:val="auto"/>
          <w:szCs w:val="28"/>
          <w:highlight w:val="none"/>
        </w:rPr>
        <w:t>政策性扣减方式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3.2.1</w:t>
      </w:r>
      <w:r>
        <w:rPr>
          <w:rFonts w:hint="eastAsia" w:ascii="方正仿宋_GBK" w:eastAsia="方正仿宋_GBK"/>
          <w:color w:val="auto"/>
          <w:szCs w:val="28"/>
          <w:highlight w:val="none"/>
        </w:rPr>
        <w:t>供应商为非联合体参与谈判的，对小型企业给予</w:t>
      </w:r>
      <w:r>
        <w:rPr>
          <w:rFonts w:ascii="方正仿宋_GBK" w:eastAsia="方正仿宋_GBK"/>
          <w:color w:val="auto"/>
          <w:szCs w:val="28"/>
          <w:highlight w:val="none"/>
        </w:rPr>
        <w:t>6%</w:t>
      </w:r>
      <w:r>
        <w:rPr>
          <w:rFonts w:hint="eastAsia" w:ascii="方正仿宋_GBK" w:eastAsia="方正仿宋_GBK"/>
          <w:color w:val="auto"/>
          <w:szCs w:val="28"/>
          <w:highlight w:val="none"/>
        </w:rPr>
        <w:t>的扣除，微型企业给予</w:t>
      </w:r>
      <w:r>
        <w:rPr>
          <w:rFonts w:ascii="方正仿宋_GBK" w:eastAsia="方正仿宋_GBK"/>
          <w:color w:val="auto"/>
          <w:szCs w:val="28"/>
          <w:highlight w:val="none"/>
        </w:rPr>
        <w:t>8%</w:t>
      </w:r>
      <w:r>
        <w:rPr>
          <w:rFonts w:hint="eastAsia" w:ascii="方正仿宋_GBK" w:eastAsia="方正仿宋_GBK"/>
          <w:color w:val="auto"/>
          <w:szCs w:val="28"/>
          <w:highlight w:val="none"/>
        </w:rPr>
        <w:t>的扣除（注册资金十五万及以下的微型企业给予</w:t>
      </w:r>
      <w:r>
        <w:rPr>
          <w:rFonts w:ascii="方正仿宋_GBK" w:eastAsia="方正仿宋_GBK"/>
          <w:color w:val="auto"/>
          <w:szCs w:val="28"/>
          <w:highlight w:val="none"/>
        </w:rPr>
        <w:t>10%</w:t>
      </w:r>
      <w:r>
        <w:rPr>
          <w:rFonts w:hint="eastAsia" w:ascii="方正仿宋_GBK" w:eastAsia="方正仿宋_GBK"/>
          <w:color w:val="auto"/>
          <w:szCs w:val="28"/>
          <w:highlight w:val="none"/>
        </w:rPr>
        <w:t>的扣除），以扣除后的报价参与评审。</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3.2.2</w:t>
      </w:r>
      <w:r>
        <w:rPr>
          <w:rFonts w:hint="eastAsia" w:ascii="方正仿宋_GBK" w:eastAsia="方正仿宋_GBK"/>
          <w:color w:val="auto"/>
          <w:szCs w:val="28"/>
          <w:highlight w:val="none"/>
        </w:rPr>
        <w:t>供应商为联合体参与谈判的，在联合协议中小型企业、微型企业的协议合同金额占到联合体协议合同总金额</w:t>
      </w:r>
      <w:r>
        <w:rPr>
          <w:rFonts w:ascii="方正仿宋_GBK" w:eastAsia="方正仿宋_GBK"/>
          <w:color w:val="auto"/>
          <w:szCs w:val="28"/>
          <w:highlight w:val="none"/>
        </w:rPr>
        <w:t>30</w:t>
      </w:r>
      <w:r>
        <w:rPr>
          <w:rFonts w:hint="eastAsia" w:ascii="方正仿宋_GBK" w:eastAsia="方正仿宋_GBK"/>
          <w:color w:val="auto"/>
          <w:szCs w:val="28"/>
          <w:highlight w:val="none"/>
        </w:rPr>
        <w:t>％以上的，与小型企业联合的可给予联合体</w:t>
      </w:r>
      <w:r>
        <w:rPr>
          <w:rFonts w:ascii="方正仿宋_GBK" w:eastAsia="方正仿宋_GBK"/>
          <w:color w:val="auto"/>
          <w:szCs w:val="28"/>
          <w:highlight w:val="none"/>
        </w:rPr>
        <w:t>2%</w:t>
      </w:r>
      <w:r>
        <w:rPr>
          <w:rFonts w:hint="eastAsia" w:ascii="方正仿宋_GBK" w:eastAsia="方正仿宋_GBK"/>
          <w:color w:val="auto"/>
          <w:szCs w:val="28"/>
          <w:highlight w:val="none"/>
        </w:rPr>
        <w:t>的报价扣除，与微型企业联合的可给予联合体</w:t>
      </w:r>
      <w:r>
        <w:rPr>
          <w:rFonts w:ascii="方正仿宋_GBK" w:eastAsia="方正仿宋_GBK"/>
          <w:color w:val="auto"/>
          <w:szCs w:val="28"/>
          <w:highlight w:val="none"/>
        </w:rPr>
        <w:t>3%</w:t>
      </w:r>
      <w:r>
        <w:rPr>
          <w:rFonts w:hint="eastAsia" w:ascii="方正仿宋_GBK" w:eastAsia="方正仿宋_GBK"/>
          <w:color w:val="auto"/>
          <w:szCs w:val="28"/>
          <w:highlight w:val="none"/>
        </w:rPr>
        <w:t>的报价扣除。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3.2.3</w:t>
      </w:r>
      <w:r>
        <w:rPr>
          <w:rFonts w:hint="eastAsia" w:ascii="方正仿宋_GBK" w:eastAsia="方正仿宋_GBK"/>
          <w:color w:val="auto"/>
          <w:szCs w:val="28"/>
          <w:highlight w:val="none"/>
        </w:rPr>
        <w:t>监狱企业、残疾人福利性单位属于微型企业的，应提供企业所在地的县级以上中小企业主管部门本年度出具的证明文件复印件和微型企业承诺书（详见第六篇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成交供应商的确定：</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4.1</w:t>
      </w:r>
      <w:r>
        <w:rPr>
          <w:rFonts w:hint="eastAsia" w:ascii="方正仿宋_GBK" w:eastAsia="方正仿宋_GBK"/>
          <w:color w:val="auto"/>
          <w:szCs w:val="28"/>
          <w:highlight w:val="none"/>
        </w:rPr>
        <w:t>“第三篇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4.2</w:t>
      </w:r>
      <w:r>
        <w:rPr>
          <w:rFonts w:hint="eastAsia" w:ascii="方正仿宋_GBK" w:eastAsia="方正仿宋_GBK"/>
          <w:color w:val="auto"/>
          <w:szCs w:val="28"/>
          <w:highlight w:val="none"/>
        </w:rPr>
        <w:t>“第四篇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4.3</w:t>
      </w:r>
      <w:r>
        <w:rPr>
          <w:rFonts w:hint="eastAsia" w:ascii="方正仿宋_GBK" w:eastAsia="方正仿宋_GBK"/>
          <w:color w:val="auto"/>
          <w:szCs w:val="28"/>
          <w:highlight w:val="none"/>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4.4</w:t>
      </w:r>
      <w:r>
        <w:rPr>
          <w:rFonts w:hint="eastAsia" w:ascii="方正仿宋_GBK" w:eastAsia="方正仿宋_GBK"/>
          <w:color w:val="auto"/>
          <w:szCs w:val="28"/>
          <w:highlight w:val="none"/>
        </w:rPr>
        <w:t>谈判小组将依照评审办法提出成交候选人。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4.5</w:t>
      </w:r>
      <w:r>
        <w:rPr>
          <w:rFonts w:hint="eastAsia" w:ascii="方正仿宋_GBK" w:eastAsia="方正仿宋_GBK"/>
          <w:color w:val="auto"/>
          <w:szCs w:val="28"/>
          <w:highlight w:val="none"/>
        </w:rPr>
        <w:t>采购代理机构应当在评审结束后</w:t>
      </w:r>
      <w:r>
        <w:rPr>
          <w:rFonts w:ascii="方正仿宋_GBK" w:eastAsia="方正仿宋_GBK"/>
          <w:color w:val="auto"/>
          <w:szCs w:val="28"/>
          <w:highlight w:val="none"/>
        </w:rPr>
        <w:t>2</w:t>
      </w:r>
      <w:r>
        <w:rPr>
          <w:rFonts w:hint="eastAsia" w:ascii="方正仿宋_GBK" w:eastAsia="方正仿宋_GBK"/>
          <w:color w:val="auto"/>
          <w:szCs w:val="28"/>
          <w:highlight w:val="none"/>
        </w:rPr>
        <w:t>个工作日内将评审报告送采购人确认。采购人应当在收到评审报告后</w:t>
      </w:r>
      <w:r>
        <w:rPr>
          <w:rFonts w:ascii="方正仿宋_GBK" w:eastAsia="方正仿宋_GBK"/>
          <w:color w:val="auto"/>
          <w:szCs w:val="28"/>
          <w:highlight w:val="none"/>
        </w:rPr>
        <w:t>5</w:t>
      </w:r>
      <w:r>
        <w:rPr>
          <w:rFonts w:hint="eastAsia" w:ascii="方正仿宋_GBK" w:eastAsia="方正仿宋_GBK"/>
          <w:color w:val="auto"/>
          <w:szCs w:val="28"/>
          <w:highlight w:val="none"/>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w:t>
      </w:r>
      <w:r>
        <w:rPr>
          <w:rFonts w:hint="eastAsia" w:ascii="方正仿宋_GBK" w:eastAsia="方正仿宋_GBK"/>
          <w:color w:val="auto"/>
          <w:szCs w:val="28"/>
          <w:highlight w:val="none"/>
        </w:rPr>
        <w:t>成交供应商的变更</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4.6.1</w:t>
      </w:r>
      <w:r>
        <w:rPr>
          <w:rFonts w:hint="eastAsia" w:ascii="方正仿宋_GBK" w:eastAsia="方正仿宋_GBK"/>
          <w:color w:val="auto"/>
          <w:szCs w:val="28"/>
          <w:highlight w:val="none"/>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4.6.2</w:t>
      </w:r>
      <w:r>
        <w:rPr>
          <w:rFonts w:hint="eastAsia" w:ascii="方正仿宋_GBK" w:eastAsia="方正仿宋_GBK"/>
          <w:color w:val="auto"/>
          <w:szCs w:val="28"/>
          <w:highlight w:val="none"/>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5.1</w:t>
      </w:r>
      <w:r>
        <w:rPr>
          <w:rFonts w:hint="eastAsia" w:ascii="方正仿宋_GBK" w:eastAsia="方正仿宋_GBK"/>
          <w:color w:val="auto"/>
          <w:szCs w:val="28"/>
          <w:highlight w:val="none"/>
        </w:rPr>
        <w:t>因情况变化，不再符合规定的竞争性谈判采购方式适用情形的；</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5.2</w:t>
      </w:r>
      <w:r>
        <w:rPr>
          <w:rFonts w:hint="eastAsia" w:ascii="方正仿宋_GBK" w:eastAsia="方正仿宋_GBK"/>
          <w:color w:val="auto"/>
          <w:szCs w:val="28"/>
          <w:highlight w:val="none"/>
        </w:rPr>
        <w:t>出现影响采购公正的违法、违规行为的；</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5.3</w:t>
      </w:r>
      <w:r>
        <w:rPr>
          <w:rFonts w:hint="eastAsia" w:ascii="方正仿宋_GBK" w:eastAsia="方正仿宋_GBK"/>
          <w:color w:val="auto"/>
          <w:szCs w:val="28"/>
          <w:highlight w:val="none"/>
        </w:rPr>
        <w:t>在采购过程中符合竞争要求的供应商或者报价未超过采购预算的供应商不足</w:t>
      </w:r>
      <w:r>
        <w:rPr>
          <w:rFonts w:ascii="方正仿宋_GBK" w:eastAsia="方正仿宋_GBK"/>
          <w:color w:val="auto"/>
          <w:szCs w:val="28"/>
          <w:highlight w:val="none"/>
        </w:rPr>
        <w:t>3</w:t>
      </w:r>
      <w:r>
        <w:rPr>
          <w:rFonts w:hint="eastAsia" w:ascii="方正仿宋_GBK" w:eastAsia="方正仿宋_GBK"/>
          <w:color w:val="auto"/>
          <w:szCs w:val="28"/>
          <w:highlight w:val="none"/>
        </w:rPr>
        <w:t>家的，但《政府采购非招标采购方式管理办法》第二十七条第二款规定的情形除外。</w:t>
      </w:r>
    </w:p>
    <w:p>
      <w:pPr>
        <w:pStyle w:val="5"/>
        <w:spacing w:before="0" w:after="0" w:line="560" w:lineRule="exact"/>
        <w:ind w:firstLine="560" w:firstLineChars="200"/>
        <w:rPr>
          <w:rFonts w:ascii="方正仿宋_GBK" w:eastAsia="方正仿宋_GBK"/>
          <w:b w:val="0"/>
          <w:color w:val="auto"/>
          <w:sz w:val="28"/>
          <w:szCs w:val="28"/>
          <w:highlight w:val="none"/>
        </w:rPr>
      </w:pPr>
      <w:bookmarkStart w:id="41" w:name="_Toc342913395"/>
      <w:bookmarkStart w:id="42" w:name="_Toc846"/>
      <w:bookmarkStart w:id="43" w:name="_Toc102227321"/>
      <w:r>
        <w:rPr>
          <w:rFonts w:hint="eastAsia" w:ascii="方正仿宋_GBK" w:eastAsia="方正仿宋_GBK"/>
          <w:b w:val="0"/>
          <w:color w:val="auto"/>
          <w:sz w:val="28"/>
          <w:szCs w:val="28"/>
          <w:highlight w:val="none"/>
        </w:rPr>
        <w:t>七、成交通知</w:t>
      </w:r>
      <w:bookmarkEnd w:id="41"/>
      <w:bookmarkEnd w:id="42"/>
      <w:bookmarkEnd w:id="43"/>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（一）成交供应商确定后，采购人将在重庆医科大学校园网上（主页</w:t>
      </w:r>
      <w:r>
        <w:rPr>
          <w:rFonts w:ascii="方正仿宋_GBK" w:eastAsia="方正仿宋_GBK"/>
          <w:color w:val="auto"/>
          <w:szCs w:val="28"/>
          <w:highlight w:val="none"/>
        </w:rPr>
        <w:t>-</w:t>
      </w:r>
      <w:r>
        <w:rPr>
          <w:rFonts w:hint="eastAsia" w:ascii="方正仿宋_GBK" w:eastAsia="方正仿宋_GBK"/>
          <w:color w:val="auto"/>
          <w:szCs w:val="28"/>
          <w:highlight w:val="none"/>
        </w:rPr>
        <w:t>服务大厅</w:t>
      </w:r>
      <w:r>
        <w:rPr>
          <w:rFonts w:ascii="方正仿宋_GBK" w:eastAsia="方正仿宋_GBK"/>
          <w:color w:val="auto"/>
          <w:szCs w:val="28"/>
          <w:highlight w:val="none"/>
        </w:rPr>
        <w:t>-</w:t>
      </w:r>
      <w:r>
        <w:rPr>
          <w:rFonts w:hint="eastAsia" w:ascii="方正仿宋_GBK" w:eastAsia="方正仿宋_GBK"/>
          <w:color w:val="auto"/>
          <w:szCs w:val="28"/>
          <w:highlight w:val="none"/>
        </w:rPr>
        <w:t>招投标信息）上发布成交结果公告。</w:t>
      </w:r>
    </w:p>
    <w:p>
      <w:pPr>
        <w:spacing w:line="40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（二）网上成交结果公告将作为签订合同的依据。</w:t>
      </w:r>
    </w:p>
    <w:p>
      <w:pPr>
        <w:pStyle w:val="5"/>
        <w:spacing w:before="0" w:after="0" w:line="560" w:lineRule="exact"/>
        <w:ind w:firstLine="560" w:firstLineChars="200"/>
        <w:rPr>
          <w:rFonts w:ascii="方正仿宋_GBK" w:eastAsia="方正仿宋_GBK"/>
          <w:b w:val="0"/>
          <w:color w:val="auto"/>
          <w:sz w:val="28"/>
          <w:szCs w:val="28"/>
          <w:highlight w:val="none"/>
        </w:rPr>
      </w:pPr>
      <w:bookmarkStart w:id="44" w:name="_Toc21133"/>
      <w:r>
        <w:rPr>
          <w:rFonts w:hint="eastAsia" w:ascii="方正仿宋_GBK" w:eastAsia="方正仿宋_GBK"/>
          <w:b w:val="0"/>
          <w:color w:val="auto"/>
          <w:sz w:val="28"/>
          <w:szCs w:val="28"/>
          <w:highlight w:val="none"/>
        </w:rPr>
        <w:t>八、关于质疑和投诉</w:t>
      </w:r>
      <w:bookmarkEnd w:id="44"/>
    </w:p>
    <w:p>
      <w:pPr>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（一）质疑</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提出质疑的应当是参与所质疑项目采购活动的供应商。</w:t>
      </w:r>
      <w:r>
        <w:rPr>
          <w:rFonts w:ascii="方正仿宋_GBK" w:hAnsi="仿宋" w:eastAsia="方正仿宋_GBK" w:cs="仿宋"/>
          <w:color w:val="auto"/>
          <w:szCs w:val="28"/>
          <w:highlight w:val="none"/>
        </w:rPr>
        <w:t xml:space="preserve"> </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质疑时限、内容</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1.1</w:t>
      </w:r>
      <w:r>
        <w:rPr>
          <w:rFonts w:hint="eastAsia" w:ascii="方正仿宋_GBK" w:hAnsi="仿宋" w:eastAsia="方正仿宋_GBK" w:cs="仿宋"/>
          <w:color w:val="auto"/>
          <w:szCs w:val="28"/>
          <w:highlight w:val="none"/>
        </w:rPr>
        <w:t>供应商认为采购文件、采购过程、成交结果使自己的权益受到损害的，可以在知道或者应知其权益受到损害之日起</w:t>
      </w: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个工作日内，以书面形式向采购人、采购代理机构提出质疑。</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w:t>
      </w:r>
      <w:r>
        <w:rPr>
          <w:rFonts w:hint="eastAsia" w:ascii="方正仿宋_GBK" w:hAnsi="仿宋" w:eastAsia="方正仿宋_GBK" w:cs="仿宋"/>
          <w:color w:val="auto"/>
          <w:szCs w:val="28"/>
          <w:highlight w:val="none"/>
        </w:rPr>
        <w:t>供应商提出质疑应当提交质疑函和必要的证明材料，质疑函应当包括下列内容：</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1.2.1</w:t>
      </w:r>
      <w:r>
        <w:rPr>
          <w:rFonts w:hint="eastAsia" w:ascii="方正仿宋_GBK" w:hAnsi="仿宋" w:eastAsia="方正仿宋_GBK" w:cs="仿宋"/>
          <w:color w:val="auto"/>
          <w:szCs w:val="28"/>
          <w:highlight w:val="none"/>
        </w:rPr>
        <w:t>供应商的姓名或者名称、地址、邮编、联系人及联系电话；</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1.2.2</w:t>
      </w:r>
      <w:r>
        <w:rPr>
          <w:rFonts w:hint="eastAsia" w:ascii="方正仿宋_GBK" w:hAnsi="仿宋" w:eastAsia="方正仿宋_GBK" w:cs="仿宋"/>
          <w:color w:val="auto"/>
          <w:szCs w:val="28"/>
          <w:highlight w:val="none"/>
        </w:rPr>
        <w:t>质疑项目的名称、项目号以及谈判项目编号；</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1.2.3</w:t>
      </w:r>
      <w:r>
        <w:rPr>
          <w:rFonts w:hint="eastAsia" w:ascii="方正仿宋_GBK" w:hAnsi="仿宋" w:eastAsia="方正仿宋_GBK" w:cs="仿宋"/>
          <w:color w:val="auto"/>
          <w:szCs w:val="28"/>
          <w:highlight w:val="none"/>
        </w:rPr>
        <w:t>具体、明确的质疑事项和与质疑事项相关的请求；</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1.2.4</w:t>
      </w:r>
      <w:r>
        <w:rPr>
          <w:rFonts w:hint="eastAsia" w:ascii="方正仿宋_GBK" w:hAnsi="仿宋" w:eastAsia="方正仿宋_GBK" w:cs="仿宋"/>
          <w:color w:val="auto"/>
          <w:szCs w:val="28"/>
          <w:highlight w:val="none"/>
        </w:rPr>
        <w:t>事实依据；</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1.2.5</w:t>
      </w:r>
      <w:r>
        <w:rPr>
          <w:rFonts w:hint="eastAsia" w:ascii="方正仿宋_GBK" w:hAnsi="仿宋" w:eastAsia="方正仿宋_GBK" w:cs="仿宋"/>
          <w:color w:val="auto"/>
          <w:szCs w:val="28"/>
          <w:highlight w:val="none"/>
        </w:rPr>
        <w:t>必要的法律依据；</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1.2.6</w:t>
      </w:r>
      <w:r>
        <w:rPr>
          <w:rFonts w:hint="eastAsia" w:ascii="方正仿宋_GBK" w:hAnsi="仿宋" w:eastAsia="方正仿宋_GBK" w:cs="仿宋"/>
          <w:color w:val="auto"/>
          <w:szCs w:val="28"/>
          <w:highlight w:val="none"/>
        </w:rPr>
        <w:t>提出质疑的日期；</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1.2.7</w:t>
      </w:r>
      <w:r>
        <w:rPr>
          <w:rFonts w:hint="eastAsia" w:ascii="方正仿宋_GBK" w:hAnsi="仿宋" w:eastAsia="方正仿宋_GBK" w:cs="仿宋"/>
          <w:color w:val="auto"/>
          <w:szCs w:val="28"/>
          <w:highlight w:val="none"/>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1.2.8</w:t>
      </w:r>
      <w:r>
        <w:rPr>
          <w:rFonts w:hint="eastAsia" w:ascii="方正仿宋_GBK" w:hAnsi="仿宋" w:eastAsia="方正仿宋_GBK" w:cs="仿宋"/>
          <w:color w:val="auto"/>
          <w:szCs w:val="28"/>
          <w:highlight w:val="none"/>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1.3</w:t>
      </w:r>
      <w:r>
        <w:rPr>
          <w:rFonts w:hint="eastAsia" w:ascii="方正仿宋_GBK" w:hAnsi="仿宋" w:eastAsia="方正仿宋_GBK" w:cs="仿宋"/>
          <w:color w:val="auto"/>
          <w:szCs w:val="28"/>
          <w:highlight w:val="none"/>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2.</w:t>
      </w:r>
      <w:r>
        <w:rPr>
          <w:rFonts w:hint="eastAsia" w:ascii="方正仿宋_GBK" w:hAnsi="仿宋" w:eastAsia="方正仿宋_GBK" w:cs="仿宋"/>
          <w:color w:val="auto"/>
          <w:szCs w:val="28"/>
          <w:highlight w:val="none"/>
        </w:rPr>
        <w:t>质疑答复</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采购人、采购代理机构应当在收到供应商的书面质疑后</w:t>
      </w: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个工作日内作出答复，并以书面形式通知质疑供应商和其他有关供应商。</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其他</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3.1</w:t>
      </w:r>
      <w:r>
        <w:rPr>
          <w:rFonts w:hint="eastAsia" w:ascii="方正仿宋_GBK" w:hAnsi="仿宋" w:eastAsia="方正仿宋_GBK" w:cs="仿宋"/>
          <w:color w:val="auto"/>
          <w:szCs w:val="28"/>
          <w:highlight w:val="none"/>
        </w:rPr>
        <w:t>供应商应按照《政府采购质疑和投诉办法》（财政部令第</w:t>
      </w:r>
      <w:r>
        <w:rPr>
          <w:rFonts w:ascii="方正仿宋_GBK" w:hAnsi="仿宋" w:eastAsia="方正仿宋_GBK" w:cs="仿宋"/>
          <w:color w:val="auto"/>
          <w:szCs w:val="28"/>
          <w:highlight w:val="none"/>
        </w:rPr>
        <w:t>94</w:t>
      </w:r>
      <w:r>
        <w:rPr>
          <w:rFonts w:hint="eastAsia" w:ascii="方正仿宋_GBK" w:hAnsi="仿宋" w:eastAsia="方正仿宋_GBK" w:cs="仿宋"/>
          <w:color w:val="auto"/>
          <w:szCs w:val="28"/>
          <w:highlight w:val="none"/>
        </w:rPr>
        <w:t>号）及相关法律法规要求，在法定质疑期内一次性提出针对同一采购程序环节的质疑。</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3.2</w:t>
      </w:r>
      <w:r>
        <w:rPr>
          <w:rFonts w:hint="eastAsia" w:ascii="方正仿宋_GBK" w:hAnsi="仿宋" w:eastAsia="方正仿宋_GBK" w:cs="仿宋"/>
          <w:color w:val="auto"/>
          <w:szCs w:val="28"/>
          <w:highlight w:val="none"/>
        </w:rPr>
        <w:t>质疑函范本可在财政部门户网站和中国政府采购网下载。</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（二）投诉</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供应商对采购人、采购代理机构的答复不满意，或者采购人、采购代理机构未在规定时间内作出答复的，可以在答复期满后</w:t>
      </w:r>
      <w:r>
        <w:rPr>
          <w:rFonts w:ascii="方正仿宋_GBK" w:hAnsi="仿宋" w:eastAsia="方正仿宋_GBK" w:cs="仿宋"/>
          <w:color w:val="auto"/>
          <w:szCs w:val="28"/>
          <w:highlight w:val="none"/>
        </w:rPr>
        <w:t>15</w:t>
      </w:r>
      <w:r>
        <w:rPr>
          <w:rFonts w:hint="eastAsia" w:ascii="方正仿宋_GBK" w:hAnsi="仿宋" w:eastAsia="方正仿宋_GBK" w:cs="仿宋"/>
          <w:color w:val="auto"/>
          <w:szCs w:val="28"/>
          <w:highlight w:val="none"/>
        </w:rPr>
        <w:t>个工作日内按照相关法律法规向财政部门提起投诉。</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2.</w:t>
      </w:r>
      <w:r>
        <w:rPr>
          <w:rFonts w:hint="eastAsia" w:ascii="方正仿宋_GBK" w:hAnsi="仿宋" w:eastAsia="方正仿宋_GBK" w:cs="仿宋"/>
          <w:color w:val="auto"/>
          <w:szCs w:val="28"/>
          <w:highlight w:val="none"/>
        </w:rPr>
        <w:t>供应商应按照《政府采购质疑和投诉办法》（财政部令第</w:t>
      </w:r>
      <w:r>
        <w:rPr>
          <w:rFonts w:ascii="方正仿宋_GBK" w:hAnsi="仿宋" w:eastAsia="方正仿宋_GBK" w:cs="仿宋"/>
          <w:color w:val="auto"/>
          <w:szCs w:val="28"/>
          <w:highlight w:val="none"/>
        </w:rPr>
        <w:t>94</w:t>
      </w:r>
      <w:r>
        <w:rPr>
          <w:rFonts w:hint="eastAsia" w:ascii="方正仿宋_GBK" w:hAnsi="仿宋" w:eastAsia="方正仿宋_GBK" w:cs="仿宋"/>
          <w:color w:val="auto"/>
          <w:szCs w:val="28"/>
          <w:highlight w:val="none"/>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color w:val="auto"/>
          <w:szCs w:val="28"/>
          <w:highlight w:val="none"/>
        </w:rPr>
      </w:pPr>
      <w:r>
        <w:rPr>
          <w:rFonts w:ascii="方正仿宋_GBK" w:hAnsi="仿宋" w:eastAsia="方正仿宋_GBK" w:cs="仿宋"/>
          <w:color w:val="auto"/>
          <w:szCs w:val="28"/>
          <w:highlight w:val="none"/>
        </w:rPr>
        <w:t>4.</w:t>
      </w:r>
      <w:r>
        <w:rPr>
          <w:rFonts w:hint="eastAsia" w:ascii="方正仿宋_GBK" w:hAnsi="仿宋" w:eastAsia="方正仿宋_GBK" w:cs="仿宋"/>
          <w:color w:val="auto"/>
          <w:szCs w:val="28"/>
          <w:highlight w:val="none"/>
        </w:rPr>
        <w:t>在确定受理投诉后，财政部门自受理投诉之日起</w:t>
      </w:r>
      <w:r>
        <w:rPr>
          <w:rFonts w:ascii="方正仿宋_GBK" w:hAnsi="仿宋" w:eastAsia="方正仿宋_GBK" w:cs="仿宋"/>
          <w:color w:val="auto"/>
          <w:szCs w:val="28"/>
          <w:highlight w:val="none"/>
        </w:rPr>
        <w:t>30</w:t>
      </w:r>
      <w:r>
        <w:rPr>
          <w:rFonts w:hint="eastAsia" w:ascii="方正仿宋_GBK" w:hAnsi="仿宋" w:eastAsia="方正仿宋_GBK" w:cs="仿宋"/>
          <w:color w:val="auto"/>
          <w:szCs w:val="28"/>
          <w:highlight w:val="none"/>
        </w:rPr>
        <w:t>个工作日内（需要检验、检测、鉴定、专家评审以及需要投诉人补正材料的，所需时间不计算在投诉处理期限内）对投诉事项做出处理决定。</w:t>
      </w:r>
    </w:p>
    <w:p>
      <w:pPr>
        <w:pStyle w:val="5"/>
        <w:spacing w:before="0" w:after="0" w:line="560" w:lineRule="exact"/>
        <w:ind w:firstLine="560" w:firstLineChars="200"/>
        <w:rPr>
          <w:rFonts w:ascii="方正仿宋_GBK" w:eastAsia="方正仿宋_GBK"/>
          <w:b w:val="0"/>
          <w:color w:val="auto"/>
          <w:sz w:val="28"/>
          <w:szCs w:val="28"/>
          <w:highlight w:val="none"/>
        </w:rPr>
      </w:pPr>
      <w:bookmarkStart w:id="45" w:name="_Toc6345"/>
      <w:bookmarkStart w:id="46" w:name="_Toc102227322"/>
      <w:bookmarkStart w:id="47" w:name="_Toc342913396"/>
      <w:r>
        <w:rPr>
          <w:rFonts w:hint="eastAsia" w:ascii="方正仿宋_GBK" w:eastAsia="方正仿宋_GBK"/>
          <w:b w:val="0"/>
          <w:color w:val="auto"/>
          <w:sz w:val="28"/>
          <w:szCs w:val="28"/>
          <w:highlight w:val="none"/>
        </w:rPr>
        <w:t>九、签订合同</w:t>
      </w:r>
      <w:bookmarkEnd w:id="45"/>
    </w:p>
    <w:bookmarkEnd w:id="46"/>
    <w:bookmarkEnd w:id="47"/>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r>
        <w:rPr>
          <w:rFonts w:ascii="方正仿宋_GBK" w:hAnsi="宋体" w:eastAsia="方正仿宋_GBK"/>
          <w:color w:val="auto"/>
          <w:szCs w:val="28"/>
          <w:highlight w:val="none"/>
        </w:rPr>
        <w:t xml:space="preserve"> </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（二）竞争性谈判文件、供应商的响应文件及澄清文件等，均为签订采购合同的依据。</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4"/>
        <w:spacing w:before="0" w:after="0" w:line="560" w:lineRule="exact"/>
        <w:jc w:val="center"/>
        <w:rPr>
          <w:rFonts w:ascii="黑体"/>
          <w:b w:val="0"/>
          <w:color w:val="auto"/>
          <w:sz w:val="44"/>
          <w:szCs w:val="44"/>
          <w:highlight w:val="none"/>
        </w:rPr>
      </w:pPr>
      <w:bookmarkStart w:id="48" w:name="_Toc535312149"/>
      <w:bookmarkStart w:id="49" w:name="_Toc14623"/>
      <w:bookmarkStart w:id="50" w:name="_Toc12789058"/>
      <w:r>
        <w:rPr>
          <w:rFonts w:hint="eastAsia" w:ascii="黑体" w:hAnsi="黑体"/>
          <w:b w:val="0"/>
          <w:color w:val="auto"/>
          <w:sz w:val="44"/>
          <w:szCs w:val="44"/>
          <w:highlight w:val="none"/>
        </w:rPr>
        <w:t>第三篇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谈判项目技术需求</w:t>
      </w:r>
      <w:bookmarkEnd w:id="48"/>
      <w:bookmarkEnd w:id="49"/>
    </w:p>
    <w:p>
      <w:pPr>
        <w:pStyle w:val="5"/>
        <w:numPr>
          <w:ilvl w:val="0"/>
          <w:numId w:val="1"/>
        </w:numPr>
        <w:spacing w:before="0" w:after="0" w:line="560" w:lineRule="exact"/>
        <w:rPr>
          <w:rFonts w:hint="eastAsia" w:ascii="方正仿宋_GBK" w:eastAsia="方正仿宋_GBK"/>
          <w:color w:val="auto"/>
          <w:sz w:val="28"/>
          <w:szCs w:val="28"/>
          <w:highlight w:val="none"/>
        </w:rPr>
      </w:pPr>
      <w:bookmarkStart w:id="51" w:name="_Toc4652"/>
      <w:bookmarkStart w:id="52" w:name="_Toc535312150"/>
      <w:r>
        <w:rPr>
          <w:rFonts w:hint="eastAsia" w:ascii="方正仿宋_GBK" w:eastAsia="方正仿宋_GBK"/>
          <w:color w:val="auto"/>
          <w:sz w:val="28"/>
          <w:szCs w:val="28"/>
          <w:highlight w:val="none"/>
        </w:rPr>
        <w:t>项目一览表</w:t>
      </w:r>
      <w:bookmarkEnd w:id="51"/>
      <w:bookmarkEnd w:id="52"/>
    </w:p>
    <w:p>
      <w:pPr>
        <w:jc w:val="center"/>
        <w:rPr>
          <w:rFonts w:hint="eastAsia" w:ascii="黑体" w:hAnsi="黑体" w:eastAsia="黑体"/>
          <w:b/>
          <w:color w:val="auto"/>
          <w:highlight w:val="none"/>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bookmarkStart w:id="53" w:name="_Toc535312151"/>
            <w:bookmarkStart w:id="54" w:name="_Toc313536013"/>
            <w:bookmarkStart w:id="55" w:name="_Toc344475116"/>
            <w:r>
              <w:rPr>
                <w:rFonts w:hint="eastAsia" w:ascii="方正仿宋_GBK" w:hAnsi="宋体" w:eastAsia="方正仿宋_GBK" w:cs="仿宋"/>
                <w:b/>
                <w:bCs/>
                <w:color w:val="auto"/>
                <w:sz w:val="21"/>
                <w:szCs w:val="21"/>
                <w:highlight w:val="none"/>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2"/>
                <w:szCs w:val="22"/>
                <w:highlight w:val="none"/>
              </w:rPr>
            </w:pPr>
            <w:r>
              <w:rPr>
                <w:rFonts w:hint="eastAsia"/>
                <w:color w:val="auto"/>
                <w:sz w:val="22"/>
                <w:szCs w:val="22"/>
                <w:highlight w:val="none"/>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IVC鼠笼（一拖三（72笼））</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2"/>
                <w:szCs w:val="22"/>
                <w:highlight w:val="none"/>
                <w:lang w:val="en-US" w:eastAsia="zh-CN"/>
              </w:rPr>
            </w:pPr>
            <w:r>
              <w:rPr>
                <w:rFonts w:hint="eastAsia"/>
                <w:color w:val="auto"/>
                <w:sz w:val="22"/>
                <w:szCs w:val="22"/>
                <w:highlight w:val="none"/>
                <w:lang w:val="en-US" w:eastAsia="zh-CN"/>
              </w:rPr>
              <w:t>1套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2"/>
                <w:szCs w:val="22"/>
                <w:highlight w:val="none"/>
              </w:rPr>
            </w:pPr>
            <w:r>
              <w:rPr>
                <w:rFonts w:hint="eastAsia"/>
                <w:color w:val="auto"/>
                <w:sz w:val="22"/>
                <w:szCs w:val="22"/>
                <w:highlight w:val="none"/>
              </w:rPr>
              <w:t>2</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干式化学过滤器</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sz w:val="22"/>
                <w:szCs w:val="22"/>
                <w:highlight w:val="none"/>
                <w:lang w:val="en-US"/>
              </w:rPr>
            </w:pPr>
            <w:r>
              <w:rPr>
                <w:rFonts w:hint="eastAsia"/>
                <w:color w:val="auto"/>
                <w:sz w:val="22"/>
                <w:szCs w:val="22"/>
                <w:highlight w:val="none"/>
                <w:lang w:val="en-US" w:eastAsia="zh-CN"/>
              </w:rPr>
              <w:t>1台</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3</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eastAsia="宋体" w:cs="Times New Roman"/>
                <w:color w:val="auto"/>
                <w:sz w:val="22"/>
                <w:szCs w:val="22"/>
                <w:highlight w:val="none"/>
                <w:lang w:val="en-US" w:eastAsia="zh-CN"/>
              </w:rPr>
              <w:t>恒温恒湿空调柜机</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2"/>
                <w:szCs w:val="22"/>
                <w:highlight w:val="none"/>
              </w:rPr>
            </w:pPr>
            <w:r>
              <w:rPr>
                <w:rFonts w:hint="eastAsia"/>
                <w:color w:val="auto"/>
                <w:sz w:val="22"/>
                <w:szCs w:val="22"/>
                <w:highlight w:val="none"/>
                <w:lang w:val="en-US" w:eastAsia="zh-CN"/>
              </w:rPr>
              <w:t>1套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sz w:val="22"/>
                <w:szCs w:val="22"/>
                <w:highlight w:val="none"/>
                <w:lang w:val="en-US" w:eastAsia="zh-CN"/>
              </w:rPr>
            </w:pPr>
            <w:r>
              <w:rPr>
                <w:rFonts w:hint="eastAsia"/>
                <w:color w:val="auto"/>
                <w:sz w:val="22"/>
                <w:szCs w:val="22"/>
                <w:highlight w:val="none"/>
                <w:lang w:val="en-US" w:eastAsia="zh-CN"/>
              </w:rPr>
              <w:t>4</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鼠笼配套设施</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sz w:val="22"/>
                <w:szCs w:val="22"/>
                <w:highlight w:val="none"/>
                <w:lang w:val="en-US"/>
              </w:rPr>
            </w:pPr>
            <w:r>
              <w:rPr>
                <w:rFonts w:hint="eastAsia"/>
                <w:color w:val="auto"/>
                <w:sz w:val="22"/>
                <w:szCs w:val="22"/>
                <w:highlight w:val="none"/>
                <w:lang w:val="en-US" w:eastAsia="zh-CN"/>
              </w:rPr>
              <w:t>1项</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color w:val="auto"/>
                <w:sz w:val="21"/>
                <w:szCs w:val="21"/>
                <w:highlight w:val="none"/>
              </w:rPr>
            </w:pPr>
          </w:p>
        </w:tc>
      </w:tr>
    </w:tbl>
    <w:p>
      <w:pPr>
        <w:pStyle w:val="5"/>
        <w:spacing w:before="0" w:afterLines="50" w:line="560" w:lineRule="exact"/>
        <w:rPr>
          <w:rFonts w:hint="eastAsia" w:ascii="方正仿宋_GBK" w:eastAsia="方正仿宋_GBK"/>
          <w:color w:val="auto"/>
          <w:sz w:val="28"/>
          <w:szCs w:val="28"/>
          <w:highlight w:val="none"/>
        </w:rPr>
        <w:sectPr>
          <w:footerReference r:id="rId14" w:type="default"/>
          <w:pgSz w:w="11907" w:h="16840"/>
          <w:pgMar w:top="1134" w:right="1191" w:bottom="1134" w:left="1304" w:header="964" w:footer="992" w:gutter="0"/>
          <w:pgNumType w:fmt="numberInDash"/>
          <w:cols w:space="720" w:num="1"/>
          <w:docGrid w:linePitch="312" w:charSpace="0"/>
        </w:sectPr>
      </w:pPr>
    </w:p>
    <w:p>
      <w:pPr>
        <w:pStyle w:val="5"/>
        <w:spacing w:before="0" w:afterLines="50" w:line="560" w:lineRule="exact"/>
        <w:rPr>
          <w:rFonts w:ascii="方正仿宋_GBK" w:hAnsi="宋体" w:eastAsia="方正仿宋_GBK"/>
          <w:color w:val="auto"/>
          <w:szCs w:val="28"/>
          <w:highlight w:val="none"/>
        </w:rPr>
      </w:pPr>
      <w:bookmarkStart w:id="56" w:name="_Toc24394"/>
      <w:r>
        <w:rPr>
          <w:rFonts w:hint="eastAsia" w:ascii="方正仿宋_GBK" w:eastAsia="方正仿宋_GBK"/>
          <w:color w:val="auto"/>
          <w:sz w:val="28"/>
          <w:szCs w:val="28"/>
          <w:highlight w:val="none"/>
        </w:rPr>
        <w:t>二、技术规格及质量要求</w:t>
      </w:r>
      <w:bookmarkEnd w:id="53"/>
      <w:bookmarkEnd w:id="54"/>
      <w:bookmarkEnd w:id="55"/>
      <w:bookmarkEnd w:id="56"/>
    </w:p>
    <w:tbl>
      <w:tblPr>
        <w:tblStyle w:val="57"/>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序号</w:t>
            </w:r>
          </w:p>
        </w:tc>
        <w:tc>
          <w:tcPr>
            <w:tcW w:w="1134" w:type="dxa"/>
            <w:shd w:val="clear" w:color="000000" w:fill="D9D9D9"/>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名称</w:t>
            </w:r>
          </w:p>
        </w:tc>
        <w:tc>
          <w:tcPr>
            <w:tcW w:w="7229"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参数</w:t>
            </w:r>
          </w:p>
        </w:tc>
        <w:tc>
          <w:tcPr>
            <w:tcW w:w="567"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数量</w:t>
            </w:r>
          </w:p>
        </w:tc>
        <w:tc>
          <w:tcPr>
            <w:tcW w:w="567" w:type="dxa"/>
            <w:shd w:val="clear" w:color="000000" w:fill="D9D9D9"/>
            <w:noWrap/>
            <w:vAlign w:val="center"/>
          </w:tcPr>
          <w:p>
            <w:pPr>
              <w:widowControl/>
              <w:jc w:val="center"/>
              <w:rPr>
                <w:rFonts w:hint="eastAsia"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w:t>
            </w:r>
          </w:p>
        </w:tc>
        <w:tc>
          <w:tcPr>
            <w:tcW w:w="1134"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color w:val="auto"/>
                <w:sz w:val="22"/>
                <w:szCs w:val="22"/>
                <w:highlight w:val="none"/>
              </w:rPr>
              <w:t>IVC鼠笼</w:t>
            </w:r>
            <w:r>
              <w:rPr>
                <w:rFonts w:hint="eastAsia"/>
                <w:color w:val="auto"/>
                <w:sz w:val="22"/>
                <w:szCs w:val="22"/>
                <w:highlight w:val="none"/>
                <w:lang w:eastAsia="zh-CN"/>
              </w:rPr>
              <w:t>（一拖三（72笼））</w:t>
            </w:r>
          </w:p>
        </w:tc>
        <w:tc>
          <w:tcPr>
            <w:tcW w:w="7229" w:type="dxa"/>
            <w:tcBorders>
              <w:top w:val="single" w:color="auto" w:sz="4" w:space="0"/>
              <w:left w:val="nil"/>
              <w:bottom w:val="single" w:color="auto" w:sz="4" w:space="0"/>
              <w:right w:val="single" w:color="auto" w:sz="4" w:space="0"/>
            </w:tcBorders>
            <w:vAlign w:val="center"/>
          </w:tcPr>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配置</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独立送风隔离笼具（IVC）由4个部分组成：送风系统、排气系统、笼架、鼠盒。风机采用低噪音风机，进风箱、排风箱处提供初、高效两级过滤，高效过滤效率≥99.99%，压力传感器采用知名品牌。笼架采用不锈钢304异型管。鼠盒原料采用PPSU透明材料。鼠盒和所有密封材料采用硅橡胶耐酸耐碱高温135℃压力15磅半小时不变形。</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特点</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1、机箱电器符合国家电气安全标准，电源为220V，压力传感器为进口产品；</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2、笼架采用不锈钢304管制造、表面抛光，内壁表面平滑，焊点无毛刺。整个笼架需外形美观，牢固稳定，移动方便；</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3、其它部位（主机箱）材料采用不锈钢304材质表面抛光，内壁表面平滑，焊点无毛刺；</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4、附带计时器，提醒用户及时更换高效过滤器；</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5、具有停电、设备故障和温湿度超限等多项报警辅助功能，停电报警提醒用户打开生命窗；</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6、主机需采用全液晶显示、控制；主机采用全不锈钢外壳，紧凑型设计，斜面操作界面，符合人体工程学，顶部回风管道可根据笼架高度进行调节，内置低噪音风机，智能控制模块，温湿度及压差自动报警系统，7寸HMI真彩触摸屏，系统采用RS485数字通讯系统。小型主机，能使实验室空间得到充分利用，规格：310×550×1650mm。主机内置带有自动充放电功能的UPS不间断电源，UPS电池组采用锂电池，使用寿命长，断电时连续续航可达12小时以上。</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7、采用直流变频控制技术和直流变频风机</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 xml:space="preserve">8、笼架进风、排风管孔采用冲压式结构，方便拆卸、清洗； </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9、笼盒脱离笼架后，笼盒进风、排风阀门能即刻自动关闭，使取下笼盒时无丝毫外泄，防止相互感染；笼盒与笼架进排风嘴为非侵入式结构；</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10、笼架导轨上有笼盒入位的指示装置。笼架的两侧纵向带有坐标编号1、2、3、4…、笼架顶部横向位置带有坐标编号A、B、C、D…，坐标为激光打印，永不褪色。方便笼盒位置的准确记录；</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11、笼盒与笼架要连接紧密，密封性好，产品在置于普通环境中使用时，笼盒内能始终保持SPF 级空气洁净度；提供具有专业检测资质机构出具的</w:t>
            </w:r>
            <w:r>
              <w:rPr>
                <w:rFonts w:hint="eastAsia" w:ascii="宋体" w:hAnsi="宋体" w:cs="宋体"/>
                <w:color w:val="auto"/>
                <w:sz w:val="22"/>
                <w:szCs w:val="22"/>
                <w:highlight w:val="none"/>
                <w:lang w:val="en-US" w:eastAsia="zh-CN"/>
              </w:rPr>
              <w:t>第三方</w:t>
            </w:r>
            <w:r>
              <w:rPr>
                <w:rFonts w:hint="eastAsia" w:ascii="宋体" w:hAnsi="宋体" w:cs="宋体"/>
                <w:color w:val="auto"/>
                <w:sz w:val="22"/>
                <w:szCs w:val="22"/>
                <w:highlight w:val="none"/>
                <w:lang w:eastAsia="zh-CN"/>
              </w:rPr>
              <w:t>检测报告</w:t>
            </w:r>
            <w:r>
              <w:rPr>
                <w:rFonts w:hint="eastAsia" w:ascii="宋体" w:hAnsi="宋体" w:cs="宋体"/>
                <w:color w:val="auto"/>
                <w:sz w:val="22"/>
                <w:szCs w:val="22"/>
                <w:highlight w:val="none"/>
                <w:lang w:val="en-US" w:eastAsia="zh-CN"/>
              </w:rPr>
              <w:t>并加盖生产厂家公章</w:t>
            </w:r>
            <w:r>
              <w:rPr>
                <w:rFonts w:hint="eastAsia" w:ascii="宋体" w:hAnsi="宋体" w:cs="宋体"/>
                <w:color w:val="auto"/>
                <w:sz w:val="22"/>
                <w:szCs w:val="22"/>
                <w:highlight w:val="none"/>
                <w:lang w:eastAsia="zh-CN"/>
              </w:rPr>
              <w:t>。</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 xml:space="preserve">12、小鼠笼架：规格：1680×480×1970mm ；8层×9笼=72笼×3台； </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13、小鼠笼盒原料采用PPSU材料，规格：375*160*180mm;密封性好，透明性好，采用硅橡胶耐酸、耐碱高温；硅胶密封条可同时高压灭菌；不锈钢网罩：钢丝直径Φ1.8mm-Φ4.0mm，钢丝材质为1Cr18Ni9；可插记录卡片，便捷开启式搭扣。（</w:t>
            </w:r>
            <w:r>
              <w:rPr>
                <w:rFonts w:hint="eastAsia" w:ascii="宋体" w:hAnsi="宋体" w:cs="宋体"/>
                <w:color w:val="auto"/>
                <w:sz w:val="22"/>
                <w:szCs w:val="22"/>
                <w:highlight w:val="none"/>
                <w:lang w:val="en-US" w:eastAsia="zh-CN"/>
              </w:rPr>
              <w:t>要求</w:t>
            </w:r>
            <w:r>
              <w:rPr>
                <w:rFonts w:hint="eastAsia" w:ascii="宋体" w:hAnsi="宋体" w:cs="宋体"/>
                <w:color w:val="auto"/>
                <w:sz w:val="22"/>
                <w:szCs w:val="22"/>
                <w:highlight w:val="none"/>
                <w:lang w:eastAsia="zh-CN"/>
              </w:rPr>
              <w:t>提供第三方检测机构出具带有“CMA”标识的IVC笼盒，PPSU材料检验检测报告，并提供检测报告出具机构的官网查询结果及链接查询方式，</w:t>
            </w:r>
            <w:r>
              <w:rPr>
                <w:rFonts w:hint="eastAsia" w:ascii="宋体" w:hAnsi="宋体" w:cs="宋体"/>
                <w:color w:val="auto"/>
                <w:sz w:val="22"/>
                <w:szCs w:val="22"/>
                <w:highlight w:val="none"/>
                <w:lang w:val="en-US" w:eastAsia="zh-CN"/>
              </w:rPr>
              <w:t>同时加盖生产厂家鲜章</w:t>
            </w:r>
            <w:r>
              <w:rPr>
                <w:rFonts w:hint="eastAsia" w:ascii="宋体" w:hAnsi="宋体" w:cs="宋体"/>
                <w:color w:val="auto"/>
                <w:sz w:val="22"/>
                <w:szCs w:val="22"/>
                <w:highlight w:val="none"/>
                <w:lang w:eastAsia="zh-CN"/>
              </w:rPr>
              <w:t>；</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14、笼盒顶部设有压紧式直径 90mm 生命窗，四周带有密封压槽，覆盖 0.2µm 高效过滤膜；</w:t>
            </w:r>
            <w:r>
              <w:rPr>
                <w:rFonts w:hint="eastAsia" w:ascii="宋体" w:hAnsi="宋体" w:cs="宋体"/>
                <w:color w:val="auto"/>
                <w:sz w:val="22"/>
                <w:szCs w:val="22"/>
                <w:highlight w:val="none"/>
                <w:lang w:val="en-US" w:eastAsia="zh-CN"/>
              </w:rPr>
              <w:t>提供彩页资料</w:t>
            </w:r>
            <w:r>
              <w:rPr>
                <w:rFonts w:hint="eastAsia" w:ascii="宋体" w:hAnsi="宋体" w:cs="宋体"/>
                <w:color w:val="auto"/>
                <w:sz w:val="22"/>
                <w:szCs w:val="22"/>
                <w:highlight w:val="none"/>
                <w:lang w:eastAsia="zh-CN"/>
              </w:rPr>
              <w:t>。</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 xml:space="preserve">15、笼盒瓶口阀为自关闭结构，抽离饮水瓶后，能够即刻关闭阀门； </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 xml:space="preserve">16、饮水瓶在笼盒侧面，饲料放置位置与饮水瓶在笼盒同一侧，可 增加小鼠活动空间。外置式饮水瓶，容积280ml，方形带液位刻度，材质采用全新PPSU原材料，瓶口为医用硅胶软性密封，瓶嘴为304不锈钢材质，电抛光处理，无漏水现象，动物饮水咬合处无金属毛刺现象； </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17、搭扣材质为航天工程塑料，耐高温防磨损，而且美观大方、坚 固耐用、操作方便。</w:t>
            </w:r>
          </w:p>
          <w:p>
            <w:pPr>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val="en-US" w:eastAsia="zh-CN"/>
              </w:rPr>
              <w:t>18、独立通气笼（IVC）系统在环境温度23℃，环境湿度50%RH下，满足：1.材料在pH2，pH10溶液中浸泡 24h，无腐蚀；2.塑料笼箱从 1.5m 处跌落无破损；3.塑料笼箱 131°灭菌30min无变形；4.塑料笼箱内气流速度≤0.1m/s；5.塑料笼箱内落下菌数≤3个/皿；6.塑料笼箱内噪声≤55dB；7.塑料笼箱内外静压差≥10pa；8.焊点拉力测试，网罩20N静态拉力 20s，无断裂，脱焊；9.笼盒内气流无流动死角或流动“短路”现象，经烟雾实验保证50s内可见烟雾全部排空；10.笼盒内压力正负压可调，调节范围不小于-10 Pa～+10Pa 之间，压差均匀性在≤±2Pa</w:t>
            </w:r>
            <w:r>
              <w:rPr>
                <w:rFonts w:hint="eastAsia" w:ascii="宋体" w:hAnsi="宋体" w:cs="宋体"/>
                <w:color w:val="auto"/>
                <w:sz w:val="22"/>
                <w:szCs w:val="22"/>
                <w:highlight w:val="none"/>
                <w:lang w:eastAsia="zh-CN"/>
              </w:rPr>
              <w:t>；提供具有专业检测资质机构出具的</w:t>
            </w:r>
            <w:r>
              <w:rPr>
                <w:rFonts w:hint="eastAsia" w:ascii="宋体" w:hAnsi="宋体" w:cs="宋体"/>
                <w:color w:val="auto"/>
                <w:sz w:val="22"/>
                <w:szCs w:val="22"/>
                <w:highlight w:val="none"/>
                <w:lang w:val="en-US" w:eastAsia="zh-CN"/>
              </w:rPr>
              <w:t>第三方</w:t>
            </w:r>
            <w:r>
              <w:rPr>
                <w:rFonts w:hint="eastAsia" w:ascii="宋体" w:hAnsi="宋体" w:cs="宋体"/>
                <w:color w:val="auto"/>
                <w:sz w:val="22"/>
                <w:szCs w:val="22"/>
                <w:highlight w:val="none"/>
                <w:lang w:eastAsia="zh-CN"/>
              </w:rPr>
              <w:t>检测报告</w:t>
            </w:r>
            <w:r>
              <w:rPr>
                <w:rFonts w:hint="eastAsia" w:ascii="宋体" w:hAnsi="宋体" w:cs="宋体"/>
                <w:color w:val="auto"/>
                <w:sz w:val="22"/>
                <w:szCs w:val="22"/>
                <w:highlight w:val="none"/>
                <w:lang w:val="en-US" w:eastAsia="zh-CN"/>
              </w:rPr>
              <w:t>并加盖生产厂家鲜章</w:t>
            </w:r>
            <w:r>
              <w:rPr>
                <w:rFonts w:hint="eastAsia" w:ascii="宋体" w:hAnsi="宋体" w:cs="宋体"/>
                <w:color w:val="auto"/>
                <w:sz w:val="22"/>
                <w:szCs w:val="22"/>
                <w:highlight w:val="none"/>
                <w:lang w:eastAsia="zh-CN"/>
              </w:rPr>
              <w:t>。</w:t>
            </w:r>
          </w:p>
          <w:p>
            <w:pP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19、提供生产厂家针对本项目的售后服务承诺函并加盖生产厂家鲜章。</w:t>
            </w:r>
          </w:p>
        </w:tc>
        <w:tc>
          <w:tcPr>
            <w:tcW w:w="567"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lang w:val="en-US" w:eastAsia="zh-CN"/>
              </w:rPr>
              <w:t>1</w:t>
            </w:r>
            <w:r>
              <w:rPr>
                <w:rFonts w:ascii="方正仿宋_GBK" w:hAnsi="宋体" w:eastAsia="方正仿宋_GBK" w:cs="仿宋"/>
                <w:b/>
                <w:bCs/>
                <w:color w:val="auto"/>
                <w:sz w:val="21"/>
                <w:szCs w:val="21"/>
                <w:highlight w:val="none"/>
              </w:rPr>
              <w:t xml:space="preserve"> </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auto"/>
                <w:kern w:val="0"/>
                <w:sz w:val="21"/>
                <w:szCs w:val="21"/>
                <w:highlight w:val="none"/>
                <w:lang w:eastAsia="zh-CN"/>
              </w:rPr>
            </w:pPr>
            <w:r>
              <w:rPr>
                <w:rFonts w:hint="eastAsia" w:ascii="方正仿宋_GBK" w:hAnsi="宋体" w:eastAsia="方正仿宋_GBK" w:cs="仿宋"/>
                <w:b/>
                <w:bCs/>
                <w:color w:val="auto"/>
                <w:sz w:val="21"/>
                <w:szCs w:val="21"/>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2</w:t>
            </w:r>
          </w:p>
        </w:tc>
        <w:tc>
          <w:tcPr>
            <w:tcW w:w="1134" w:type="dxa"/>
            <w:tcBorders>
              <w:top w:val="nil"/>
              <w:left w:val="nil"/>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color w:val="auto"/>
                <w:sz w:val="22"/>
                <w:szCs w:val="22"/>
                <w:highlight w:val="none"/>
                <w:lang w:val="en-US" w:eastAsia="zh-CN"/>
              </w:rPr>
              <w:t>干式化学过滤器</w:t>
            </w:r>
          </w:p>
        </w:tc>
        <w:tc>
          <w:tcPr>
            <w:tcW w:w="7229" w:type="dxa"/>
            <w:tcBorders>
              <w:top w:val="nil"/>
              <w:left w:val="nil"/>
              <w:bottom w:val="single" w:color="auto" w:sz="4" w:space="0"/>
              <w:right w:val="single" w:color="auto" w:sz="4" w:space="0"/>
            </w:tcBorders>
            <w:vAlign w:val="center"/>
          </w:tcPr>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1、机组由框架、外壳、改性活性炭、进出风口等组成。</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 xml:space="preserve">2、可以有效净化非甲烷总烃、甲醇等有害气体。废气经过处理后能够满足《石油化学工业污染物排放标准》（GB31571-2015）、《大气污染物排放标准》GB16297-1996 及当地环保规定中的相关限值的相关要求。  </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3、需保证改性活性炭有较长的更换周期。</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 xml:space="preserve">4、废气处理装置所采用的改性活性炭针对苯吸附率不低于 25%，VOC 的吸附效率不低于 98%，对甲醛的吸附率不低于97%，对碘吸附值不低于1000mg/g，以上数据都需要提供第三测试报告证明并加盖生产厂家鲜章。 </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所采用的改性活性炭需提供SGS出具的阻燃/防火认证及第三方测试报告证明并加盖生产厂家鲜章。</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 xml:space="preserve">5、所采用的改性活性炭需提供 MSDS 证书（化学品安全技术说明书）和可追溯的证书编号（参照美标 29CFR1910.1200 编制），并加盖生产厂家鲜章。 </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6、设备箱体面板为不锈钢材质,内部型材为不锈钢材质，设备整体结构采用方管框架形式/铝合金型材，避免使用一段时间出现严重变形。箱体须采用全焊接方式/整体铝合金框架结构，满足常年的防雨防尘防老化等应用标准。设备门为侧面开启式，可以全拆卸，门设计必须满足负压状态下的防雨功能，设备所有的门锁配件必须采用具有一定耐大气腐蚀的以金属为主的材质，以不锈钢 304 和铸铝喷塑为首选。根据 GB/T 14294-2008 标准，设备整体漏风率&lt;1%，并提供第三方测试报告证明并加盖生产厂家鲜章。</w:t>
            </w:r>
          </w:p>
          <w:p>
            <w:pP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7、提供生产厂家针对本项目的售后服务承诺函并加盖生产厂家鲜章。</w:t>
            </w:r>
          </w:p>
        </w:tc>
        <w:tc>
          <w:tcPr>
            <w:tcW w:w="567" w:type="dxa"/>
            <w:tcBorders>
              <w:top w:val="nil"/>
              <w:left w:val="nil"/>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lang w:eastAsia="zh-CN"/>
              </w:rPr>
            </w:pPr>
            <w:r>
              <w:rPr>
                <w:rFonts w:hint="eastAsia" w:ascii="方正仿宋_GBK" w:hAnsi="宋体" w:eastAsia="方正仿宋_GBK" w:cs="仿宋"/>
                <w:b/>
                <w:bCs/>
                <w:color w:val="auto"/>
                <w:sz w:val="21"/>
                <w:szCs w:val="21"/>
                <w:highlight w:val="none"/>
                <w:lang w:val="en-US" w:eastAsia="zh-CN"/>
              </w:rPr>
              <w:t>1</w:t>
            </w:r>
          </w:p>
        </w:tc>
        <w:tc>
          <w:tcPr>
            <w:tcW w:w="567" w:type="dxa"/>
            <w:tcBorders>
              <w:top w:val="nil"/>
              <w:left w:val="nil"/>
              <w:bottom w:val="single" w:color="auto" w:sz="4" w:space="0"/>
              <w:right w:val="single" w:color="auto" w:sz="4" w:space="0"/>
            </w:tcBorders>
            <w:vAlign w:val="center"/>
          </w:tcPr>
          <w:p>
            <w:pPr>
              <w:widowControl/>
              <w:jc w:val="center"/>
              <w:rPr>
                <w:rFonts w:hint="eastAsia" w:ascii="方正仿宋_GBK" w:hAnsi="宋体" w:eastAsia="方正仿宋_GBK" w:cs="宋体"/>
                <w:color w:val="auto"/>
                <w:kern w:val="0"/>
                <w:sz w:val="21"/>
                <w:szCs w:val="21"/>
                <w:highlight w:val="none"/>
                <w:lang w:val="en-US" w:eastAsia="zh-CN"/>
              </w:rPr>
            </w:pPr>
            <w:r>
              <w:rPr>
                <w:rFonts w:hint="eastAsia" w:ascii="方正仿宋_GBK" w:hAnsi="宋体" w:eastAsia="方正仿宋_GBK" w:cs="仿宋"/>
                <w:b/>
                <w:bCs/>
                <w:color w:val="auto"/>
                <w:sz w:val="21"/>
                <w:szCs w:val="21"/>
                <w:highlight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auto"/>
                <w:kern w:val="0"/>
                <w:sz w:val="21"/>
                <w:szCs w:val="21"/>
                <w:highlight w:val="none"/>
                <w:lang w:val="en-US" w:eastAsia="zh-CN"/>
              </w:rPr>
            </w:pPr>
            <w:r>
              <w:rPr>
                <w:rFonts w:hint="eastAsia" w:ascii="方正仿宋_GBK" w:hAnsi="宋体" w:eastAsia="方正仿宋_GBK" w:cs="宋体"/>
                <w:color w:val="auto"/>
                <w:kern w:val="0"/>
                <w:sz w:val="21"/>
                <w:szCs w:val="21"/>
                <w:highlight w:val="none"/>
                <w:lang w:val="en-US" w:eastAsia="zh-CN"/>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2"/>
                <w:szCs w:val="22"/>
                <w:highlight w:val="none"/>
                <w:lang w:val="en-US" w:eastAsia="zh-CN" w:bidi="ar-SA"/>
              </w:rPr>
            </w:pPr>
            <w:r>
              <w:rPr>
                <w:rFonts w:hint="eastAsia" w:ascii="Times New Roman" w:hAnsi="Times New Roman" w:eastAsia="宋体" w:cs="Times New Roman"/>
                <w:color w:val="auto"/>
                <w:sz w:val="22"/>
                <w:szCs w:val="22"/>
                <w:highlight w:val="none"/>
                <w:lang w:val="en-US" w:eastAsia="zh-CN"/>
              </w:rPr>
              <w:t>恒温恒湿空调柜机</w:t>
            </w:r>
          </w:p>
        </w:tc>
        <w:tc>
          <w:tcPr>
            <w:tcW w:w="72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总制冷量：5.5KW；</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制冷功率：1.89KW；</w:t>
            </w:r>
          </w:p>
          <w:p>
            <w:pPr>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总显热量：5.1KW；</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室内机风量：1550m³/h；</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室内机噪音：59dB（A）；</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电加热功率：3.5KW；</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制冷剂：R410A；</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制冷剂标准充注量：0.25kg（内）+1.55kg（外）；</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机组满配置最大重量：105kg；</w:t>
            </w:r>
          </w:p>
          <w:p>
            <w:pPr>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最大输入功率：5.6KW；</w:t>
            </w:r>
          </w:p>
          <w:p>
            <w:pPr>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气管/液管管径：Φ12.7/Φ6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lang w:val="en-US" w:eastAsia="zh-CN"/>
              </w:rPr>
            </w:pPr>
            <w:r>
              <w:rPr>
                <w:rFonts w:hint="eastAsia" w:ascii="方正仿宋_GBK" w:hAnsi="宋体" w:eastAsia="方正仿宋_GBK" w:cs="仿宋"/>
                <w:b/>
                <w:bCs/>
                <w:color w:val="auto"/>
                <w:sz w:val="21"/>
                <w:szCs w:val="21"/>
                <w:highlight w:val="none"/>
                <w:lang w:val="en-US" w:eastAsia="zh-CN"/>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lang w:val="en-US" w:eastAsia="zh-CN"/>
              </w:rPr>
            </w:pPr>
            <w:r>
              <w:rPr>
                <w:rFonts w:hint="eastAsia" w:ascii="方正仿宋_GBK" w:hAnsi="宋体" w:eastAsia="方正仿宋_GBK" w:cs="仿宋"/>
                <w:b/>
                <w:bCs/>
                <w:color w:val="auto"/>
                <w:sz w:val="21"/>
                <w:szCs w:val="21"/>
                <w:highlight w:val="none"/>
                <w:lang w:val="en-US" w:eastAsia="zh-CN"/>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方正仿宋_GBK" w:hAnsi="宋体" w:eastAsia="方正仿宋_GBK" w:cs="宋体"/>
                <w:color w:val="auto"/>
                <w:kern w:val="0"/>
                <w:sz w:val="21"/>
                <w:szCs w:val="21"/>
                <w:highlight w:val="none"/>
                <w:lang w:val="en-US" w:eastAsia="zh-CN"/>
              </w:rPr>
            </w:pPr>
            <w:r>
              <w:rPr>
                <w:rFonts w:hint="eastAsia" w:ascii="方正仿宋_GBK" w:hAnsi="宋体" w:eastAsia="方正仿宋_GBK" w:cs="宋体"/>
                <w:color w:val="auto"/>
                <w:kern w:val="0"/>
                <w:sz w:val="21"/>
                <w:szCs w:val="21"/>
                <w:highlight w:val="none"/>
                <w:lang w:val="en-US" w:eastAsia="zh-CN"/>
              </w:rPr>
              <w:t>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2"/>
                <w:szCs w:val="22"/>
                <w:highlight w:val="none"/>
                <w:lang w:val="en-US" w:eastAsia="zh-CN" w:bidi="ar-SA"/>
              </w:rPr>
            </w:pPr>
            <w:r>
              <w:rPr>
                <w:rFonts w:hint="eastAsia" w:cs="Times New Roman"/>
                <w:color w:val="auto"/>
                <w:sz w:val="22"/>
                <w:szCs w:val="22"/>
                <w:highlight w:val="none"/>
                <w:lang w:val="en-US" w:eastAsia="zh-CN"/>
              </w:rPr>
              <w:t>鼠笼配套设施</w:t>
            </w:r>
          </w:p>
        </w:tc>
        <w:tc>
          <w:tcPr>
            <w:tcW w:w="722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color w:val="auto"/>
                <w:sz w:val="22"/>
                <w:szCs w:val="22"/>
                <w:highlight w:val="none"/>
                <w:lang w:val="en-US"/>
              </w:rPr>
            </w:pPr>
            <w:r>
              <w:rPr>
                <w:rFonts w:hint="eastAsia" w:ascii="宋体" w:hAnsi="宋体" w:cs="宋体"/>
                <w:color w:val="auto"/>
                <w:sz w:val="22"/>
                <w:szCs w:val="22"/>
                <w:highlight w:val="none"/>
                <w:lang w:val="en-US" w:eastAsia="zh-CN"/>
              </w:rPr>
              <w:t>材质满足国标要求，配套设施要求达到甲方使用要求，并能正常使用。</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lang w:val="en-US" w:eastAsia="zh-CN"/>
              </w:rPr>
            </w:pPr>
            <w:r>
              <w:rPr>
                <w:rFonts w:hint="eastAsia" w:ascii="方正仿宋_GBK" w:hAnsi="宋体" w:eastAsia="方正仿宋_GBK" w:cs="仿宋"/>
                <w:b/>
                <w:bCs/>
                <w:color w:val="auto"/>
                <w:sz w:val="21"/>
                <w:szCs w:val="21"/>
                <w:highlight w:val="none"/>
                <w:lang w:val="en-US" w:eastAsia="zh-CN"/>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仿宋"/>
                <w:b/>
                <w:bCs/>
                <w:color w:val="auto"/>
                <w:sz w:val="21"/>
                <w:szCs w:val="21"/>
                <w:highlight w:val="none"/>
                <w:lang w:val="en-US" w:eastAsia="zh-CN"/>
              </w:rPr>
            </w:pPr>
            <w:r>
              <w:rPr>
                <w:rFonts w:hint="eastAsia" w:ascii="方正仿宋_GBK" w:hAnsi="宋体" w:eastAsia="方正仿宋_GBK" w:cs="仿宋"/>
                <w:b/>
                <w:bCs/>
                <w:color w:val="auto"/>
                <w:sz w:val="21"/>
                <w:szCs w:val="21"/>
                <w:highlight w:val="none"/>
                <w:lang w:val="en-US" w:eastAsia="zh-CN"/>
              </w:rPr>
              <w:t>项</w:t>
            </w:r>
          </w:p>
        </w:tc>
      </w:tr>
    </w:tbl>
    <w:p>
      <w:pPr>
        <w:pStyle w:val="4"/>
        <w:spacing w:before="0" w:after="0" w:line="560" w:lineRule="exact"/>
        <w:jc w:val="center"/>
        <w:rPr>
          <w:rFonts w:hint="eastAsia" w:ascii="黑体" w:hAnsi="黑体"/>
          <w:b w:val="0"/>
          <w:color w:val="auto"/>
          <w:sz w:val="44"/>
          <w:szCs w:val="44"/>
          <w:highlight w:val="none"/>
        </w:rPr>
        <w:sectPr>
          <w:pgSz w:w="11907" w:h="16840"/>
          <w:pgMar w:top="1134" w:right="1191" w:bottom="1134" w:left="1304" w:header="964" w:footer="992" w:gutter="0"/>
          <w:pgNumType w:fmt="numberInDash"/>
          <w:cols w:space="720" w:num="1"/>
          <w:docGrid w:linePitch="312" w:charSpace="0"/>
        </w:sectPr>
      </w:pPr>
    </w:p>
    <w:p>
      <w:pPr>
        <w:pStyle w:val="4"/>
        <w:spacing w:before="0" w:after="0" w:line="560" w:lineRule="exact"/>
        <w:jc w:val="center"/>
        <w:rPr>
          <w:rFonts w:ascii="黑体" w:hAnsi="黑体"/>
          <w:b w:val="0"/>
          <w:color w:val="auto"/>
          <w:sz w:val="44"/>
          <w:szCs w:val="44"/>
          <w:highlight w:val="none"/>
        </w:rPr>
      </w:pPr>
      <w:bookmarkStart w:id="57" w:name="_Toc7126"/>
      <w:r>
        <w:rPr>
          <w:rFonts w:hint="eastAsia" w:ascii="黑体" w:hAnsi="黑体"/>
          <w:b w:val="0"/>
          <w:color w:val="auto"/>
          <w:sz w:val="44"/>
          <w:szCs w:val="44"/>
          <w:highlight w:val="none"/>
        </w:rPr>
        <w:t>第四篇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谈判项目服务需求</w:t>
      </w:r>
      <w:bookmarkEnd w:id="57"/>
    </w:p>
    <w:bookmarkEnd w:id="50"/>
    <w:p>
      <w:pPr>
        <w:jc w:val="center"/>
        <w:rPr>
          <w:color w:val="auto"/>
          <w:highlight w:val="none"/>
        </w:rPr>
      </w:pPr>
    </w:p>
    <w:p>
      <w:pPr>
        <w:pStyle w:val="5"/>
        <w:spacing w:before="0" w:after="0" w:line="560" w:lineRule="exact"/>
        <w:ind w:firstLine="560" w:firstLineChars="200"/>
        <w:rPr>
          <w:rFonts w:ascii="方正仿宋_GBK" w:hAnsi="宋体" w:eastAsia="方正仿宋_GBK"/>
          <w:b w:val="0"/>
          <w:color w:val="auto"/>
          <w:sz w:val="28"/>
          <w:szCs w:val="28"/>
          <w:highlight w:val="none"/>
        </w:rPr>
      </w:pPr>
      <w:bookmarkStart w:id="58" w:name="_Toc535312153"/>
      <w:bookmarkStart w:id="59" w:name="_Toc344475120"/>
      <w:bookmarkStart w:id="60" w:name="_Toc13424"/>
      <w:bookmarkStart w:id="61" w:name="_Toc11641055"/>
      <w:bookmarkStart w:id="62" w:name="_Toc12789059"/>
      <w:r>
        <w:rPr>
          <w:rFonts w:hint="eastAsia" w:ascii="方正仿宋_GBK" w:hAnsi="宋体" w:eastAsia="方正仿宋_GBK"/>
          <w:b w:val="0"/>
          <w:color w:val="auto"/>
          <w:sz w:val="28"/>
          <w:szCs w:val="28"/>
          <w:highlight w:val="none"/>
        </w:rPr>
        <w:t>一、交货时间、地点及验收方式</w:t>
      </w:r>
      <w:bookmarkEnd w:id="58"/>
      <w:bookmarkEnd w:id="59"/>
      <w:bookmarkEnd w:id="60"/>
    </w:p>
    <w:p>
      <w:pPr>
        <w:pStyle w:val="33"/>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（一）交货时间</w:t>
      </w:r>
    </w:p>
    <w:p>
      <w:pPr>
        <w:pStyle w:val="33"/>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中标人应在发布中标通知后</w:t>
      </w:r>
      <w:r>
        <w:rPr>
          <w:rFonts w:ascii="方正仿宋_GBK" w:hAnsi="宋体" w:eastAsia="方正仿宋_GBK"/>
          <w:color w:val="auto"/>
          <w:szCs w:val="28"/>
          <w:highlight w:val="none"/>
        </w:rPr>
        <w:t>30</w:t>
      </w:r>
      <w:r>
        <w:rPr>
          <w:rFonts w:hint="eastAsia" w:ascii="方正仿宋_GBK" w:hAnsi="宋体" w:eastAsia="方正仿宋_GBK"/>
          <w:color w:val="auto"/>
          <w:szCs w:val="28"/>
          <w:highlight w:val="none"/>
        </w:rPr>
        <w:t>个日历日内交货，并完成安装调试。</w:t>
      </w:r>
    </w:p>
    <w:p>
      <w:pPr>
        <w:pStyle w:val="33"/>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（二）交货地点</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交货地点：重庆医科大学，采购人指定地点。</w:t>
      </w:r>
    </w:p>
    <w:p>
      <w:pPr>
        <w:pStyle w:val="33"/>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（三）验收方式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供应商应保证货物到达用户所在地完好无损，如有缺漏、损坏，由供应商负责调换、补齐或赔偿。</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3.1</w:t>
      </w:r>
      <w:r>
        <w:rPr>
          <w:rFonts w:hint="eastAsia" w:ascii="方正仿宋_GBK" w:eastAsia="方正仿宋_GBK"/>
          <w:color w:val="auto"/>
          <w:szCs w:val="28"/>
          <w:highlight w:val="none"/>
        </w:rPr>
        <w:t>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w:t>
      </w:r>
      <w:r>
        <w:rPr>
          <w:rFonts w:hint="eastAsia" w:ascii="方正仿宋_GBK" w:eastAsia="方正仿宋_GBK"/>
          <w:color w:val="auto"/>
          <w:szCs w:val="28"/>
          <w:highlight w:val="none"/>
        </w:rPr>
        <w:t>货物技术资料、装箱单、合格证等资料齐全。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3.3</w:t>
      </w:r>
      <w:r>
        <w:rPr>
          <w:rFonts w:hint="eastAsia" w:ascii="方正仿宋_GBK" w:eastAsia="方正仿宋_GBK"/>
          <w:color w:val="auto"/>
          <w:szCs w:val="28"/>
          <w:highlight w:val="none"/>
        </w:rPr>
        <w:t>在规定时间内完成交货并验收，并经采购人确认。</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大型或者复杂的政府采购产品项目，采购人可邀请国家认可的质量检测机构参加验收工作。</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产品包装材料归采购人所有。</w:t>
      </w:r>
    </w:p>
    <w:p>
      <w:pPr>
        <w:pStyle w:val="5"/>
        <w:spacing w:before="0" w:after="0" w:line="560" w:lineRule="exact"/>
        <w:ind w:firstLine="560" w:firstLineChars="200"/>
        <w:rPr>
          <w:rFonts w:ascii="方正仿宋_GBK" w:eastAsia="方正仿宋_GBK"/>
          <w:b w:val="0"/>
          <w:color w:val="auto"/>
          <w:sz w:val="28"/>
          <w:szCs w:val="28"/>
          <w:highlight w:val="none"/>
        </w:rPr>
      </w:pPr>
      <w:bookmarkStart w:id="63" w:name="_Toc4628"/>
      <w:bookmarkStart w:id="64" w:name="_Toc344475121"/>
      <w:r>
        <w:rPr>
          <w:rFonts w:hint="eastAsia" w:ascii="方正仿宋_GBK" w:eastAsia="方正仿宋_GBK"/>
          <w:b w:val="0"/>
          <w:color w:val="auto"/>
          <w:sz w:val="28"/>
          <w:szCs w:val="28"/>
          <w:highlight w:val="none"/>
        </w:rPr>
        <w:t>二、质量保证及售后服务</w:t>
      </w:r>
      <w:bookmarkEnd w:id="63"/>
      <w:bookmarkEnd w:id="64"/>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（一）产品质量保证期</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自合同签订之日起，提供壹年的质保期。</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采购货物属于国家规定“三包”范围的，其产品质量保证期不得低于“三包”规定。</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供应商的质量保证期承诺优于国家“三包”规定的，按供应商实际承诺执行。</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（二）售后服务内容</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供应商和制造商在质量保证期内应当为采购人提供以下技术支持服务：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质量保证期内服务要求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电话咨询</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现场响应</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用户遇到使用及技术问题，电话咨询不能解决的，成交供应商或制造商应在接到电话后，</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小时响应，</w:t>
      </w:r>
      <w:r>
        <w:rPr>
          <w:rFonts w:ascii="方正仿宋_GBK" w:hAnsi="宋体" w:eastAsia="方正仿宋_GBK"/>
          <w:color w:val="auto"/>
          <w:szCs w:val="28"/>
          <w:highlight w:val="none"/>
        </w:rPr>
        <w:t>12</w:t>
      </w:r>
      <w:r>
        <w:rPr>
          <w:rFonts w:hint="eastAsia" w:ascii="方正仿宋_GBK" w:hAnsi="宋体" w:eastAsia="方正仿宋_GBK"/>
          <w:color w:val="auto"/>
          <w:szCs w:val="28"/>
          <w:highlight w:val="none"/>
        </w:rPr>
        <w:t>小时内到位，重大紧急情况</w:t>
      </w:r>
      <w:r>
        <w:rPr>
          <w:rFonts w:ascii="方正仿宋_GBK" w:hAnsi="宋体" w:eastAsia="方正仿宋_GBK"/>
          <w:color w:val="auto"/>
          <w:szCs w:val="28"/>
          <w:highlight w:val="none"/>
        </w:rPr>
        <w:t>3</w:t>
      </w:r>
      <w:r>
        <w:rPr>
          <w:rFonts w:hint="eastAsia" w:ascii="方正仿宋_GBK" w:hAnsi="宋体" w:eastAsia="方正仿宋_GBK"/>
          <w:color w:val="auto"/>
          <w:szCs w:val="28"/>
          <w:highlight w:val="none"/>
        </w:rPr>
        <w:t>小时内应到位，及时提供技术支持，保障设备正常运行。</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1.3</w:t>
      </w:r>
      <w:r>
        <w:rPr>
          <w:rFonts w:hint="eastAsia" w:ascii="方正仿宋_GBK" w:eastAsia="方正仿宋_GBK"/>
          <w:color w:val="auto"/>
          <w:szCs w:val="28"/>
          <w:highlight w:val="none"/>
        </w:rPr>
        <w:t>技术升级</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质保期外服务要求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2.1</w:t>
      </w:r>
      <w:r>
        <w:rPr>
          <w:rFonts w:hint="eastAsia" w:ascii="方正仿宋_GBK" w:eastAsia="方正仿宋_GBK"/>
          <w:color w:val="auto"/>
          <w:szCs w:val="28"/>
          <w:highlight w:val="none"/>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2.2</w:t>
      </w:r>
      <w:r>
        <w:rPr>
          <w:rFonts w:hint="eastAsia" w:ascii="方正仿宋_GBK" w:eastAsia="方正仿宋_GBK"/>
          <w:color w:val="auto"/>
          <w:szCs w:val="28"/>
          <w:highlight w:val="none"/>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（三）故障响应时间要求</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供应商接到使用方产品出现问题的通知后，</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小时响应，</w:t>
      </w:r>
      <w:r>
        <w:rPr>
          <w:rFonts w:ascii="方正仿宋_GBK" w:hAnsi="宋体" w:eastAsia="方正仿宋_GBK"/>
          <w:color w:val="auto"/>
          <w:szCs w:val="28"/>
          <w:highlight w:val="none"/>
        </w:rPr>
        <w:t>12</w:t>
      </w:r>
      <w:r>
        <w:rPr>
          <w:rFonts w:hint="eastAsia" w:ascii="方正仿宋_GBK" w:hAnsi="宋体" w:eastAsia="方正仿宋_GBK"/>
          <w:color w:val="auto"/>
          <w:szCs w:val="28"/>
          <w:highlight w:val="none"/>
        </w:rPr>
        <w:t>小时内到位，重大紧急情况</w:t>
      </w:r>
      <w:r>
        <w:rPr>
          <w:rFonts w:ascii="方正仿宋_GBK" w:hAnsi="宋体" w:eastAsia="方正仿宋_GBK"/>
          <w:color w:val="auto"/>
          <w:szCs w:val="28"/>
          <w:highlight w:val="none"/>
        </w:rPr>
        <w:t>3</w:t>
      </w:r>
      <w:r>
        <w:rPr>
          <w:rFonts w:hint="eastAsia" w:ascii="方正仿宋_GBK" w:hAnsi="宋体" w:eastAsia="方正仿宋_GBK"/>
          <w:color w:val="auto"/>
          <w:szCs w:val="28"/>
          <w:highlight w:val="none"/>
        </w:rPr>
        <w:t>小时内应到位，及时排除故障，保障设备安全运行。</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（四）维修配件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成交供应商或制造商应提供备品备件，保证用户应急所需。使用的维修零配件应为原厂配件，未经用户同意不得使用非原厂配件。</w:t>
      </w:r>
    </w:p>
    <w:p>
      <w:pPr>
        <w:pStyle w:val="5"/>
        <w:spacing w:before="0" w:after="0" w:line="560" w:lineRule="exact"/>
        <w:ind w:firstLine="560" w:firstLineChars="200"/>
        <w:rPr>
          <w:rFonts w:ascii="方正仿宋_GBK" w:eastAsia="方正仿宋_GBK"/>
          <w:b w:val="0"/>
          <w:color w:val="auto"/>
          <w:sz w:val="28"/>
          <w:szCs w:val="28"/>
          <w:highlight w:val="none"/>
        </w:rPr>
      </w:pPr>
      <w:bookmarkStart w:id="65" w:name="_Toc3134"/>
      <w:bookmarkStart w:id="66" w:name="_Toc344475122"/>
      <w:r>
        <w:rPr>
          <w:rFonts w:hint="eastAsia" w:ascii="方正仿宋_GBK" w:eastAsia="方正仿宋_GBK"/>
          <w:b w:val="0"/>
          <w:color w:val="auto"/>
          <w:sz w:val="28"/>
          <w:szCs w:val="28"/>
          <w:highlight w:val="none"/>
        </w:rPr>
        <w:t>三、报价要求</w:t>
      </w:r>
      <w:bookmarkEnd w:id="65"/>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谈判报价</w:t>
      </w:r>
      <w:r>
        <w:rPr>
          <w:rFonts w:hint="eastAsia" w:ascii="方正仿宋_GBK" w:eastAsia="方正仿宋_GBK" w:cs="宋体"/>
          <w:color w:val="auto"/>
          <w:kern w:val="0"/>
          <w:szCs w:val="28"/>
          <w:highlight w:val="none"/>
        </w:rPr>
        <w:t>须为人民币报价</w:t>
      </w:r>
      <w:r>
        <w:rPr>
          <w:rFonts w:hint="eastAsia" w:ascii="方正仿宋_GBK" w:eastAsia="方正仿宋_GBK"/>
          <w:color w:val="auto"/>
          <w:szCs w:val="28"/>
          <w:highlight w:val="none"/>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四、付款方式</w:t>
      </w:r>
      <w:bookmarkEnd w:id="66"/>
    </w:p>
    <w:p>
      <w:pPr>
        <w:spacing w:line="560" w:lineRule="exact"/>
        <w:ind w:firstLine="560" w:firstLineChars="200"/>
        <w:rPr>
          <w:rFonts w:ascii="方正仿宋_GBK" w:eastAsia="方正仿宋_GBK"/>
          <w:color w:val="auto"/>
          <w:szCs w:val="28"/>
          <w:highlight w:val="none"/>
        </w:rPr>
      </w:pPr>
      <w:bookmarkStart w:id="67" w:name="_Toc344475123"/>
      <w:r>
        <w:rPr>
          <w:rFonts w:hint="eastAsia" w:ascii="方正仿宋_GBK" w:eastAsia="方正仿宋_GBK"/>
          <w:color w:val="auto"/>
          <w:szCs w:val="28"/>
          <w:highlight w:val="none"/>
        </w:rPr>
        <w:t>（一）合同签订前，中标人向采购人缴纳合同金额</w:t>
      </w:r>
      <w:r>
        <w:rPr>
          <w:rFonts w:ascii="方正仿宋_GBK" w:eastAsia="方正仿宋_GBK"/>
          <w:color w:val="auto"/>
          <w:szCs w:val="28"/>
          <w:highlight w:val="none"/>
        </w:rPr>
        <w:t>5%</w:t>
      </w:r>
      <w:r>
        <w:rPr>
          <w:rFonts w:hint="eastAsia" w:ascii="方正仿宋_GBK" w:eastAsia="方正仿宋_GBK"/>
          <w:color w:val="auto"/>
          <w:szCs w:val="28"/>
          <w:highlight w:val="none"/>
        </w:rPr>
        <w:t>的履约保证金；</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（二）中标人按合同约定交货，经验收合格后，采购人出具项目验收报告；</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（三）中标人向采购人开具发票，采购人以转账方式向中标人支付合同全款。</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（四）履约保证金在质保期届满后，无廉政、无质量及售后服务问题时，无息退还。</w:t>
      </w:r>
    </w:p>
    <w:p>
      <w:pPr>
        <w:pStyle w:val="5"/>
        <w:spacing w:before="0" w:after="0" w:line="560" w:lineRule="exact"/>
        <w:ind w:firstLine="560" w:firstLineChars="200"/>
        <w:rPr>
          <w:rFonts w:ascii="方正仿宋_GBK" w:eastAsia="方正仿宋_GBK"/>
          <w:b w:val="0"/>
          <w:color w:val="auto"/>
          <w:sz w:val="28"/>
          <w:szCs w:val="28"/>
          <w:highlight w:val="none"/>
        </w:rPr>
      </w:pPr>
      <w:bookmarkStart w:id="68" w:name="_Toc2095"/>
      <w:r>
        <w:rPr>
          <w:rFonts w:hint="eastAsia" w:ascii="方正仿宋_GBK" w:eastAsia="方正仿宋_GBK"/>
          <w:b w:val="0"/>
          <w:color w:val="auto"/>
          <w:sz w:val="28"/>
          <w:szCs w:val="28"/>
          <w:highlight w:val="none"/>
        </w:rPr>
        <w:t>五、知识产权</w:t>
      </w:r>
      <w:bookmarkEnd w:id="67"/>
      <w:bookmarkEnd w:id="68"/>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注：（若涉及软件开发等服务类项目知识产权的，知识产权归采购人所有）。</w:t>
      </w:r>
    </w:p>
    <w:p>
      <w:pPr>
        <w:pStyle w:val="5"/>
        <w:spacing w:before="0" w:after="0" w:line="560" w:lineRule="exact"/>
        <w:ind w:firstLine="560" w:firstLineChars="200"/>
        <w:rPr>
          <w:rFonts w:ascii="方正仿宋_GBK" w:eastAsia="方正仿宋_GBK"/>
          <w:b w:val="0"/>
          <w:color w:val="auto"/>
          <w:sz w:val="28"/>
          <w:szCs w:val="28"/>
          <w:highlight w:val="none"/>
        </w:rPr>
      </w:pPr>
      <w:bookmarkStart w:id="69" w:name="_Toc344475124"/>
      <w:bookmarkStart w:id="70" w:name="_Toc10747"/>
      <w:r>
        <w:rPr>
          <w:rFonts w:hint="eastAsia" w:ascii="方正仿宋_GBK" w:eastAsia="方正仿宋_GBK"/>
          <w:b w:val="0"/>
          <w:color w:val="auto"/>
          <w:sz w:val="28"/>
          <w:szCs w:val="28"/>
          <w:highlight w:val="none"/>
        </w:rPr>
        <w:t>六、培训</w:t>
      </w:r>
      <w:bookmarkEnd w:id="69"/>
      <w:bookmarkEnd w:id="70"/>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成交供应商须提供对设备的操作培训，使相关使用人员能够正常操作相关设备。</w:t>
      </w:r>
    </w:p>
    <w:p>
      <w:pPr>
        <w:pStyle w:val="5"/>
        <w:spacing w:before="0" w:after="0" w:line="560" w:lineRule="exact"/>
        <w:ind w:firstLine="560" w:firstLineChars="200"/>
        <w:rPr>
          <w:rFonts w:ascii="方正仿宋_GBK" w:eastAsia="方正仿宋_GBK"/>
          <w:b w:val="0"/>
          <w:color w:val="auto"/>
          <w:sz w:val="28"/>
          <w:szCs w:val="28"/>
          <w:highlight w:val="none"/>
        </w:rPr>
      </w:pPr>
      <w:bookmarkStart w:id="71" w:name="_Toc17644"/>
      <w:r>
        <w:rPr>
          <w:rFonts w:hint="eastAsia" w:ascii="方正仿宋_GBK" w:eastAsia="方正仿宋_GBK"/>
          <w:b w:val="0"/>
          <w:color w:val="auto"/>
          <w:sz w:val="28"/>
          <w:szCs w:val="28"/>
          <w:highlight w:val="none"/>
        </w:rPr>
        <w:t>七、</w:t>
      </w:r>
      <w:bookmarkStart w:id="72" w:name="_Toc344475125"/>
      <w:r>
        <w:rPr>
          <w:rFonts w:hint="eastAsia" w:ascii="方正仿宋_GBK" w:eastAsia="方正仿宋_GBK"/>
          <w:b w:val="0"/>
          <w:color w:val="auto"/>
          <w:sz w:val="28"/>
          <w:szCs w:val="28"/>
          <w:highlight w:val="none"/>
        </w:rPr>
        <w:t>其他</w:t>
      </w:r>
      <w:bookmarkEnd w:id="71"/>
    </w:p>
    <w:bookmarkEnd w:id="72"/>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（二）其他未尽事宜由供需双方在采购合同中详细约定。</w:t>
      </w:r>
    </w:p>
    <w:p>
      <w:pPr>
        <w:pStyle w:val="4"/>
        <w:spacing w:before="0" w:after="0" w:line="560" w:lineRule="exact"/>
        <w:jc w:val="center"/>
        <w:rPr>
          <w:rFonts w:ascii="黑体"/>
          <w:b w:val="0"/>
          <w:color w:val="auto"/>
          <w:sz w:val="44"/>
          <w:szCs w:val="44"/>
          <w:highlight w:val="none"/>
        </w:rPr>
      </w:pPr>
      <w:r>
        <w:rPr>
          <w:rFonts w:ascii="方正仿宋_GBK" w:hAnsi="宋体" w:eastAsia="方正仿宋_GBK"/>
          <w:b w:val="0"/>
          <w:color w:val="auto"/>
          <w:sz w:val="28"/>
          <w:szCs w:val="28"/>
          <w:highlight w:val="none"/>
        </w:rPr>
        <w:br w:type="page"/>
      </w:r>
      <w:bookmarkStart w:id="73" w:name="_Toc28557"/>
      <w:r>
        <w:rPr>
          <w:rFonts w:hint="eastAsia" w:ascii="黑体" w:hAnsi="黑体"/>
          <w:b w:val="0"/>
          <w:color w:val="auto"/>
          <w:sz w:val="44"/>
          <w:szCs w:val="44"/>
          <w:highlight w:val="none"/>
        </w:rPr>
        <w:t>第五篇</w:t>
      </w:r>
      <w:r>
        <w:rPr>
          <w:rFonts w:ascii="黑体" w:hAnsi="黑体"/>
          <w:b w:val="0"/>
          <w:color w:val="auto"/>
          <w:sz w:val="44"/>
          <w:szCs w:val="44"/>
          <w:highlight w:val="none"/>
        </w:rPr>
        <w:t xml:space="preserve">  </w:t>
      </w:r>
      <w:bookmarkEnd w:id="61"/>
      <w:bookmarkEnd w:id="62"/>
      <w:r>
        <w:rPr>
          <w:rFonts w:hint="eastAsia" w:ascii="黑体" w:hAnsi="黑体"/>
          <w:b w:val="0"/>
          <w:color w:val="auto"/>
          <w:sz w:val="44"/>
          <w:szCs w:val="44"/>
          <w:highlight w:val="none"/>
        </w:rPr>
        <w:t>合同草案条款</w:t>
      </w:r>
      <w:bookmarkEnd w:id="73"/>
    </w:p>
    <w:p>
      <w:pPr>
        <w:snapToGrid w:val="0"/>
        <w:spacing w:line="560" w:lineRule="exact"/>
        <w:ind w:firstLine="420" w:firstLineChars="150"/>
        <w:rPr>
          <w:rFonts w:ascii="方正仿宋_GBK" w:eastAsia="方正仿宋_GBK"/>
          <w:bCs/>
          <w:color w:val="auto"/>
          <w:szCs w:val="28"/>
          <w:highlight w:val="none"/>
        </w:rPr>
      </w:pP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一、定义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二、货物内容</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三、合同价格</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（一）合同价格即合同总价。</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（三）合同货物单价为不变价。</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四、转包或分包</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五、质量保证及售后服务</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1.</w:t>
      </w:r>
      <w:r>
        <w:rPr>
          <w:rFonts w:hint="eastAsia" w:ascii="方正仿宋_GBK" w:eastAsia="方正仿宋_GBK"/>
          <w:bCs/>
          <w:color w:val="auto"/>
          <w:szCs w:val="28"/>
          <w:highlight w:val="none"/>
        </w:rPr>
        <w:t>更换：由乙方承担所发生的全部费用。</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2.</w:t>
      </w:r>
      <w:r>
        <w:rPr>
          <w:rFonts w:hint="eastAsia" w:ascii="方正仿宋_GBK" w:eastAsia="方正仿宋_GBK"/>
          <w:bCs/>
          <w:color w:val="auto"/>
          <w:szCs w:val="28"/>
          <w:highlight w:val="none"/>
        </w:rPr>
        <w:t>贬值处理：由甲乙双方合议定价。</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3.</w:t>
      </w:r>
      <w:r>
        <w:rPr>
          <w:rFonts w:hint="eastAsia" w:ascii="方正仿宋_GBK" w:eastAsia="方正仿宋_GBK"/>
          <w:bCs/>
          <w:color w:val="auto"/>
          <w:szCs w:val="28"/>
          <w:highlight w:val="none"/>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（三）如在使用过程中发生质量问题，乙方应同本项目“第四篇</w:t>
      </w:r>
      <w:r>
        <w:rPr>
          <w:rFonts w:ascii="方正仿宋_GBK" w:eastAsia="方正仿宋_GBK"/>
          <w:bCs/>
          <w:color w:val="auto"/>
          <w:szCs w:val="28"/>
          <w:highlight w:val="none"/>
        </w:rPr>
        <w:t xml:space="preserve"> </w:t>
      </w:r>
      <w:r>
        <w:rPr>
          <w:rFonts w:hint="eastAsia" w:ascii="方正仿宋_GBK" w:eastAsia="方正仿宋_GBK"/>
          <w:bCs/>
          <w:color w:val="auto"/>
          <w:szCs w:val="28"/>
          <w:highlight w:val="none"/>
        </w:rPr>
        <w:t>谈判项目服务需求”对质量保证及售后服务内容的约定。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六、付款</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（一）本合同使用货币币制如未作特别说明均为人民币。</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（二）付款方式：银行转账、现金支票。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（三）付款方法：同本项目“第四篇</w:t>
      </w:r>
      <w:r>
        <w:rPr>
          <w:rFonts w:ascii="方正仿宋_GBK" w:eastAsia="方正仿宋_GBK"/>
          <w:bCs/>
          <w:color w:val="auto"/>
          <w:szCs w:val="28"/>
          <w:highlight w:val="none"/>
        </w:rPr>
        <w:t xml:space="preserve"> </w:t>
      </w:r>
      <w:r>
        <w:rPr>
          <w:rFonts w:hint="eastAsia" w:ascii="方正仿宋_GBK" w:eastAsia="方正仿宋_GBK"/>
          <w:bCs/>
          <w:color w:val="auto"/>
          <w:szCs w:val="28"/>
          <w:highlight w:val="none"/>
        </w:rPr>
        <w:t>谈判项目服务需求”中关于付款方式的约定。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七、检查验收</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auto"/>
          <w:szCs w:val="28"/>
          <w:highlight w:val="none"/>
        </w:rPr>
      </w:pP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（二）货物验收</w:t>
      </w:r>
    </w:p>
    <w:p>
      <w:pPr>
        <w:adjustRightInd w:val="0"/>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八、索赔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九、知识产权</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十、合同争议的解决</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（一）当事人友好协商达成一致</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（二）在</w:t>
      </w:r>
      <w:r>
        <w:rPr>
          <w:rFonts w:ascii="方正仿宋_GBK" w:eastAsia="方正仿宋_GBK"/>
          <w:bCs/>
          <w:color w:val="auto"/>
          <w:szCs w:val="28"/>
          <w:highlight w:val="none"/>
        </w:rPr>
        <w:t>60</w:t>
      </w:r>
      <w:r>
        <w:rPr>
          <w:rFonts w:hint="eastAsia" w:ascii="方正仿宋_GBK" w:eastAsia="方正仿宋_GBK"/>
          <w:bCs/>
          <w:color w:val="auto"/>
          <w:szCs w:val="28"/>
          <w:highlight w:val="none"/>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十一、违约责任</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十二、合同生效及其它</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（五）本合同条件未尽事宜依照《中华人民共和国民法典》，由供需双方共同协商确定。</w:t>
      </w:r>
    </w:p>
    <w:p>
      <w:pPr>
        <w:snapToGrid w:val="0"/>
        <w:spacing w:line="560" w:lineRule="exact"/>
        <w:ind w:firstLine="570"/>
        <w:rPr>
          <w:rFonts w:ascii="方正仿宋_GBK" w:eastAsia="方正仿宋_GBK"/>
          <w:color w:val="auto"/>
          <w:szCs w:val="28"/>
          <w:highlight w:val="none"/>
        </w:rPr>
        <w:sectPr>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auto"/>
          <w:szCs w:val="28"/>
          <w:highlight w:val="none"/>
        </w:rPr>
      </w:pPr>
      <w:bookmarkStart w:id="74" w:name="_Toc303945820"/>
      <w:bookmarkStart w:id="75" w:name="_Toc148265480"/>
      <w:r>
        <w:rPr>
          <w:rFonts w:hint="eastAsia" w:ascii="方正仿宋_GBK" w:eastAsia="方正仿宋_GBK"/>
          <w:color w:val="auto"/>
          <w:szCs w:val="28"/>
          <w:highlight w:val="none"/>
        </w:rPr>
        <w:t>附页：合同格式</w:t>
      </w:r>
      <w:bookmarkEnd w:id="74"/>
      <w:bookmarkEnd w:id="75"/>
    </w:p>
    <w:p>
      <w:pPr>
        <w:tabs>
          <w:tab w:val="left" w:pos="9000"/>
        </w:tabs>
        <w:spacing w:line="560" w:lineRule="exact"/>
        <w:jc w:val="center"/>
        <w:rPr>
          <w:rFonts w:ascii="方正仿宋_GBK" w:eastAsia="方正仿宋_GBK"/>
          <w:color w:val="auto"/>
          <w:szCs w:val="28"/>
          <w:highlight w:val="none"/>
        </w:rPr>
      </w:pPr>
    </w:p>
    <w:p>
      <w:pPr>
        <w:spacing w:line="560" w:lineRule="exact"/>
        <w:jc w:val="center"/>
        <w:rPr>
          <w:rFonts w:hint="eastAsia" w:ascii="方正仿宋_GBK" w:hAnsi="宋体" w:eastAsia="方正仿宋_GBK"/>
          <w:color w:val="auto"/>
          <w:sz w:val="32"/>
          <w:szCs w:val="32"/>
          <w:highlight w:val="none"/>
          <w:u w:val="single"/>
        </w:rPr>
      </w:pPr>
      <w:r>
        <w:rPr>
          <w:rFonts w:ascii="方正仿宋_GBK" w:hAnsi="宋体" w:eastAsia="方正仿宋_GBK"/>
          <w:color w:val="auto"/>
          <w:szCs w:val="28"/>
          <w:highlight w:val="none"/>
        </w:rPr>
        <w:t xml:space="preserve"> </w:t>
      </w:r>
      <w:r>
        <w:rPr>
          <w:rFonts w:ascii="方正仿宋_GBK" w:hAnsi="宋体" w:eastAsia="方正仿宋_GBK"/>
          <w:color w:val="auto"/>
          <w:sz w:val="32"/>
          <w:szCs w:val="32"/>
          <w:highlight w:val="none"/>
        </w:rPr>
        <w:t xml:space="preserve"> </w:t>
      </w:r>
      <w:bookmarkStart w:id="76" w:name="_Toc12789072"/>
      <w:r>
        <w:rPr>
          <w:rFonts w:hint="eastAsia" w:ascii="方正仿宋_GBK" w:hAnsi="宋体" w:eastAsia="方正仿宋_GBK"/>
          <w:color w:val="auto"/>
          <w:sz w:val="32"/>
          <w:szCs w:val="32"/>
          <w:highlight w:val="none"/>
        </w:rPr>
        <w:t>合同编号：</w:t>
      </w:r>
      <w:r>
        <w:rPr>
          <w:rFonts w:hint="eastAsia" w:ascii="方正仿宋_GBK" w:hAnsi="宋体" w:eastAsia="方正仿宋_GBK"/>
          <w:color w:val="auto"/>
          <w:sz w:val="32"/>
          <w:szCs w:val="32"/>
          <w:highlight w:val="none"/>
          <w:u w:val="single"/>
        </w:rPr>
        <w:t xml:space="preserve">         </w:t>
      </w:r>
    </w:p>
    <w:p>
      <w:pPr>
        <w:spacing w:line="560" w:lineRule="exact"/>
        <w:jc w:val="center"/>
        <w:rPr>
          <w:rFonts w:hint="eastAsia" w:ascii="方正仿宋_GBK" w:hAnsi="宋体" w:eastAsia="方正仿宋_GBK"/>
          <w:color w:val="auto"/>
          <w:sz w:val="32"/>
          <w:szCs w:val="32"/>
          <w:highlight w:val="none"/>
        </w:rPr>
      </w:pPr>
      <w:r>
        <w:rPr>
          <w:rFonts w:hint="eastAsia" w:ascii="方正仿宋_GBK" w:hAnsi="宋体" w:eastAsia="方正仿宋_GBK"/>
          <w:color w:val="auto"/>
          <w:sz w:val="32"/>
          <w:szCs w:val="32"/>
          <w:highlight w:val="none"/>
        </w:rPr>
        <w:t xml:space="preserve">                               </w:t>
      </w:r>
      <w:r>
        <w:rPr>
          <w:rFonts w:hint="eastAsia" w:ascii="方正仿宋_GBK" w:hAnsi="楷体" w:eastAsia="方正仿宋_GBK"/>
          <w:color w:val="auto"/>
          <w:sz w:val="32"/>
          <w:szCs w:val="32"/>
          <w:highlight w:val="none"/>
        </w:rPr>
        <w:sym w:font="Wingdings 2" w:char="00A3"/>
      </w:r>
      <w:r>
        <w:rPr>
          <w:rFonts w:hint="eastAsia" w:ascii="方正仿宋_GBK" w:hAnsi="宋体" w:eastAsia="方正仿宋_GBK"/>
          <w:color w:val="auto"/>
          <w:sz w:val="32"/>
          <w:szCs w:val="32"/>
          <w:highlight w:val="none"/>
        </w:rPr>
        <w:t xml:space="preserve">正本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副本</w:t>
      </w:r>
    </w:p>
    <w:p>
      <w:pPr>
        <w:spacing w:line="560" w:lineRule="exact"/>
        <w:rPr>
          <w:rFonts w:hint="eastAsia" w:ascii="方正仿宋_GBK" w:hAnsi="宋体" w:eastAsia="方正仿宋_GBK"/>
          <w:color w:val="auto"/>
          <w:szCs w:val="28"/>
          <w:highlight w:val="none"/>
        </w:rPr>
      </w:pPr>
    </w:p>
    <w:p>
      <w:pPr>
        <w:spacing w:line="560" w:lineRule="exact"/>
        <w:rPr>
          <w:rFonts w:hint="eastAsia" w:ascii="方正仿宋_GBK" w:hAnsi="宋体" w:eastAsia="方正仿宋_GBK"/>
          <w:color w:val="auto"/>
          <w:szCs w:val="28"/>
          <w:highlight w:val="none"/>
        </w:rPr>
      </w:pPr>
    </w:p>
    <w:p>
      <w:pPr>
        <w:spacing w:line="900" w:lineRule="exact"/>
        <w:jc w:val="center"/>
        <w:rPr>
          <w:rFonts w:hint="eastAsia" w:ascii="方正小标宋简体" w:hAnsi="楷体" w:eastAsia="方正小标宋简体"/>
          <w:color w:val="auto"/>
          <w:sz w:val="72"/>
          <w:szCs w:val="72"/>
          <w:highlight w:val="none"/>
        </w:rPr>
      </w:pPr>
      <w:r>
        <w:rPr>
          <w:rFonts w:hint="eastAsia" w:ascii="方正小标宋简体" w:hAnsi="楷体" w:eastAsia="方正小标宋简体"/>
          <w:color w:val="auto"/>
          <w:sz w:val="72"/>
          <w:szCs w:val="72"/>
          <w:highlight w:val="none"/>
        </w:rPr>
        <w:t>重庆医科大学经济合同</w:t>
      </w:r>
    </w:p>
    <w:p>
      <w:pPr>
        <w:spacing w:line="640" w:lineRule="exact"/>
        <w:jc w:val="center"/>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（采购类）</w:t>
      </w:r>
    </w:p>
    <w:p>
      <w:pPr>
        <w:spacing w:line="640" w:lineRule="exact"/>
        <w:rPr>
          <w:rFonts w:hint="eastAsia" w:ascii="方正仿宋_GBK" w:hAnsi="楷体" w:eastAsia="方正仿宋_GBK"/>
          <w:color w:val="auto"/>
          <w:szCs w:val="28"/>
          <w:highlight w:val="none"/>
        </w:rPr>
      </w:pPr>
    </w:p>
    <w:p>
      <w:pPr>
        <w:spacing w:line="640" w:lineRule="exact"/>
        <w:rPr>
          <w:rFonts w:hint="eastAsia" w:ascii="方正仿宋_GBK" w:hAnsi="楷体" w:eastAsia="方正仿宋_GBK"/>
          <w:color w:val="auto"/>
          <w:szCs w:val="28"/>
          <w:highlight w:val="none"/>
        </w:rPr>
      </w:pP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合同类型：■买卖合同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建设工程合同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物业服务合同</w:t>
      </w:r>
    </w:p>
    <w:p>
      <w:pPr>
        <w:spacing w:line="640" w:lineRule="exact"/>
        <w:ind w:firstLine="2240" w:firstLineChars="7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委托合同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租赁合同 </w:t>
      </w:r>
      <w:r>
        <w:rPr>
          <w:rFonts w:ascii="方正仿宋_GBK" w:hAnsi="楷体" w:eastAsia="方正仿宋_GBK"/>
          <w:color w:val="auto"/>
          <w:sz w:val="32"/>
          <w:szCs w:val="32"/>
          <w:highlight w:val="none"/>
        </w:rPr>
        <w:t xml:space="preserve">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运输合同 </w:t>
      </w:r>
    </w:p>
    <w:p>
      <w:pPr>
        <w:spacing w:line="640" w:lineRule="exact"/>
        <w:ind w:firstLine="2240" w:firstLineChars="700"/>
        <w:rPr>
          <w:rFonts w:hint="eastAsia" w:ascii="方正仿宋_GBK" w:hAnsi="楷体" w:eastAsia="方正仿宋_GBK"/>
          <w:color w:val="auto"/>
          <w:sz w:val="32"/>
          <w:szCs w:val="32"/>
          <w:highlight w:val="none"/>
          <w:u w:val="single"/>
        </w:rPr>
      </w:pP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其它典型合同 </w:t>
      </w:r>
      <w:r>
        <w:rPr>
          <w:rFonts w:hint="eastAsia" w:ascii="方正仿宋_GBK" w:hAnsi="楷体" w:eastAsia="方正仿宋_GBK"/>
          <w:color w:val="auto"/>
          <w:sz w:val="32"/>
          <w:szCs w:val="32"/>
          <w:highlight w:val="none"/>
          <w:u w:val="single"/>
        </w:rPr>
        <w:t xml:space="preserve">             </w:t>
      </w:r>
      <w:r>
        <w:rPr>
          <w:rFonts w:ascii="方正仿宋_GBK" w:hAnsi="楷体" w:eastAsia="方正仿宋_GBK"/>
          <w:color w:val="auto"/>
          <w:sz w:val="32"/>
          <w:szCs w:val="32"/>
          <w:highlight w:val="none"/>
          <w:u w:val="single"/>
        </w:rPr>
        <w:t xml:space="preserve">            </w:t>
      </w:r>
    </w:p>
    <w:p>
      <w:pPr>
        <w:spacing w:line="640" w:lineRule="exact"/>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    项目名称：</w:t>
      </w:r>
      <w:r>
        <w:rPr>
          <w:rFonts w:hint="eastAsia" w:ascii="方正仿宋_GBK" w:hAnsi="楷体" w:eastAsia="方正仿宋_GBK"/>
          <w:color w:val="auto"/>
          <w:sz w:val="32"/>
          <w:szCs w:val="32"/>
          <w:highlight w:val="none"/>
          <w:u w:val="single"/>
        </w:rPr>
        <w:t xml:space="preserve">                                    </w:t>
      </w:r>
    </w:p>
    <w:p>
      <w:pPr>
        <w:spacing w:line="640" w:lineRule="exact"/>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              </w:t>
      </w:r>
      <w:r>
        <w:rPr>
          <w:rFonts w:hint="eastAsia" w:ascii="方正仿宋_GBK" w:hAnsi="楷体" w:eastAsia="方正仿宋_GBK"/>
          <w:color w:val="auto"/>
          <w:sz w:val="32"/>
          <w:szCs w:val="32"/>
          <w:highlight w:val="none"/>
          <w:u w:val="single"/>
        </w:rPr>
        <w:t xml:space="preserve">                                    </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合同甲方：重庆医科大学</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合同乙方：</w:t>
      </w:r>
      <w:r>
        <w:rPr>
          <w:rFonts w:hint="eastAsia" w:ascii="方正仿宋_GBK" w:hAnsi="楷体" w:eastAsia="方正仿宋_GBK"/>
          <w:color w:val="auto"/>
          <w:sz w:val="32"/>
          <w:szCs w:val="32"/>
          <w:highlight w:val="none"/>
          <w:u w:val="single"/>
        </w:rPr>
        <w:t xml:space="preserve">                    </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合同金额：人民币</w:t>
      </w:r>
      <w:r>
        <w:rPr>
          <w:rFonts w:hint="eastAsia" w:ascii="方正仿宋_GBK" w:hAnsi="楷体" w:eastAsia="方正仿宋_GBK"/>
          <w:color w:val="auto"/>
          <w:sz w:val="32"/>
          <w:szCs w:val="32"/>
          <w:highlight w:val="none"/>
          <w:u w:val="single"/>
        </w:rPr>
        <w:t xml:space="preserve">              </w:t>
      </w:r>
      <w:r>
        <w:rPr>
          <w:rFonts w:hint="eastAsia" w:ascii="方正仿宋_GBK" w:hAnsi="楷体" w:eastAsia="方正仿宋_GBK"/>
          <w:color w:val="auto"/>
          <w:sz w:val="32"/>
          <w:szCs w:val="32"/>
          <w:highlight w:val="none"/>
        </w:rPr>
        <w:t>元</w:t>
      </w:r>
    </w:p>
    <w:p>
      <w:pPr>
        <w:spacing w:line="640" w:lineRule="exact"/>
        <w:ind w:firstLine="640" w:firstLineChars="200"/>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经费项目：</w:t>
      </w:r>
      <w:r>
        <w:rPr>
          <w:rFonts w:hint="eastAsia" w:ascii="方正仿宋_GBK" w:hAnsi="楷体" w:eastAsia="方正仿宋_GBK"/>
          <w:color w:val="auto"/>
          <w:sz w:val="32"/>
          <w:szCs w:val="32"/>
          <w:highlight w:val="none"/>
          <w:u w:val="single"/>
        </w:rPr>
        <w:t xml:space="preserve">                    </w:t>
      </w:r>
    </w:p>
    <w:p>
      <w:pPr>
        <w:spacing w:line="640" w:lineRule="exact"/>
        <w:rPr>
          <w:rFonts w:hint="eastAsia" w:ascii="方正仿宋_GBK" w:hAnsi="楷体" w:eastAsia="方正仿宋_GBK"/>
          <w:color w:val="auto"/>
          <w:sz w:val="32"/>
          <w:szCs w:val="32"/>
          <w:highlight w:val="none"/>
        </w:rPr>
      </w:pPr>
    </w:p>
    <w:p>
      <w:pPr>
        <w:spacing w:line="640" w:lineRule="exact"/>
        <w:jc w:val="center"/>
        <w:rPr>
          <w:rFonts w:hint="eastAsia"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签订时间：     年   月   日</w:t>
      </w:r>
    </w:p>
    <w:p>
      <w:pPr>
        <w:rPr>
          <w:rFonts w:hint="eastAsia" w:ascii="楷体" w:hAnsi="楷体" w:eastAsia="楷体"/>
          <w:color w:val="auto"/>
          <w:sz w:val="36"/>
          <w:szCs w:val="36"/>
          <w:highlight w:val="none"/>
        </w:rPr>
      </w:pPr>
    </w:p>
    <w:p>
      <w:pPr>
        <w:spacing w:line="480" w:lineRule="exact"/>
        <w:jc w:val="center"/>
        <w:rPr>
          <w:rFonts w:hint="eastAsia" w:ascii="方正仿宋_GBK" w:hAnsi="楷体" w:eastAsia="方正仿宋_GBK"/>
          <w:color w:val="auto"/>
          <w:sz w:val="32"/>
          <w:szCs w:val="32"/>
          <w:highlight w:val="none"/>
        </w:rPr>
      </w:pPr>
    </w:p>
    <w:p>
      <w:pPr>
        <w:spacing w:line="480" w:lineRule="exact"/>
        <w:jc w:val="center"/>
        <w:rPr>
          <w:rFonts w:hint="eastAsia" w:ascii="方正仿宋_GBK" w:eastAsia="方正仿宋_GBK"/>
          <w:b/>
          <w:color w:val="auto"/>
          <w:sz w:val="44"/>
          <w:highlight w:val="none"/>
        </w:rPr>
      </w:pPr>
    </w:p>
    <w:p>
      <w:pPr>
        <w:spacing w:line="480" w:lineRule="exact"/>
        <w:jc w:val="center"/>
        <w:rPr>
          <w:rFonts w:hint="eastAsia" w:ascii="仿宋" w:hAnsi="仿宋" w:eastAsia="仿宋"/>
          <w:b/>
          <w:color w:val="auto"/>
          <w:sz w:val="44"/>
          <w:highlight w:val="none"/>
        </w:rPr>
      </w:pPr>
      <w:r>
        <w:rPr>
          <w:rFonts w:hint="eastAsia" w:ascii="方正仿宋_GBK" w:eastAsia="方正仿宋_GBK"/>
          <w:b/>
          <w:color w:val="auto"/>
          <w:sz w:val="44"/>
          <w:highlight w:val="none"/>
        </w:rPr>
        <w:t>重庆市政府采购合同</w:t>
      </w:r>
      <w:r>
        <w:rPr>
          <w:rFonts w:hint="eastAsia" w:ascii="仿宋" w:hAnsi="仿宋" w:eastAsia="仿宋"/>
          <w:b/>
          <w:color w:val="auto"/>
          <w:sz w:val="44"/>
          <w:highlight w:val="none"/>
        </w:rPr>
        <w:t>（经济合同）</w:t>
      </w:r>
    </w:p>
    <w:p>
      <w:pPr>
        <w:spacing w:line="480" w:lineRule="exact"/>
        <w:jc w:val="center"/>
        <w:rPr>
          <w:rFonts w:hint="eastAsia" w:ascii="仿宋" w:hAnsi="仿宋" w:eastAsia="仿宋"/>
          <w:color w:val="auto"/>
          <w:highlight w:val="none"/>
        </w:rPr>
      </w:pPr>
      <w:r>
        <w:rPr>
          <w:rFonts w:hint="eastAsia" w:ascii="仿宋" w:hAnsi="仿宋" w:eastAsia="仿宋"/>
          <w:color w:val="auto"/>
          <w:highlight w:val="none"/>
        </w:rPr>
        <w:t>（项目号：     ）</w:t>
      </w:r>
    </w:p>
    <w:p>
      <w:pPr>
        <w:spacing w:line="480" w:lineRule="exact"/>
        <w:rPr>
          <w:rFonts w:hint="eastAsia" w:ascii="仿宋" w:hAnsi="仿宋" w:eastAsia="仿宋"/>
          <w:color w:val="auto"/>
          <w:sz w:val="24"/>
          <w:highlight w:val="none"/>
        </w:rPr>
      </w:pPr>
      <w:r>
        <w:rPr>
          <w:rFonts w:hint="eastAsia" w:ascii="仿宋" w:hAnsi="仿宋" w:eastAsia="仿宋"/>
          <w:color w:val="auto"/>
          <w:sz w:val="24"/>
          <w:highlight w:val="none"/>
        </w:rPr>
        <w:t>甲方（需方、</w:t>
      </w:r>
      <w:r>
        <w:rPr>
          <w:rFonts w:hint="eastAsia" w:ascii="仿宋" w:hAnsi="仿宋" w:eastAsia="仿宋"/>
          <w:bCs/>
          <w:color w:val="auto"/>
          <w:sz w:val="24"/>
          <w:highlight w:val="none"/>
        </w:rPr>
        <w:t>采购人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_ _重庆医科大学_ _</w:t>
      </w:r>
      <w:r>
        <w:rPr>
          <w:rFonts w:hint="eastAsia" w:ascii="仿宋" w:hAnsi="仿宋" w:eastAsia="仿宋"/>
          <w:color w:val="auto"/>
          <w:sz w:val="24"/>
          <w:highlight w:val="none"/>
        </w:rPr>
        <w:t xml:space="preserve">       计价单位：</w:t>
      </w:r>
      <w:r>
        <w:rPr>
          <w:rFonts w:hint="eastAsia" w:ascii="仿宋" w:hAnsi="仿宋" w:eastAsia="仿宋"/>
          <w:color w:val="auto"/>
          <w:sz w:val="24"/>
          <w:highlight w:val="none"/>
          <w:u w:val="single"/>
        </w:rPr>
        <w:t>_人民币：元__</w:t>
      </w:r>
    </w:p>
    <w:p>
      <w:pPr>
        <w:spacing w:line="480" w:lineRule="exact"/>
        <w:rPr>
          <w:rFonts w:hint="eastAsia" w:ascii="仿宋" w:hAnsi="仿宋" w:eastAsia="仿宋"/>
          <w:color w:val="auto"/>
          <w:sz w:val="24"/>
          <w:highlight w:val="none"/>
        </w:rPr>
      </w:pPr>
      <w:r>
        <w:rPr>
          <w:rFonts w:hint="eastAsia" w:ascii="仿宋" w:hAnsi="仿宋" w:eastAsia="仿宋"/>
          <w:color w:val="auto"/>
          <w:sz w:val="24"/>
          <w:highlight w:val="none"/>
        </w:rPr>
        <w:t>乙方（供方、</w:t>
      </w:r>
      <w:r>
        <w:rPr>
          <w:rFonts w:hint="eastAsia" w:ascii="仿宋" w:hAnsi="仿宋" w:eastAsia="仿宋"/>
          <w:bCs/>
          <w:color w:val="auto"/>
          <w:sz w:val="24"/>
          <w:highlight w:val="none"/>
        </w:rPr>
        <w:t>中标人</w:t>
      </w:r>
      <w:r>
        <w:rPr>
          <w:rFonts w:hint="eastAsia" w:ascii="仿宋" w:hAnsi="仿宋" w:eastAsia="仿宋"/>
          <w:color w:val="auto"/>
          <w:sz w:val="24"/>
          <w:highlight w:val="none"/>
        </w:rPr>
        <w:t>）：___________________      计量单位：_____________</w:t>
      </w:r>
    </w:p>
    <w:p>
      <w:pPr>
        <w:spacing w:line="48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项目名称</w:t>
            </w:r>
          </w:p>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（货物名称）</w:t>
            </w:r>
          </w:p>
        </w:tc>
        <w:tc>
          <w:tcPr>
            <w:tcW w:w="992"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品牌规格型号</w:t>
            </w:r>
          </w:p>
        </w:tc>
        <w:tc>
          <w:tcPr>
            <w:tcW w:w="1276"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数量/单位</w:t>
            </w:r>
          </w:p>
        </w:tc>
        <w:tc>
          <w:tcPr>
            <w:tcW w:w="992"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单价（元）</w:t>
            </w:r>
          </w:p>
        </w:tc>
        <w:tc>
          <w:tcPr>
            <w:tcW w:w="851"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总价（元）</w:t>
            </w:r>
          </w:p>
        </w:tc>
        <w:tc>
          <w:tcPr>
            <w:tcW w:w="2423"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交付时间</w:t>
            </w:r>
          </w:p>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（履行时间）</w:t>
            </w:r>
          </w:p>
        </w:tc>
        <w:tc>
          <w:tcPr>
            <w:tcW w:w="1595"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交货地点</w:t>
            </w:r>
          </w:p>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hint="eastAsia" w:ascii="仿宋" w:hAnsi="仿宋" w:eastAsia="仿宋"/>
                <w:color w:val="auto"/>
                <w:sz w:val="21"/>
                <w:szCs w:val="21"/>
                <w:highlight w:val="none"/>
              </w:rPr>
            </w:pPr>
          </w:p>
        </w:tc>
        <w:tc>
          <w:tcPr>
            <w:tcW w:w="992" w:type="dxa"/>
            <w:vAlign w:val="center"/>
          </w:tcPr>
          <w:p>
            <w:pPr>
              <w:spacing w:line="300" w:lineRule="exact"/>
              <w:jc w:val="center"/>
              <w:rPr>
                <w:rFonts w:hint="eastAsia" w:ascii="仿宋" w:hAnsi="仿宋" w:eastAsia="仿宋"/>
                <w:color w:val="auto"/>
                <w:sz w:val="21"/>
                <w:szCs w:val="21"/>
                <w:highlight w:val="none"/>
              </w:rPr>
            </w:pPr>
          </w:p>
        </w:tc>
        <w:tc>
          <w:tcPr>
            <w:tcW w:w="1276" w:type="dxa"/>
            <w:vAlign w:val="center"/>
          </w:tcPr>
          <w:p>
            <w:pPr>
              <w:spacing w:line="300" w:lineRule="exact"/>
              <w:jc w:val="center"/>
              <w:rPr>
                <w:rFonts w:hint="eastAsia" w:ascii="仿宋" w:hAnsi="仿宋" w:eastAsia="仿宋"/>
                <w:color w:val="auto"/>
                <w:sz w:val="21"/>
                <w:szCs w:val="21"/>
                <w:highlight w:val="none"/>
              </w:rPr>
            </w:pPr>
          </w:p>
        </w:tc>
        <w:tc>
          <w:tcPr>
            <w:tcW w:w="992" w:type="dxa"/>
            <w:vAlign w:val="center"/>
          </w:tcPr>
          <w:p>
            <w:pPr>
              <w:spacing w:line="300" w:lineRule="exact"/>
              <w:jc w:val="center"/>
              <w:rPr>
                <w:rFonts w:hint="eastAsia" w:ascii="仿宋" w:hAnsi="仿宋" w:eastAsia="仿宋"/>
                <w:color w:val="auto"/>
                <w:sz w:val="21"/>
                <w:szCs w:val="21"/>
                <w:highlight w:val="none"/>
              </w:rPr>
            </w:pPr>
          </w:p>
        </w:tc>
        <w:tc>
          <w:tcPr>
            <w:tcW w:w="851" w:type="dxa"/>
            <w:vAlign w:val="center"/>
          </w:tcPr>
          <w:p>
            <w:pPr>
              <w:spacing w:line="300" w:lineRule="exact"/>
              <w:jc w:val="center"/>
              <w:rPr>
                <w:rFonts w:hint="eastAsia" w:ascii="仿宋" w:hAnsi="仿宋" w:eastAsia="仿宋"/>
                <w:color w:val="auto"/>
                <w:sz w:val="21"/>
                <w:szCs w:val="21"/>
                <w:highlight w:val="none"/>
              </w:rPr>
            </w:pPr>
          </w:p>
        </w:tc>
        <w:tc>
          <w:tcPr>
            <w:tcW w:w="2423" w:type="dxa"/>
            <w:vAlign w:val="center"/>
          </w:tcPr>
          <w:p>
            <w:pPr>
              <w:spacing w:line="300" w:lineRule="exac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乙方应在_____________内交货并完成安装调试</w:t>
            </w:r>
          </w:p>
        </w:tc>
        <w:tc>
          <w:tcPr>
            <w:tcW w:w="1595"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合同总价（含税）：人民币       元（大写：       圆整）。备注：</w:t>
            </w:r>
          </w:p>
          <w:p>
            <w:pPr>
              <w:spacing w:line="240" w:lineRule="atLeast"/>
              <w:jc w:val="lef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1.本项目为“交钥匙工程”，上述合同总价为“包干价”，包括但不限于：乙方为履行合同所需的</w:t>
            </w:r>
            <w:r>
              <w:rPr>
                <w:rFonts w:hint="eastAsia" w:ascii="仿宋" w:hAnsi="仿宋" w:eastAsia="仿宋"/>
                <w:color w:val="auto"/>
                <w:sz w:val="24"/>
                <w:highlight w:val="none"/>
              </w:rPr>
              <w:t>___________________</w:t>
            </w:r>
            <w:r>
              <w:rPr>
                <w:rFonts w:hint="eastAsia" w:ascii="仿宋" w:hAnsi="仿宋" w:eastAsia="仿宋"/>
                <w:color w:val="auto"/>
                <w:sz w:val="21"/>
                <w:szCs w:val="21"/>
                <w:highlight w:val="none"/>
              </w:rPr>
              <w:t>及所有税费。乙方投标时已充分考虑到所有费用，此外，甲方不额外支付任何费用。</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2.本合同商务参数详见附件1，技术参数详见附件2。甲方用户单位已逐页确认，符合其采购需求。</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（一）质保期限：</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（二）保修范围：</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（三）服务措施：</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1.质保期限内，乙方提供的货物因货物本身的质量问题发生故障，乙方应负责免费更换。对达不到技术参数要求者，甲方可根据实际情况，选择按以下第</w:t>
            </w:r>
            <w:r>
              <w:rPr>
                <w:rFonts w:hint="eastAsia" w:ascii="仿宋" w:hAnsi="仿宋" w:eastAsia="仿宋"/>
                <w:color w:val="auto"/>
                <w:sz w:val="21"/>
                <w:szCs w:val="21"/>
                <w:highlight w:val="none"/>
                <w:u w:val="single"/>
              </w:rPr>
              <w:t xml:space="preserve"> （1） </w:t>
            </w:r>
            <w:r>
              <w:rPr>
                <w:rFonts w:hint="eastAsia" w:ascii="仿宋" w:hAnsi="仿宋" w:eastAsia="仿宋"/>
                <w:color w:val="auto"/>
                <w:sz w:val="21"/>
                <w:szCs w:val="21"/>
                <w:highlight w:val="none"/>
              </w:rPr>
              <w:t>类办法处理：</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（1）更换：由乙方承担所发生的全部费用。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（2）退货处理：乙方应退还甲方支付的全部合同款，同时应承担该货物的直接费用（运输、保险、检验、货款利息及银行手续费等）。</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2.质保期限内，乙方应当及时采取以下措施，并承担所有费用：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（2）现场响应：甲方遇到使用和技术问题，电话、网络咨询不能解决的，乙方和制造商应在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小时内到达甲方现场进行处理，确保货物正常工作；到达后，无法在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小时内解决的，应当在</w:t>
            </w:r>
            <w:r>
              <w:rPr>
                <w:rFonts w:hint="eastAsia"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小时内提供符合质量标准且确保正常工作的备用品，协助甲方用户单位正常开展科研教学管理工作。</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（四）质保期后服务：</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继续提供电话或网络在线咨询：乙方和制造商应同样提供免费电话、网络咨询服务，并应承诺提供上门维护服务。</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（五）备品备件及易损件：</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二、随机备品、附件、工具数量及供应方法：</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三、交提货方式：</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（二）乙方应当在</w:t>
            </w:r>
            <w:r>
              <w:rPr>
                <w:rFonts w:hint="eastAsia" w:ascii="仿宋" w:hAnsi="仿宋" w:eastAsia="仿宋"/>
                <w:color w:val="auto"/>
                <w:sz w:val="24"/>
                <w:highlight w:val="none"/>
              </w:rPr>
              <w:t>_____________</w:t>
            </w:r>
            <w:r>
              <w:rPr>
                <w:rFonts w:hint="eastAsia" w:ascii="仿宋" w:hAnsi="仿宋" w:eastAsia="仿宋"/>
                <w:color w:val="auto"/>
                <w:sz w:val="21"/>
                <w:szCs w:val="21"/>
                <w:highlight w:val="none"/>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四、验收标准、方法：</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（一）货物到达现场后，乙方应在甲方用户单位在场的情况下当面开箱，共同清点、检查，作出开箱记录，双方签字确认。</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（二）乙方应保证货物到达甲方所在地完好无损，如有缺漏、损坏，由乙方负责调换、补齐或赔偿。</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（三）乙方应随货物提供完备的技术资料、装箱单和合格证等，并派遣专业技术人员进行现场安装调试。验收合格条件如下：</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1.货物商务参数、技术参数与本合同一致，性能指标达到规定的标准。</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2.货物技术资料、装箱单、合格证等资料齐全。</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3.在系统试运行期间所出现的问题得到解决，并运行正常。</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4.在规定时间内完成交货并验收，并经甲方确认。</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（六）大型或者复杂的政府采购产品项目，甲方应当邀请国家认可的质量检测机构参加验收工作。</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（八）产品包装材料归甲方所有。乙方负责及时将产品包装材料清运离开甲方所在地，由此产生的费用由乙方自行承担。</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如乙方对上述（一）至（八）项约定有异议，请自本合同生效后</w:t>
            </w:r>
            <w:r>
              <w:rPr>
                <w:rFonts w:hint="eastAsia" w:ascii="仿宋" w:hAnsi="仿宋" w:eastAsia="仿宋"/>
                <w:color w:val="auto"/>
                <w:sz w:val="21"/>
                <w:szCs w:val="21"/>
                <w:highlight w:val="none"/>
                <w:u w:val="single"/>
              </w:rPr>
              <w:t xml:space="preserve"> </w:t>
            </w:r>
            <w:r>
              <w:rPr>
                <w:rFonts w:ascii="仿宋" w:hAnsi="仿宋" w:eastAsia="仿宋"/>
                <w:color w:val="auto"/>
                <w:sz w:val="21"/>
                <w:szCs w:val="21"/>
                <w:highlight w:val="none"/>
                <w:u w:val="single"/>
              </w:rPr>
              <w:t xml:space="preserve">  </w:t>
            </w:r>
            <w:r>
              <w:rPr>
                <w:rFonts w:hint="eastAsia" w:ascii="仿宋" w:hAnsi="仿宋" w:eastAsia="仿宋"/>
                <w:color w:val="auto"/>
                <w:sz w:val="21"/>
                <w:szCs w:val="21"/>
                <w:highlight w:val="none"/>
              </w:rPr>
              <w:t>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五、付款方式：</w:t>
            </w:r>
          </w:p>
          <w:p>
            <w:pPr>
              <w:pStyle w:val="32"/>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（一）履约担保：中标成交结果发布后、签订本合同</w:t>
            </w:r>
            <w:r>
              <w:rPr>
                <w:rFonts w:hint="eastAsia" w:ascii="仿宋" w:hAnsi="仿宋" w:eastAsia="仿宋"/>
                <w:color w:val="auto"/>
                <w:sz w:val="21"/>
                <w:szCs w:val="21"/>
                <w:highlight w:val="none"/>
                <w:u w:val="single"/>
              </w:rPr>
              <w:t>10</w:t>
            </w:r>
            <w:r>
              <w:rPr>
                <w:rFonts w:hint="eastAsia" w:ascii="仿宋" w:hAnsi="仿宋" w:eastAsia="仿宋"/>
                <w:color w:val="auto"/>
                <w:sz w:val="21"/>
                <w:szCs w:val="21"/>
                <w:highlight w:val="none"/>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（二）乙方按采购合同交货并安装调试完成，经验收合格后由甲方出具项目验收报告。</w:t>
            </w:r>
          </w:p>
          <w:p>
            <w:pPr>
              <w:pStyle w:val="32"/>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（三）付款方法：货物</w:t>
            </w:r>
            <w:r>
              <w:rPr>
                <w:rFonts w:hint="eastAsia" w:ascii="仿宋" w:hAnsi="仿宋" w:eastAsia="仿宋"/>
                <w:color w:val="auto"/>
                <w:sz w:val="21"/>
                <w:szCs w:val="21"/>
                <w:highlight w:val="none"/>
                <w:u w:val="single"/>
              </w:rPr>
              <w:t>全部交付/分期交付</w:t>
            </w:r>
            <w:r>
              <w:rPr>
                <w:rFonts w:hint="eastAsia" w:ascii="仿宋" w:hAnsi="仿宋" w:eastAsia="仿宋"/>
                <w:color w:val="auto"/>
                <w:sz w:val="21"/>
                <w:szCs w:val="21"/>
                <w:highlight w:val="none"/>
              </w:rPr>
              <w:t>并经甲方验收合格，乙方向甲方开具等额有效的增值税专用发票（一般纳税人）后，甲方以银行转账方式按</w:t>
            </w:r>
            <w:r>
              <w:rPr>
                <w:rFonts w:hint="eastAsia" w:ascii="仿宋" w:hAnsi="仿宋" w:eastAsia="仿宋"/>
                <w:color w:val="auto"/>
                <w:sz w:val="21"/>
                <w:szCs w:val="21"/>
                <w:highlight w:val="none"/>
                <w:u w:val="single"/>
              </w:rPr>
              <w:t>本合同总价/相应款项</w:t>
            </w:r>
            <w:r>
              <w:rPr>
                <w:rFonts w:hint="eastAsia" w:ascii="仿宋" w:hAnsi="仿宋" w:eastAsia="仿宋"/>
                <w:color w:val="auto"/>
                <w:sz w:val="21"/>
                <w:szCs w:val="21"/>
                <w:highlight w:val="none"/>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（一）乙方在投标时未明确提出异议，视为完全响应甲方在本合同内的各项要求。</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（二）乙方应按本合同第一条“质量要求和技术标准”提供货物。若乙方超过</w:t>
            </w:r>
            <w:r>
              <w:rPr>
                <w:rFonts w:hint="eastAsia" w:ascii="仿宋" w:hAnsi="仿宋" w:eastAsia="仿宋"/>
                <w:color w:val="auto"/>
                <w:sz w:val="21"/>
                <w:szCs w:val="21"/>
                <w:highlight w:val="none"/>
                <w:u w:val="single"/>
              </w:rPr>
              <w:t>7</w:t>
            </w:r>
            <w:r>
              <w:rPr>
                <w:rFonts w:hint="eastAsia" w:ascii="仿宋" w:hAnsi="仿宋" w:eastAsia="仿宋"/>
                <w:color w:val="auto"/>
                <w:sz w:val="21"/>
                <w:szCs w:val="21"/>
                <w:highlight w:val="none"/>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乙方应当按第三条“交提货方式”按时交付合格货物。若乙方逾期，每延期</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个自然日应当按合同总价的</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‰向甲方支付违约金（最高不超过合同总价的</w:t>
            </w:r>
            <w:r>
              <w:rPr>
                <w:rFonts w:hint="eastAsia" w:ascii="仿宋" w:hAnsi="仿宋" w:eastAsia="仿宋"/>
                <w:color w:val="auto"/>
                <w:sz w:val="21"/>
                <w:szCs w:val="21"/>
                <w:highlight w:val="none"/>
                <w:u w:val="single"/>
              </w:rPr>
              <w:t>10</w:t>
            </w:r>
            <w:r>
              <w:rPr>
                <w:rFonts w:hint="eastAsia" w:ascii="仿宋" w:hAnsi="仿宋" w:eastAsia="仿宋"/>
                <w:color w:val="auto"/>
                <w:sz w:val="21"/>
                <w:szCs w:val="21"/>
                <w:highlight w:val="none"/>
              </w:rPr>
              <w:t>%），甲方可在乙方缴纳的履约保证金内扣除；若乙方逾期超过</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个自然日的，甲方有权解除本合同，没收全部履约保证金，并要求乙方返还甲方已支付款项；乙方赔偿甲方全部损失。</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（五）履约保证金减少的，乙方未按照甲方要求补足履约保证金的，每逾期</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个自然日，甲方有权要求乙方支付履约保证金总额</w:t>
            </w:r>
            <w:r>
              <w:rPr>
                <w:rFonts w:hint="eastAsia" w:ascii="仿宋" w:hAnsi="仿宋" w:eastAsia="仿宋"/>
                <w:color w:val="auto"/>
                <w:sz w:val="21"/>
                <w:szCs w:val="21"/>
                <w:highlight w:val="none"/>
                <w:u w:val="single"/>
              </w:rPr>
              <w:t>0.1</w:t>
            </w:r>
            <w:r>
              <w:rPr>
                <w:rFonts w:hint="eastAsia" w:ascii="仿宋" w:hAnsi="仿宋" w:eastAsia="仿宋"/>
                <w:color w:val="auto"/>
                <w:sz w:val="21"/>
                <w:szCs w:val="21"/>
                <w:highlight w:val="none"/>
              </w:rPr>
              <w:t>%的违约金；逾期超过</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个自然日，甲方有权解除合同，要求乙方支付前述违约金并没收剩余的履约保证金。</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（八）甲乙双方若不能按互谅互惠原则协商解决争议，甚至在</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个自然日内当事人协商不能达成协议，任何一方均可向重庆仲裁委员会提请仲裁。</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七、其他约定事项：</w:t>
            </w:r>
          </w:p>
          <w:p>
            <w:pPr>
              <w:spacing w:line="300" w:lineRule="exac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注：若涉及软件开发等服务类项目知识产权的，知识产权归甲方所有。</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（三）乙方对其提供产品的使用和操作应尽培训、通知、协助、保密义务。</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color w:val="auto"/>
                <w:sz w:val="21"/>
                <w:szCs w:val="21"/>
                <w:highlight w:val="none"/>
                <w:u w:val="single"/>
              </w:rPr>
              <w:t>5</w:t>
            </w:r>
            <w:r>
              <w:rPr>
                <w:rFonts w:hint="eastAsia" w:ascii="仿宋" w:hAnsi="仿宋" w:eastAsia="仿宋"/>
                <w:color w:val="auto"/>
                <w:sz w:val="21"/>
                <w:szCs w:val="21"/>
                <w:highlight w:val="none"/>
              </w:rPr>
              <w:t>个工作日内书面通知对方。如地址有误、地址变更、未及时书面通知对方而导致法律文书送达不能的，应当自行承担后果。</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（六）本合同的任何修订、变更或调整，须经甲方、乙方共同书面确认。补充协议与本合同具有同等法律效力，不一致之处，以补充协议为准。</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（七）本合同壹式陆份，甲方执正本壹份、副本肆份，乙方执正本壹份，均具备同等法律效力。</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（八）本合同自双方当事人法定代表人或委托代理人签字并加盖双方合同专用章或公章后生效。</w:t>
            </w:r>
          </w:p>
          <w:p>
            <w:pPr>
              <w:spacing w:line="240" w:lineRule="atLeast"/>
              <w:ind w:firstLine="420" w:firstLineChars="200"/>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甲方（需方）：重庆医科大学</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地址：重庆市渝中区医学院路1号</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统一社会信用代码：</w:t>
            </w:r>
            <w:r>
              <w:rPr>
                <w:rFonts w:ascii="仿宋" w:hAnsi="仿宋" w:eastAsia="仿宋"/>
                <w:color w:val="auto"/>
                <w:sz w:val="21"/>
                <w:szCs w:val="21"/>
                <w:highlight w:val="none"/>
              </w:rPr>
              <w:t>12500000450401805G</w:t>
            </w:r>
          </w:p>
          <w:p>
            <w:pPr>
              <w:spacing w:line="240" w:lineRule="atLeast"/>
              <w:rPr>
                <w:rFonts w:hint="eastAsia" w:ascii="仿宋" w:hAnsi="仿宋" w:eastAsia="仿宋"/>
                <w:color w:val="auto"/>
                <w:w w:val="90"/>
                <w:sz w:val="21"/>
                <w:szCs w:val="21"/>
                <w:highlight w:val="none"/>
              </w:rPr>
            </w:pPr>
            <w:r>
              <w:rPr>
                <w:rFonts w:hint="eastAsia" w:ascii="仿宋" w:hAnsi="仿宋" w:eastAsia="仿宋"/>
                <w:color w:val="auto"/>
                <w:w w:val="90"/>
                <w:sz w:val="21"/>
                <w:szCs w:val="21"/>
                <w:highlight w:val="none"/>
              </w:rPr>
              <w:t>开户行：中国建设银行股份有限公司重庆高新区分行</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账号：</w:t>
            </w:r>
            <w:r>
              <w:rPr>
                <w:rFonts w:ascii="仿宋" w:hAnsi="仿宋" w:eastAsia="仿宋"/>
                <w:color w:val="auto"/>
                <w:sz w:val="21"/>
                <w:szCs w:val="21"/>
                <w:highlight w:val="none"/>
              </w:rPr>
              <w:t>50001033600050008726</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法定代表人：黄爱龙（签章）</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委托代理人：</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承办部门：</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用户单位：</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联系电话：（请备注用户单位联系人电话）</w:t>
            </w:r>
          </w:p>
          <w:p>
            <w:pPr>
              <w:spacing w:line="240" w:lineRule="atLeast"/>
              <w:rPr>
                <w:rFonts w:hint="eastAsia" w:ascii="仿宋" w:hAnsi="仿宋" w:eastAsia="仿宋"/>
                <w:color w:val="auto"/>
                <w:sz w:val="21"/>
                <w:szCs w:val="21"/>
                <w:highlight w:val="none"/>
              </w:rPr>
            </w:pPr>
          </w:p>
        </w:tc>
        <w:tc>
          <w:tcPr>
            <w:tcW w:w="4872" w:type="dxa"/>
            <w:gridSpan w:val="3"/>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乙方（供方）：</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地址：</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统一社会信用代码：</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开户行：</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账号：</w:t>
            </w:r>
          </w:p>
          <w:p>
            <w:pPr>
              <w:spacing w:line="240" w:lineRule="atLeast"/>
              <w:rPr>
                <w:rFonts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 xml:space="preserve">法定代表人： </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（签章）</w:t>
            </w:r>
          </w:p>
          <w:p>
            <w:pPr>
              <w:spacing w:line="240" w:lineRule="atLeast"/>
              <w:rPr>
                <w:rFonts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委托代理人：</w:t>
            </w: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联系电话：</w:t>
            </w:r>
          </w:p>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备注：本合同请用计算机双面打印，以便于双方准确履行合同义务。</w:t>
            </w:r>
          </w:p>
        </w:tc>
      </w:tr>
    </w:tbl>
    <w:p>
      <w:pPr>
        <w:spacing w:line="5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签约地点：重庆医科大学袁家岗校区</w:t>
      </w: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60" w:lineRule="exact"/>
        <w:jc w:val="left"/>
        <w:rPr>
          <w:rFonts w:hint="eastAsia" w:ascii="方正黑体_GBK" w:hAnsi="宋体" w:eastAsia="方正黑体_GBK"/>
          <w:color w:val="auto"/>
          <w:sz w:val="32"/>
          <w:szCs w:val="32"/>
          <w:highlight w:val="none"/>
        </w:rPr>
      </w:pPr>
    </w:p>
    <w:p>
      <w:pPr>
        <w:spacing w:line="560" w:lineRule="exact"/>
        <w:jc w:val="left"/>
        <w:rPr>
          <w:rFonts w:hint="eastAsia" w:ascii="方正黑体_GBK" w:hAnsi="宋体" w:eastAsia="方正黑体_GBK"/>
          <w:color w:val="auto"/>
          <w:sz w:val="32"/>
          <w:szCs w:val="32"/>
          <w:highlight w:val="none"/>
        </w:rPr>
      </w:pPr>
      <w:r>
        <w:rPr>
          <w:rFonts w:hint="eastAsia" w:ascii="方正黑体_GBK" w:hAnsi="宋体" w:eastAsia="方正黑体_GBK"/>
          <w:color w:val="auto"/>
          <w:sz w:val="32"/>
          <w:szCs w:val="32"/>
          <w:highlight w:val="none"/>
        </w:rPr>
        <w:t>附件1</w:t>
      </w: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商务参数明细</w:t>
      </w:r>
    </w:p>
    <w:p>
      <w:pPr>
        <w:spacing w:line="560" w:lineRule="exact"/>
        <w:rPr>
          <w:rFonts w:hint="eastAsia" w:ascii="方正小标宋_GBK" w:hAnsi="方正小标宋_GBK" w:eastAsia="方正小标宋_GBK"/>
          <w:color w:val="auto"/>
          <w:sz w:val="44"/>
          <w:szCs w:val="44"/>
          <w:highlight w:val="none"/>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项目名称</w:t>
            </w:r>
          </w:p>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（货物名称）</w:t>
            </w:r>
          </w:p>
        </w:tc>
        <w:tc>
          <w:tcPr>
            <w:tcW w:w="1926"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品牌规格型号</w:t>
            </w:r>
          </w:p>
        </w:tc>
        <w:tc>
          <w:tcPr>
            <w:tcW w:w="978"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产地</w:t>
            </w:r>
          </w:p>
        </w:tc>
        <w:tc>
          <w:tcPr>
            <w:tcW w:w="1460"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数量/单位</w:t>
            </w:r>
          </w:p>
        </w:tc>
        <w:tc>
          <w:tcPr>
            <w:tcW w:w="2348"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单价（元）</w:t>
            </w:r>
          </w:p>
        </w:tc>
        <w:tc>
          <w:tcPr>
            <w:tcW w:w="1262"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hint="eastAsia" w:ascii="仿宋" w:hAnsi="仿宋" w:eastAsia="仿宋"/>
                <w:color w:val="auto"/>
                <w:sz w:val="21"/>
                <w:szCs w:val="21"/>
                <w:highlight w:val="none"/>
              </w:rPr>
            </w:pPr>
            <w:r>
              <w:rPr>
                <w:rFonts w:hint="eastAsia" w:ascii="仿宋" w:hAnsi="仿宋" w:eastAsia="仿宋"/>
                <w:color w:val="auto"/>
                <w:sz w:val="21"/>
                <w:szCs w:val="21"/>
                <w:highlight w:val="none"/>
              </w:rPr>
              <w:t>合计</w:t>
            </w:r>
          </w:p>
        </w:tc>
        <w:tc>
          <w:tcPr>
            <w:tcW w:w="1926" w:type="dxa"/>
            <w:vAlign w:val="center"/>
          </w:tcPr>
          <w:p>
            <w:pPr>
              <w:spacing w:line="240" w:lineRule="atLeast"/>
              <w:jc w:val="center"/>
              <w:rPr>
                <w:rFonts w:hint="eastAsia" w:ascii="仿宋" w:hAnsi="仿宋" w:eastAsia="仿宋"/>
                <w:color w:val="auto"/>
                <w:sz w:val="21"/>
                <w:szCs w:val="21"/>
                <w:highlight w:val="none"/>
              </w:rPr>
            </w:pPr>
          </w:p>
        </w:tc>
        <w:tc>
          <w:tcPr>
            <w:tcW w:w="978" w:type="dxa"/>
            <w:vAlign w:val="center"/>
          </w:tcPr>
          <w:p>
            <w:pPr>
              <w:spacing w:line="240" w:lineRule="atLeast"/>
              <w:jc w:val="center"/>
              <w:rPr>
                <w:rFonts w:hint="eastAsia" w:ascii="仿宋" w:hAnsi="仿宋" w:eastAsia="仿宋"/>
                <w:color w:val="auto"/>
                <w:sz w:val="21"/>
                <w:szCs w:val="21"/>
                <w:highlight w:val="none"/>
              </w:rPr>
            </w:pPr>
          </w:p>
        </w:tc>
        <w:tc>
          <w:tcPr>
            <w:tcW w:w="1460" w:type="dxa"/>
            <w:vAlign w:val="center"/>
          </w:tcPr>
          <w:p>
            <w:pPr>
              <w:spacing w:line="240" w:lineRule="atLeast"/>
              <w:jc w:val="center"/>
              <w:rPr>
                <w:rFonts w:hint="eastAsia" w:ascii="仿宋" w:hAnsi="仿宋" w:eastAsia="仿宋"/>
                <w:color w:val="auto"/>
                <w:sz w:val="21"/>
                <w:szCs w:val="21"/>
                <w:highlight w:val="none"/>
              </w:rPr>
            </w:pPr>
          </w:p>
        </w:tc>
        <w:tc>
          <w:tcPr>
            <w:tcW w:w="2348" w:type="dxa"/>
            <w:vAlign w:val="center"/>
          </w:tcPr>
          <w:p>
            <w:pPr>
              <w:spacing w:line="240" w:lineRule="atLeast"/>
              <w:jc w:val="center"/>
              <w:rPr>
                <w:rFonts w:hint="eastAsia" w:ascii="仿宋" w:hAnsi="仿宋" w:eastAsia="仿宋"/>
                <w:color w:val="auto"/>
                <w:sz w:val="21"/>
                <w:szCs w:val="21"/>
                <w:highlight w:val="none"/>
              </w:rPr>
            </w:pPr>
          </w:p>
        </w:tc>
        <w:tc>
          <w:tcPr>
            <w:tcW w:w="1262" w:type="dxa"/>
            <w:vAlign w:val="center"/>
          </w:tcPr>
          <w:p>
            <w:pPr>
              <w:spacing w:line="240" w:lineRule="atLeast"/>
              <w:jc w:val="center"/>
              <w:rPr>
                <w:rFonts w:hint="eastAsia" w:ascii="仿宋" w:hAnsi="仿宋" w:eastAsia="仿宋"/>
                <w:color w:val="auto"/>
                <w:sz w:val="21"/>
                <w:szCs w:val="21"/>
                <w:highlight w:val="none"/>
              </w:rPr>
            </w:pPr>
          </w:p>
        </w:tc>
      </w:tr>
    </w:tbl>
    <w:p>
      <w:pPr>
        <w:spacing w:line="560" w:lineRule="exact"/>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rPr>
          <w:rFonts w:ascii="方正小标宋_GBK" w:hAnsi="方正小标宋_GBK" w:eastAsia="方正小标宋_GBK"/>
          <w:color w:val="auto"/>
          <w:sz w:val="44"/>
          <w:szCs w:val="44"/>
          <w:highlight w:val="none"/>
        </w:rPr>
      </w:pPr>
    </w:p>
    <w:p>
      <w:pPr>
        <w:spacing w:line="560" w:lineRule="exact"/>
        <w:rPr>
          <w:rFonts w:hint="eastAsia" w:ascii="方正小标宋_GBK" w:hAnsi="方正小标宋_GBK" w:eastAsia="方正小标宋_GBK"/>
          <w:color w:val="auto"/>
          <w:sz w:val="44"/>
          <w:szCs w:val="44"/>
          <w:highlight w:val="none"/>
        </w:rPr>
      </w:pPr>
    </w:p>
    <w:p>
      <w:pPr>
        <w:spacing w:line="560" w:lineRule="exact"/>
        <w:jc w:val="left"/>
        <w:rPr>
          <w:rFonts w:hint="eastAsia" w:ascii="方正黑体_GBK" w:hAnsi="宋体" w:eastAsia="方正黑体_GBK"/>
          <w:color w:val="auto"/>
          <w:sz w:val="32"/>
          <w:szCs w:val="32"/>
          <w:highlight w:val="none"/>
        </w:rPr>
      </w:pPr>
    </w:p>
    <w:p>
      <w:pPr>
        <w:spacing w:line="560" w:lineRule="exact"/>
        <w:jc w:val="left"/>
        <w:rPr>
          <w:rFonts w:hint="eastAsia" w:ascii="方正黑体_GBK" w:hAnsi="宋体" w:eastAsia="方正黑体_GBK"/>
          <w:color w:val="auto"/>
          <w:sz w:val="32"/>
          <w:szCs w:val="32"/>
          <w:highlight w:val="none"/>
        </w:rPr>
      </w:pPr>
    </w:p>
    <w:p>
      <w:pPr>
        <w:spacing w:line="560" w:lineRule="exact"/>
        <w:jc w:val="left"/>
        <w:rPr>
          <w:rFonts w:hint="eastAsia" w:ascii="方正黑体_GBK" w:hAnsi="宋体" w:eastAsia="方正黑体_GBK"/>
          <w:color w:val="auto"/>
          <w:sz w:val="32"/>
          <w:szCs w:val="32"/>
          <w:highlight w:val="none"/>
        </w:rPr>
      </w:pPr>
      <w:r>
        <w:rPr>
          <w:rFonts w:hint="eastAsia" w:ascii="方正黑体_GBK" w:hAnsi="宋体" w:eastAsia="方正黑体_GBK"/>
          <w:color w:val="auto"/>
          <w:sz w:val="32"/>
          <w:szCs w:val="32"/>
          <w:highlight w:val="none"/>
        </w:rPr>
        <w:t>附件2</w:t>
      </w:r>
    </w:p>
    <w:p>
      <w:pPr>
        <w:spacing w:line="560" w:lineRule="exact"/>
        <w:rPr>
          <w:rFonts w:hint="eastAsia" w:ascii="方正小标宋_GBK" w:hAnsi="方正小标宋_GBK" w:eastAsia="方正小标宋_GBK"/>
          <w:color w:val="auto"/>
          <w:sz w:val="44"/>
          <w:szCs w:val="44"/>
          <w:highlight w:val="none"/>
        </w:rPr>
      </w:pPr>
    </w:p>
    <w:p>
      <w:pPr>
        <w:spacing w:line="560" w:lineRule="exact"/>
        <w:jc w:val="center"/>
        <w:rPr>
          <w:rFonts w:hint="eastAsia"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技术参数明细</w:t>
      </w:r>
    </w:p>
    <w:p>
      <w:pPr>
        <w:spacing w:line="560" w:lineRule="exact"/>
        <w:rPr>
          <w:rFonts w:hint="eastAsia" w:ascii="方正仿宋_GBK" w:eastAsia="方正仿宋_GBK"/>
          <w:color w:val="auto"/>
          <w:sz w:val="44"/>
          <w:szCs w:val="44"/>
          <w:highlight w:val="none"/>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序号</w:t>
            </w:r>
          </w:p>
        </w:tc>
        <w:tc>
          <w:tcPr>
            <w:tcW w:w="1297" w:type="dxa"/>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商品名称</w:t>
            </w:r>
          </w:p>
        </w:tc>
        <w:tc>
          <w:tcPr>
            <w:tcW w:w="7514" w:type="dxa"/>
            <w:noWrap/>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1</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2</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3</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hint="eastAsia" w:ascii="仿宋" w:hAnsi="仿宋" w:eastAsia="仿宋" w:cs="仿宋"/>
                <w:color w:val="auto"/>
                <w:sz w:val="24"/>
                <w:szCs w:val="28"/>
                <w:highlight w:val="none"/>
              </w:rPr>
            </w:pPr>
          </w:p>
          <w:p>
            <w:pPr>
              <w:adjustRightInd w:val="0"/>
              <w:snapToGrid w:val="0"/>
              <w:jc w:val="center"/>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w:t>
            </w:r>
          </w:p>
          <w:p>
            <w:pPr>
              <w:adjustRightInd w:val="0"/>
              <w:snapToGrid w:val="0"/>
              <w:jc w:val="center"/>
              <w:rPr>
                <w:rFonts w:ascii="仿宋" w:hAnsi="仿宋" w:eastAsia="仿宋" w:cs="仿宋"/>
                <w:color w:val="auto"/>
                <w:sz w:val="24"/>
                <w:szCs w:val="28"/>
                <w:highlight w:val="none"/>
              </w:rPr>
            </w:pPr>
          </w:p>
        </w:tc>
        <w:tc>
          <w:tcPr>
            <w:tcW w:w="1297" w:type="dxa"/>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bl>
    <w:p>
      <w:pPr>
        <w:rPr>
          <w:color w:val="auto"/>
          <w:highlight w:val="none"/>
        </w:rPr>
      </w:pPr>
    </w:p>
    <w:p>
      <w:pPr>
        <w:rPr>
          <w:color w:val="auto"/>
          <w:highlight w:val="none"/>
        </w:rPr>
      </w:pPr>
    </w:p>
    <w:p>
      <w:pPr>
        <w:spacing w:line="500" w:lineRule="exact"/>
        <w:rPr>
          <w:rFonts w:hint="eastAsia" w:ascii="仿宋" w:hAnsi="仿宋" w:eastAsia="仿宋"/>
          <w:color w:val="auto"/>
          <w:sz w:val="21"/>
          <w:szCs w:val="21"/>
          <w:highlight w:val="none"/>
        </w:rPr>
      </w:pPr>
    </w:p>
    <w:p>
      <w:pPr>
        <w:spacing w:line="500" w:lineRule="exact"/>
        <w:rPr>
          <w:rFonts w:hint="eastAsia" w:ascii="仿宋" w:hAnsi="仿宋" w:eastAsia="仿宋"/>
          <w:color w:val="auto"/>
          <w:sz w:val="21"/>
          <w:szCs w:val="21"/>
          <w:highlight w:val="none"/>
        </w:rPr>
      </w:pPr>
    </w:p>
    <w:p>
      <w:pPr>
        <w:pStyle w:val="4"/>
        <w:spacing w:before="0" w:after="0" w:line="560" w:lineRule="exact"/>
        <w:jc w:val="center"/>
        <w:rPr>
          <w:rFonts w:hint="eastAsia" w:ascii="黑体" w:hAnsi="黑体"/>
          <w:b w:val="0"/>
          <w:color w:val="auto"/>
          <w:sz w:val="44"/>
          <w:szCs w:val="44"/>
          <w:highlight w:val="none"/>
        </w:rPr>
      </w:pPr>
    </w:p>
    <w:p>
      <w:pPr>
        <w:pStyle w:val="4"/>
        <w:spacing w:before="0" w:after="0" w:line="560" w:lineRule="exact"/>
        <w:jc w:val="center"/>
        <w:rPr>
          <w:rFonts w:hint="eastAsia" w:ascii="黑体" w:hAnsi="黑体"/>
          <w:b w:val="0"/>
          <w:color w:val="auto"/>
          <w:sz w:val="44"/>
          <w:szCs w:val="44"/>
          <w:highlight w:val="none"/>
        </w:rPr>
      </w:pPr>
    </w:p>
    <w:p>
      <w:pPr>
        <w:pStyle w:val="4"/>
        <w:spacing w:before="0" w:after="0" w:line="560" w:lineRule="exact"/>
        <w:jc w:val="center"/>
        <w:rPr>
          <w:rFonts w:hint="eastAsia" w:ascii="黑体" w:hAnsi="黑体"/>
          <w:b w:val="0"/>
          <w:color w:val="auto"/>
          <w:sz w:val="44"/>
          <w:szCs w:val="44"/>
          <w:highlight w:val="none"/>
        </w:rPr>
      </w:pPr>
    </w:p>
    <w:p>
      <w:pPr>
        <w:pStyle w:val="4"/>
        <w:spacing w:before="0" w:after="0" w:line="560" w:lineRule="exact"/>
        <w:jc w:val="center"/>
        <w:rPr>
          <w:rFonts w:hint="eastAsia" w:ascii="黑体" w:hAnsi="黑体"/>
          <w:b w:val="0"/>
          <w:color w:val="auto"/>
          <w:sz w:val="44"/>
          <w:szCs w:val="44"/>
          <w:highlight w:val="none"/>
        </w:rPr>
      </w:pPr>
    </w:p>
    <w:p>
      <w:pPr>
        <w:pStyle w:val="4"/>
        <w:spacing w:before="0" w:after="0" w:line="560" w:lineRule="exact"/>
        <w:jc w:val="center"/>
        <w:rPr>
          <w:rFonts w:hint="eastAsia" w:ascii="黑体" w:hAnsi="黑体"/>
          <w:b w:val="0"/>
          <w:color w:val="auto"/>
          <w:sz w:val="44"/>
          <w:szCs w:val="44"/>
          <w:highlight w:val="none"/>
        </w:rPr>
      </w:pPr>
    </w:p>
    <w:p>
      <w:pPr>
        <w:pStyle w:val="4"/>
        <w:spacing w:before="0" w:after="0" w:line="560" w:lineRule="exact"/>
        <w:jc w:val="center"/>
        <w:rPr>
          <w:rFonts w:hint="eastAsia" w:ascii="黑体" w:hAnsi="黑体"/>
          <w:b w:val="0"/>
          <w:color w:val="auto"/>
          <w:sz w:val="44"/>
          <w:szCs w:val="44"/>
          <w:highlight w:val="none"/>
        </w:rPr>
      </w:pPr>
    </w:p>
    <w:p>
      <w:pPr>
        <w:pStyle w:val="4"/>
        <w:spacing w:before="0" w:after="0" w:line="560" w:lineRule="exact"/>
        <w:jc w:val="center"/>
        <w:rPr>
          <w:rFonts w:hint="eastAsia" w:ascii="黑体" w:hAnsi="黑体"/>
          <w:b w:val="0"/>
          <w:color w:val="auto"/>
          <w:sz w:val="44"/>
          <w:szCs w:val="44"/>
          <w:highlight w:val="none"/>
        </w:rPr>
      </w:pPr>
    </w:p>
    <w:p>
      <w:pPr>
        <w:pStyle w:val="4"/>
        <w:spacing w:before="0" w:after="0" w:line="560" w:lineRule="exact"/>
        <w:rPr>
          <w:rFonts w:hint="eastAsia" w:ascii="黑体" w:hAnsi="黑体"/>
          <w:b w:val="0"/>
          <w:color w:val="auto"/>
          <w:sz w:val="44"/>
          <w:szCs w:val="44"/>
          <w:highlight w:val="none"/>
        </w:rPr>
      </w:pPr>
    </w:p>
    <w:p>
      <w:pPr>
        <w:rPr>
          <w:rFonts w:hint="eastAsia" w:ascii="黑体" w:hAnsi="黑体"/>
          <w:b/>
          <w:color w:val="auto"/>
          <w:sz w:val="44"/>
          <w:szCs w:val="44"/>
          <w:highlight w:val="none"/>
        </w:rPr>
      </w:pPr>
    </w:p>
    <w:p>
      <w:pPr>
        <w:rPr>
          <w:rFonts w:hint="eastAsia" w:ascii="黑体" w:hAnsi="黑体"/>
          <w:b/>
          <w:color w:val="auto"/>
          <w:sz w:val="44"/>
          <w:szCs w:val="44"/>
          <w:highlight w:val="none"/>
        </w:rPr>
      </w:pPr>
    </w:p>
    <w:p>
      <w:pPr>
        <w:pStyle w:val="4"/>
        <w:spacing w:before="0" w:after="0" w:line="560" w:lineRule="exact"/>
        <w:jc w:val="center"/>
        <w:rPr>
          <w:rFonts w:ascii="黑体"/>
          <w:b w:val="0"/>
          <w:color w:val="auto"/>
          <w:sz w:val="44"/>
          <w:szCs w:val="44"/>
          <w:highlight w:val="none"/>
        </w:rPr>
      </w:pPr>
      <w:bookmarkStart w:id="77" w:name="_Toc18432"/>
      <w:r>
        <w:rPr>
          <w:rFonts w:hint="eastAsia" w:ascii="黑体" w:hAnsi="黑体"/>
          <w:b w:val="0"/>
          <w:color w:val="auto"/>
          <w:sz w:val="44"/>
          <w:szCs w:val="44"/>
          <w:highlight w:val="none"/>
        </w:rPr>
        <w:t>第六篇</w:t>
      </w:r>
      <w:r>
        <w:rPr>
          <w:rFonts w:ascii="黑体" w:hAnsi="黑体"/>
          <w:b w:val="0"/>
          <w:color w:val="auto"/>
          <w:sz w:val="44"/>
          <w:szCs w:val="44"/>
          <w:highlight w:val="none"/>
        </w:rPr>
        <w:t xml:space="preserve">  </w:t>
      </w:r>
      <w:r>
        <w:rPr>
          <w:rFonts w:hint="eastAsia" w:ascii="黑体" w:hAnsi="黑体"/>
          <w:b w:val="0"/>
          <w:color w:val="auto"/>
          <w:sz w:val="44"/>
          <w:szCs w:val="44"/>
          <w:highlight w:val="none"/>
        </w:rPr>
        <w:t>响应文件格式要求</w:t>
      </w:r>
      <w:bookmarkEnd w:id="76"/>
      <w:bookmarkEnd w:id="77"/>
    </w:p>
    <w:p>
      <w:pPr>
        <w:rPr>
          <w:color w:val="auto"/>
          <w:highlight w:val="none"/>
        </w:rPr>
      </w:pP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一、经济部分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（一）竞争性报价函</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（二）明细报价表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二、技术部分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技术响应偏离表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三、服务部分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服务响应偏离表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四、资格条件及其他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（一）营业执照（副本）或事业单位法人证书（副本）复印件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（二）组织机构代码证复印件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（三）法定代表人身份证明书（格式）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（四）法定代表人授权委托书（格式）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（五）</w:t>
      </w:r>
      <w:r>
        <w:rPr>
          <w:rFonts w:ascii="方正仿宋_GBK" w:eastAsia="方正仿宋_GBK"/>
          <w:color w:val="auto"/>
          <w:szCs w:val="28"/>
          <w:highlight w:val="none"/>
        </w:rPr>
        <w:t>20</w:t>
      </w:r>
      <w:r>
        <w:rPr>
          <w:rFonts w:hint="eastAsia" w:ascii="方正仿宋_GBK" w:eastAsia="方正仿宋_GBK"/>
          <w:color w:val="auto"/>
          <w:szCs w:val="28"/>
          <w:highlight w:val="none"/>
        </w:rPr>
        <w:t>21或</w:t>
      </w:r>
      <w:r>
        <w:rPr>
          <w:rFonts w:ascii="方正仿宋_GBK" w:eastAsia="方正仿宋_GBK"/>
          <w:color w:val="auto"/>
          <w:szCs w:val="28"/>
          <w:highlight w:val="none"/>
        </w:rPr>
        <w:t>202</w:t>
      </w:r>
      <w:r>
        <w:rPr>
          <w:rFonts w:hint="eastAsia" w:ascii="方正仿宋_GBK"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（六）书面声明（格式）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（七）税务登记证（副本）复印件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auto"/>
          <w:szCs w:val="28"/>
          <w:highlight w:val="none"/>
        </w:rPr>
      </w:pPr>
      <w:r>
        <w:rPr>
          <w:rFonts w:hint="eastAsia" w:ascii="方正仿宋_GBK" w:hAnsi="仿宋" w:eastAsia="方正仿宋_GBK"/>
          <w:color w:val="auto"/>
          <w:szCs w:val="28"/>
          <w:highlight w:val="none"/>
        </w:rPr>
        <w:t>说明：供应商按“多证合一”登记制度办理营业执照的，</w:t>
      </w:r>
      <w:r>
        <w:rPr>
          <w:rFonts w:hint="eastAsia" w:ascii="方正仿宋_GBK" w:hAnsi="仿宋" w:eastAsia="方正仿宋_GBK" w:cs="宋体"/>
          <w:color w:val="auto"/>
          <w:kern w:val="0"/>
          <w:szCs w:val="28"/>
          <w:highlight w:val="none"/>
        </w:rPr>
        <w:t>组织机构代码证、税务登记证（副本）和社会保险登记证</w:t>
      </w:r>
      <w:r>
        <w:rPr>
          <w:rFonts w:hint="eastAsia" w:ascii="方正仿宋_GBK" w:hAnsi="仿宋" w:eastAsia="方正仿宋_GBK"/>
          <w:color w:val="auto"/>
          <w:szCs w:val="28"/>
          <w:highlight w:val="none"/>
        </w:rPr>
        <w:t>以供应商所提供的营业执照（副本）复印件为准。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五、其他应提供的资料</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（二）其他与项目有关的资料（自附）</w:t>
      </w:r>
    </w:p>
    <w:p>
      <w:pPr>
        <w:snapToGrid w:val="0"/>
        <w:spacing w:line="560" w:lineRule="exact"/>
        <w:rPr>
          <w:rFonts w:ascii="方正仿宋_GBK" w:eastAsia="方正仿宋_GBK"/>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5"/>
        <w:spacing w:before="0" w:after="0" w:line="560" w:lineRule="exact"/>
        <w:ind w:firstLine="560" w:firstLineChars="200"/>
        <w:rPr>
          <w:rFonts w:ascii="方正仿宋_GBK" w:eastAsia="方正仿宋_GBK"/>
          <w:b w:val="0"/>
          <w:color w:val="auto"/>
          <w:sz w:val="28"/>
          <w:szCs w:val="28"/>
          <w:highlight w:val="none"/>
        </w:rPr>
      </w:pPr>
      <w:bookmarkStart w:id="78" w:name="_Toc5521"/>
      <w:bookmarkStart w:id="79" w:name="_Toc313888360"/>
      <w:bookmarkStart w:id="80" w:name="_Toc313008356"/>
      <w:bookmarkStart w:id="81" w:name="_Toc342913419"/>
      <w:bookmarkStart w:id="82" w:name="_Toc12789073"/>
      <w:bookmarkStart w:id="83" w:name="_Toc283382454"/>
      <w:r>
        <w:rPr>
          <w:rFonts w:hint="eastAsia" w:ascii="方正仿宋_GBK" w:eastAsia="方正仿宋_GBK"/>
          <w:b w:val="0"/>
          <w:color w:val="auto"/>
          <w:sz w:val="28"/>
          <w:szCs w:val="28"/>
          <w:highlight w:val="none"/>
        </w:rPr>
        <w:t>一、经济部分</w:t>
      </w:r>
      <w:bookmarkEnd w:id="78"/>
      <w:bookmarkEnd w:id="79"/>
      <w:bookmarkEnd w:id="80"/>
      <w:bookmarkEnd w:id="81"/>
    </w:p>
    <w:bookmarkEnd w:id="82"/>
    <w:bookmarkEnd w:id="83"/>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（一）竞争性报价函</w:t>
      </w:r>
    </w:p>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竞争性报价函</w:t>
      </w:r>
    </w:p>
    <w:p>
      <w:pPr>
        <w:tabs>
          <w:tab w:val="left" w:pos="6300"/>
        </w:tabs>
        <w:snapToGrid w:val="0"/>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u w:val="single"/>
        </w:rPr>
        <w:t>（采购代理机构名称）</w:t>
      </w:r>
      <w:r>
        <w:rPr>
          <w:rFonts w:hint="eastAsia" w:ascii="方正仿宋_GBK" w:eastAsia="方正仿宋_GBK"/>
          <w:color w:val="auto"/>
          <w:szCs w:val="28"/>
          <w:highlight w:val="none"/>
        </w:rPr>
        <w:t>：</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我方收到</w:t>
      </w:r>
      <w:r>
        <w:rPr>
          <w:rFonts w:ascii="方正仿宋_GBK" w:eastAsia="方正仿宋_GBK"/>
          <w:color w:val="auto"/>
          <w:szCs w:val="28"/>
          <w:highlight w:val="none"/>
        </w:rPr>
        <w:t>____________________________</w:t>
      </w:r>
      <w:r>
        <w:rPr>
          <w:rFonts w:hint="eastAsia" w:ascii="方正仿宋_GBK" w:eastAsia="方正仿宋_GBK"/>
          <w:color w:val="auto"/>
          <w:szCs w:val="28"/>
          <w:highlight w:val="none"/>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我方承诺：本次谈判的有效期为</w:t>
      </w:r>
      <w:r>
        <w:rPr>
          <w:rFonts w:ascii="方正仿宋_GBK" w:eastAsia="方正仿宋_GBK"/>
          <w:color w:val="auto"/>
          <w:szCs w:val="28"/>
          <w:highlight w:val="none"/>
        </w:rPr>
        <w:t>90</w:t>
      </w:r>
      <w:r>
        <w:rPr>
          <w:rFonts w:hint="eastAsia" w:ascii="方正仿宋_GBK" w:eastAsia="方正仿宋_GBK"/>
          <w:color w:val="auto"/>
          <w:szCs w:val="28"/>
          <w:highlight w:val="none"/>
        </w:rPr>
        <w:t>天。</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地址：</w:t>
      </w:r>
      <w:r>
        <w:rPr>
          <w:rFonts w:ascii="方正仿宋_GBK" w:eastAsia="方正仿宋_GBK"/>
          <w:color w:val="auto"/>
          <w:szCs w:val="28"/>
          <w:highlight w:val="none"/>
        </w:rPr>
        <w:t xml:space="preserve">  </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电话：</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传真：</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网址：</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邮编：</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联系人：</w:t>
      </w:r>
    </w:p>
    <w:p>
      <w:pPr>
        <w:snapToGrid w:val="0"/>
        <w:spacing w:line="560" w:lineRule="exact"/>
        <w:ind w:firstLine="560" w:firstLineChars="200"/>
        <w:rPr>
          <w:rFonts w:ascii="方正仿宋_GBK" w:eastAsia="方正仿宋_GBK"/>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2895"/>
        </w:tabs>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（二）明细报价表</w:t>
      </w:r>
    </w:p>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明细报价表</w:t>
      </w:r>
    </w:p>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项目号：</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谈判项目编号：</w:t>
      </w:r>
    </w:p>
    <w:p>
      <w:pPr>
        <w:spacing w:line="560" w:lineRule="exact"/>
        <w:rPr>
          <w:rFonts w:ascii="方正仿宋_GBK" w:eastAsia="方正仿宋_GBK"/>
          <w:color w:val="auto"/>
          <w:szCs w:val="28"/>
          <w:highlight w:val="none"/>
          <w:u w:val="single"/>
        </w:rPr>
      </w:pPr>
      <w:r>
        <w:rPr>
          <w:rFonts w:hint="eastAsia" w:ascii="方正仿宋_GBK" w:eastAsia="方正仿宋_GBK"/>
          <w:color w:val="auto"/>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单价</w:t>
            </w:r>
          </w:p>
          <w:p>
            <w:pPr>
              <w:pStyle w:val="32"/>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合计</w:t>
            </w:r>
          </w:p>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bl>
    <w:p>
      <w:pPr>
        <w:snapToGrid w:val="0"/>
        <w:spacing w:line="560" w:lineRule="exact"/>
        <w:rPr>
          <w:rFonts w:ascii="方正仿宋_GBK" w:eastAsia="方正仿宋_GBK"/>
          <w:color w:val="auto"/>
          <w:szCs w:val="28"/>
          <w:highlight w:val="none"/>
        </w:rPr>
      </w:pP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r>
        <w:rPr>
          <w:rFonts w:ascii="方正仿宋_GBK" w:eastAsia="方正仿宋_GBK"/>
          <w:color w:val="auto"/>
          <w:szCs w:val="28"/>
          <w:highlight w:val="none"/>
        </w:rPr>
        <w:t>1.</w:t>
      </w:r>
      <w:r>
        <w:rPr>
          <w:rFonts w:hint="eastAsia" w:ascii="方正仿宋_GBK" w:eastAsia="方正仿宋_GBK"/>
          <w:color w:val="auto"/>
          <w:szCs w:val="28"/>
          <w:highlight w:val="none"/>
        </w:rPr>
        <w:t>供应商应完整填写本表。</w:t>
      </w:r>
    </w:p>
    <w:p>
      <w:pPr>
        <w:snapToGrid w:val="0"/>
        <w:spacing w:line="560" w:lineRule="exact"/>
        <w:rPr>
          <w:rFonts w:ascii="方正仿宋_GBK" w:eastAsia="方正仿宋_GBK"/>
          <w:color w:val="auto"/>
          <w:szCs w:val="28"/>
          <w:highlight w:val="none"/>
        </w:rPr>
      </w:pPr>
      <w:r>
        <w:rPr>
          <w:rFonts w:ascii="方正仿宋_GBK" w:eastAsia="方正仿宋_GBK"/>
          <w:color w:val="auto"/>
          <w:szCs w:val="28"/>
          <w:highlight w:val="none"/>
        </w:rPr>
        <w:t xml:space="preserve">        2.</w:t>
      </w:r>
      <w:r>
        <w:rPr>
          <w:rFonts w:hint="eastAsia" w:ascii="方正仿宋_GBK" w:eastAsia="方正仿宋_GBK"/>
          <w:color w:val="auto"/>
          <w:szCs w:val="28"/>
          <w:highlight w:val="none"/>
        </w:rPr>
        <w:t>该表可扩展</w:t>
      </w:r>
      <w:bookmarkStart w:id="84" w:name="OLE_LINK2"/>
      <w:bookmarkStart w:id="85" w:name="OLE_LINK1"/>
      <w:r>
        <w:rPr>
          <w:rFonts w:hint="eastAsia" w:ascii="方正仿宋_GBK" w:eastAsia="方正仿宋_GBK"/>
          <w:color w:val="auto"/>
          <w:szCs w:val="28"/>
          <w:highlight w:val="none"/>
        </w:rPr>
        <w:t>，并逐页签字或盖章。</w:t>
      </w:r>
      <w:bookmarkEnd w:id="84"/>
      <w:bookmarkEnd w:id="85"/>
    </w:p>
    <w:p>
      <w:pPr>
        <w:snapToGrid w:val="0"/>
        <w:spacing w:line="560" w:lineRule="exact"/>
        <w:rPr>
          <w:rFonts w:ascii="方正仿宋_GBK" w:eastAsia="方正仿宋_GBK"/>
          <w:color w:val="auto"/>
          <w:szCs w:val="28"/>
          <w:highlight w:val="none"/>
        </w:rPr>
      </w:pPr>
    </w:p>
    <w:p>
      <w:pPr>
        <w:snapToGrid w:val="0"/>
        <w:spacing w:line="560" w:lineRule="exact"/>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供应商名称（公章）：</w:t>
      </w:r>
    </w:p>
    <w:p>
      <w:pPr>
        <w:spacing w:line="560" w:lineRule="exact"/>
        <w:ind w:firstLine="6580" w:firstLineChars="2350"/>
        <w:rPr>
          <w:rFonts w:ascii="方正仿宋_GBK" w:eastAsia="方正仿宋_GBK"/>
          <w:color w:val="auto"/>
          <w:szCs w:val="28"/>
          <w:highlight w:val="none"/>
        </w:rPr>
      </w:pP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snapToGrid w:val="0"/>
        <w:spacing w:line="560" w:lineRule="exact"/>
        <w:ind w:firstLine="560" w:firstLineChars="200"/>
        <w:rPr>
          <w:rFonts w:ascii="方正仿宋_GBK" w:eastAsia="方正仿宋_GBK"/>
          <w:color w:val="auto"/>
          <w:szCs w:val="28"/>
          <w:highlight w:val="none"/>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5"/>
        <w:spacing w:before="0" w:after="0" w:line="560" w:lineRule="exact"/>
        <w:ind w:firstLine="560" w:firstLineChars="200"/>
        <w:rPr>
          <w:rFonts w:ascii="方正仿宋_GBK" w:eastAsia="方正仿宋_GBK"/>
          <w:b w:val="0"/>
          <w:color w:val="auto"/>
          <w:sz w:val="28"/>
          <w:szCs w:val="28"/>
          <w:highlight w:val="none"/>
        </w:rPr>
      </w:pPr>
      <w:bookmarkStart w:id="86" w:name="_Toc313888361"/>
      <w:bookmarkStart w:id="87" w:name="_Toc18512"/>
      <w:bookmarkStart w:id="88" w:name="_Toc342913420"/>
      <w:bookmarkStart w:id="89" w:name="_Toc313008357"/>
      <w:r>
        <w:rPr>
          <w:rFonts w:hint="eastAsia" w:ascii="方正仿宋_GBK" w:eastAsia="方正仿宋_GBK"/>
          <w:b w:val="0"/>
          <w:color w:val="auto"/>
          <w:sz w:val="28"/>
          <w:szCs w:val="28"/>
          <w:highlight w:val="none"/>
        </w:rPr>
        <w:t>二、技术部分</w:t>
      </w:r>
      <w:bookmarkEnd w:id="86"/>
      <w:bookmarkEnd w:id="87"/>
      <w:bookmarkEnd w:id="88"/>
      <w:bookmarkEnd w:id="89"/>
    </w:p>
    <w:p>
      <w:pPr>
        <w:snapToGrid w:val="0"/>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技术响应偏离表</w:t>
      </w:r>
    </w:p>
    <w:p>
      <w:pPr>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项目号：</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谈判项目编号：</w:t>
      </w:r>
    </w:p>
    <w:p>
      <w:pPr>
        <w:pStyle w:val="32"/>
        <w:tabs>
          <w:tab w:val="left" w:pos="6300"/>
        </w:tabs>
        <w:snapToGrid w:val="0"/>
        <w:spacing w:line="560" w:lineRule="exact"/>
        <w:ind w:firstLine="140" w:firstLineChars="50"/>
        <w:outlineLvl w:val="0"/>
        <w:rPr>
          <w:rFonts w:ascii="方正仿宋_GBK" w:eastAsia="方正仿宋_GBK"/>
          <w:color w:val="auto"/>
          <w:szCs w:val="28"/>
          <w:highlight w:val="none"/>
        </w:rPr>
      </w:pPr>
      <w:r>
        <w:rPr>
          <w:rFonts w:hint="eastAsia" w:ascii="方正仿宋_GBK" w:eastAsia="方正仿宋_GBK"/>
          <w:color w:val="auto"/>
          <w:szCs w:val="28"/>
          <w:highlight w:val="none"/>
        </w:rPr>
        <w:t>项目名称：</w:t>
      </w:r>
      <w:r>
        <w:rPr>
          <w:rFonts w:ascii="方正仿宋_GBK" w:eastAsia="方正仿宋_GBK"/>
          <w:color w:val="auto"/>
          <w:szCs w:val="28"/>
          <w:highlight w:val="none"/>
        </w:rPr>
        <w:t xml:space="preserve">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bl>
    <w:p>
      <w:pPr>
        <w:spacing w:line="560" w:lineRule="exact"/>
        <w:ind w:firstLine="700" w:firstLineChars="250"/>
        <w:rPr>
          <w:rFonts w:ascii="方正仿宋_GBK" w:eastAsia="方正仿宋_GBK"/>
          <w:color w:val="auto"/>
          <w:szCs w:val="28"/>
          <w:highlight w:val="none"/>
        </w:rPr>
      </w:pPr>
      <w:r>
        <w:rPr>
          <w:rFonts w:hint="eastAsia" w:ascii="方正仿宋_GBK" w:eastAsia="方正仿宋_GBK"/>
          <w:color w:val="auto"/>
          <w:szCs w:val="28"/>
          <w:highlight w:val="none"/>
        </w:rPr>
        <w:t>供应商：</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法定代表人授权代表：</w:t>
      </w:r>
    </w:p>
    <w:p>
      <w:pPr>
        <w:spacing w:line="560" w:lineRule="exact"/>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（供应商公章）</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（签字或盖章）</w:t>
      </w: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本表即为对本项目“第三篇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可附相关技术支撑材料（格式自定）。</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根据响应情况在“差异说明”项填写正偏离或负偏离及原因，完全符合的填写“无差异”。</w:t>
      </w:r>
    </w:p>
    <w:p>
      <w:pPr>
        <w:pStyle w:val="5"/>
        <w:spacing w:before="0" w:after="0" w:line="560" w:lineRule="exact"/>
        <w:ind w:firstLine="420" w:firstLineChars="150"/>
        <w:rPr>
          <w:rFonts w:ascii="方正仿宋_GBK" w:eastAsia="方正仿宋_GBK"/>
          <w:b w:val="0"/>
          <w:color w:val="auto"/>
          <w:sz w:val="28"/>
          <w:szCs w:val="28"/>
          <w:highlight w:val="none"/>
        </w:rPr>
      </w:pPr>
      <w:r>
        <w:rPr>
          <w:rFonts w:ascii="方正仿宋_GBK" w:eastAsia="方正仿宋_GBK"/>
          <w:b w:val="0"/>
          <w:color w:val="auto"/>
          <w:sz w:val="28"/>
          <w:szCs w:val="28"/>
          <w:highlight w:val="none"/>
        </w:rPr>
        <w:br w:type="page"/>
      </w:r>
      <w:bookmarkStart w:id="90" w:name="_Toc15663"/>
      <w:bookmarkStart w:id="91" w:name="_Toc342913421"/>
      <w:bookmarkStart w:id="92" w:name="_Toc313888362"/>
      <w:bookmarkStart w:id="93" w:name="_Toc313008358"/>
      <w:r>
        <w:rPr>
          <w:rFonts w:hint="eastAsia" w:ascii="方正仿宋_GBK" w:eastAsia="方正仿宋_GBK"/>
          <w:b w:val="0"/>
          <w:color w:val="auto"/>
          <w:sz w:val="28"/>
          <w:szCs w:val="28"/>
          <w:highlight w:val="none"/>
        </w:rPr>
        <w:t>三、服务部分</w:t>
      </w:r>
      <w:bookmarkEnd w:id="90"/>
    </w:p>
    <w:p>
      <w:pPr>
        <w:snapToGrid w:val="0"/>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服务响应偏离表</w:t>
      </w:r>
    </w:p>
    <w:p>
      <w:pPr>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项目号：</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谈判项目编号：</w:t>
      </w:r>
    </w:p>
    <w:p>
      <w:pPr>
        <w:snapToGrid w:val="0"/>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项目名称：</w:t>
      </w:r>
      <w:r>
        <w:rPr>
          <w:rFonts w:ascii="方正仿宋_GBK" w:eastAsia="方正仿宋_GBK"/>
          <w:color w:val="auto"/>
          <w:szCs w:val="28"/>
          <w:highlight w:val="none"/>
        </w:rPr>
        <w:t xml:space="preserve"> </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bl>
    <w:p>
      <w:pPr>
        <w:spacing w:line="560" w:lineRule="exact"/>
        <w:ind w:firstLine="700" w:firstLineChars="250"/>
        <w:rPr>
          <w:rFonts w:ascii="方正仿宋_GBK" w:eastAsia="方正仿宋_GBK"/>
          <w:color w:val="auto"/>
          <w:szCs w:val="28"/>
          <w:highlight w:val="none"/>
        </w:rPr>
      </w:pPr>
      <w:r>
        <w:rPr>
          <w:rFonts w:hint="eastAsia" w:ascii="方正仿宋_GBK" w:eastAsia="方正仿宋_GBK"/>
          <w:color w:val="auto"/>
          <w:szCs w:val="28"/>
          <w:highlight w:val="none"/>
        </w:rPr>
        <w:t>供应商：</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法定代表人授权代表：</w:t>
      </w:r>
    </w:p>
    <w:p>
      <w:pPr>
        <w:spacing w:line="560" w:lineRule="exact"/>
        <w:rPr>
          <w:rFonts w:ascii="方正仿宋_GBK" w:eastAsia="方正仿宋_GBK"/>
          <w:color w:val="auto"/>
          <w:szCs w:val="28"/>
          <w:highlight w:val="none"/>
        </w:rPr>
      </w:pP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（供应商公章）</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（签字或盖章）</w:t>
      </w: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本表即为对本项目“第四篇</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4. </w:t>
      </w:r>
      <w:r>
        <w:rPr>
          <w:rFonts w:hint="eastAsia" w:ascii="方正仿宋_GBK" w:eastAsia="方正仿宋_GBK"/>
          <w:color w:val="auto"/>
          <w:szCs w:val="28"/>
          <w:highlight w:val="none"/>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p>
    <w:p>
      <w:pPr>
        <w:pStyle w:val="5"/>
        <w:spacing w:before="0" w:after="0" w:line="560" w:lineRule="exact"/>
        <w:ind w:firstLine="560" w:firstLineChars="200"/>
        <w:rPr>
          <w:rFonts w:ascii="方正仿宋_GBK" w:eastAsia="方正仿宋_GBK"/>
          <w:b w:val="0"/>
          <w:color w:val="auto"/>
          <w:sz w:val="28"/>
          <w:szCs w:val="28"/>
          <w:highlight w:val="none"/>
        </w:rPr>
      </w:pPr>
      <w:bookmarkStart w:id="94" w:name="_Toc22765"/>
      <w:r>
        <w:rPr>
          <w:rFonts w:hint="eastAsia" w:ascii="方正仿宋_GBK" w:eastAsia="方正仿宋_GBK"/>
          <w:b w:val="0"/>
          <w:color w:val="auto"/>
          <w:sz w:val="28"/>
          <w:szCs w:val="28"/>
          <w:highlight w:val="none"/>
        </w:rPr>
        <w:t>四、</w:t>
      </w:r>
      <w:bookmarkEnd w:id="91"/>
      <w:bookmarkEnd w:id="92"/>
      <w:bookmarkEnd w:id="93"/>
      <w:r>
        <w:rPr>
          <w:rFonts w:hint="eastAsia" w:ascii="方正仿宋_GBK" w:eastAsia="方正仿宋_GBK"/>
          <w:b w:val="0"/>
          <w:color w:val="auto"/>
          <w:sz w:val="28"/>
          <w:szCs w:val="28"/>
          <w:highlight w:val="none"/>
        </w:rPr>
        <w:t>资格条件及其他</w:t>
      </w:r>
      <w:bookmarkEnd w:id="94"/>
      <w:bookmarkStart w:id="95" w:name="_Toc313888363"/>
      <w:bookmarkStart w:id="96" w:name="_Toc342913422"/>
      <w:bookmarkStart w:id="97" w:name="_Toc313008359"/>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（一）营业执照（副本）或事业单位法人证书（副本）复印件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（二）组织机构代码证复印件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widowControl/>
        <w:spacing w:line="560" w:lineRule="exact"/>
        <w:ind w:firstLine="560" w:firstLineChars="200"/>
        <w:jc w:val="left"/>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（三）法定代表人身份证明书（格式）</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特此证明。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（供应商公章）</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（附：法定代表人身份证正反面复印件）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br w:type="column"/>
      </w:r>
      <w:r>
        <w:rPr>
          <w:rFonts w:hint="eastAsia" w:ascii="方正仿宋_GBK" w:eastAsia="方正仿宋_GBK"/>
          <w:color w:val="auto"/>
          <w:szCs w:val="28"/>
          <w:highlight w:val="none"/>
        </w:rPr>
        <w:t>（四）法定代表人授权委托书（格式）</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我单位对被授权人的签字负全部责任。</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被授权人：</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供应商法定代表人：</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（签字或盖章）</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（签字或盖章）</w:t>
      </w:r>
    </w:p>
    <w:p>
      <w:pPr>
        <w:tabs>
          <w:tab w:val="left" w:pos="6300"/>
        </w:tabs>
        <w:snapToGrid w:val="0"/>
        <w:spacing w:line="560" w:lineRule="exact"/>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（附：被授权人身份证正反面复印件）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right="560" w:firstLine="6445" w:firstLineChars="2302"/>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right="420" w:firstLine="570"/>
        <w:jc w:val="right"/>
        <w:rPr>
          <w:rFonts w:ascii="方正仿宋_GBK" w:eastAsia="方正仿宋_GBK"/>
          <w:color w:val="auto"/>
          <w:szCs w:val="28"/>
          <w:highlight w:val="none"/>
        </w:rPr>
      </w:pP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（五）</w:t>
      </w:r>
      <w:r>
        <w:rPr>
          <w:rFonts w:ascii="方正仿宋_GBK" w:eastAsia="方正仿宋_GBK"/>
          <w:color w:val="auto"/>
          <w:szCs w:val="28"/>
          <w:highlight w:val="none"/>
        </w:rPr>
        <w:t>20</w:t>
      </w:r>
      <w:r>
        <w:rPr>
          <w:rFonts w:hint="eastAsia" w:ascii="方正仿宋_GBK" w:eastAsia="方正仿宋_GBK"/>
          <w:color w:val="auto"/>
          <w:szCs w:val="28"/>
          <w:highlight w:val="none"/>
        </w:rPr>
        <w:t>21或</w:t>
      </w:r>
      <w:r>
        <w:rPr>
          <w:rFonts w:ascii="方正仿宋_GBK" w:eastAsia="方正仿宋_GBK"/>
          <w:color w:val="auto"/>
          <w:szCs w:val="28"/>
          <w:highlight w:val="none"/>
        </w:rPr>
        <w:t>202</w:t>
      </w:r>
      <w:r>
        <w:rPr>
          <w:rFonts w:hint="eastAsia" w:ascii="方正仿宋_GBK"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（六）书面声明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（供应商名称）</w:t>
      </w:r>
      <w:r>
        <w:rPr>
          <w:rFonts w:hint="eastAsia" w:ascii="方正仿宋_GBK" w:hAnsi="仿宋" w:eastAsia="方正仿宋_GBK"/>
          <w:color w:val="auto"/>
          <w:szCs w:val="28"/>
          <w:highlight w:val="none"/>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color w:val="auto"/>
          <w:szCs w:val="28"/>
          <w:highlight w:val="none"/>
        </w:rPr>
        <w:t>www.creditchina.gov.cn</w:t>
      </w:r>
      <w:r>
        <w:rPr>
          <w:rFonts w:hint="eastAsia" w:ascii="方正仿宋_GBK" w:hAnsi="仿宋" w:eastAsia="方正仿宋_GBK"/>
          <w:color w:val="auto"/>
          <w:szCs w:val="28"/>
          <w:highlight w:val="none"/>
        </w:rPr>
        <w:t>）“失信被执行人”、“重大税收违法案件当事人名单”中，也未列入中国政府采购网（</w:t>
      </w:r>
      <w:r>
        <w:rPr>
          <w:rFonts w:ascii="方正仿宋_GBK" w:hAnsi="仿宋" w:eastAsia="方正仿宋_GBK"/>
          <w:color w:val="auto"/>
          <w:szCs w:val="28"/>
          <w:highlight w:val="none"/>
        </w:rPr>
        <w:t>www.ccgp.gov.cn</w:t>
      </w:r>
      <w:r>
        <w:rPr>
          <w:rFonts w:hint="eastAsia" w:ascii="方正仿宋_GBK" w:hAnsi="仿宋" w:eastAsia="方正仿宋_GBK"/>
          <w:color w:val="auto"/>
          <w:szCs w:val="28"/>
          <w:highlight w:val="none"/>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特此声明。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right="560" w:firstLine="570"/>
        <w:jc w:val="center"/>
        <w:rPr>
          <w:rFonts w:ascii="方正仿宋_GBK" w:eastAsia="方正仿宋_GBK"/>
          <w:color w:val="auto"/>
          <w:szCs w:val="28"/>
          <w:highlight w:val="none"/>
        </w:rPr>
      </w:pP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（供应商公章）</w:t>
      </w:r>
    </w:p>
    <w:p>
      <w:pPr>
        <w:tabs>
          <w:tab w:val="left" w:pos="6300"/>
        </w:tabs>
        <w:snapToGrid w:val="0"/>
        <w:spacing w:line="560" w:lineRule="exact"/>
        <w:ind w:right="560" w:firstLine="570"/>
        <w:jc w:val="right"/>
        <w:rPr>
          <w:rFonts w:ascii="方正仿宋_GBK" w:eastAsia="方正仿宋_GBK"/>
          <w:color w:val="auto"/>
          <w:szCs w:val="28"/>
          <w:highlight w:val="none"/>
        </w:rPr>
      </w:pPr>
      <w:r>
        <w:rPr>
          <w:rFonts w:hint="eastAsia" w:ascii="方正仿宋_GBK" w:eastAsia="方正仿宋_GBK"/>
          <w:color w:val="auto"/>
          <w:szCs w:val="28"/>
          <w:highlight w:val="none"/>
        </w:rPr>
        <w:t>年</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月</w:t>
      </w:r>
      <w:r>
        <w:rPr>
          <w:rFonts w:ascii="方正仿宋_GBK" w:eastAsia="方正仿宋_GBK"/>
          <w:color w:val="auto"/>
          <w:szCs w:val="28"/>
          <w:highlight w:val="none"/>
        </w:rPr>
        <w:t xml:space="preserve">   </w:t>
      </w:r>
      <w:r>
        <w:rPr>
          <w:rFonts w:hint="eastAsia" w:ascii="方正仿宋_GBK" w:eastAsia="方正仿宋_GBK"/>
          <w:color w:val="auto"/>
          <w:szCs w:val="28"/>
          <w:highlight w:val="none"/>
        </w:rPr>
        <w:t>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（七）税务登记证（副本）复印件</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auto"/>
          <w:szCs w:val="28"/>
          <w:highlight w:val="none"/>
        </w:rPr>
      </w:pPr>
    </w:p>
    <w:p>
      <w:pPr>
        <w:tabs>
          <w:tab w:val="left" w:pos="6300"/>
        </w:tabs>
        <w:snapToGrid w:val="0"/>
        <w:spacing w:line="560" w:lineRule="exact"/>
        <w:ind w:firstLine="56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说明：供应商按“多证合一”登记制度办理营业执照的，组织机构代码证、税务登记证（副本）和社会保险登记证以供应商所提供的营业执照（副本）复印件为准。</w:t>
      </w:r>
    </w:p>
    <w:p>
      <w:pPr>
        <w:pStyle w:val="5"/>
        <w:spacing w:before="0" w:after="0" w:line="560" w:lineRule="exact"/>
        <w:ind w:firstLine="560" w:firstLineChars="200"/>
        <w:rPr>
          <w:rFonts w:ascii="方正仿宋_GBK" w:eastAsia="方正仿宋_GBK"/>
          <w:b w:val="0"/>
          <w:color w:val="auto"/>
          <w:sz w:val="28"/>
          <w:szCs w:val="28"/>
          <w:highlight w:val="none"/>
        </w:rPr>
      </w:pPr>
      <w:r>
        <w:rPr>
          <w:rFonts w:ascii="方正仿宋_GBK" w:eastAsia="方正仿宋_GBK"/>
          <w:b w:val="0"/>
          <w:color w:val="auto"/>
          <w:sz w:val="28"/>
          <w:szCs w:val="28"/>
          <w:highlight w:val="none"/>
        </w:rPr>
        <w:br w:type="page"/>
      </w:r>
      <w:bookmarkStart w:id="98" w:name="_Toc29076"/>
      <w:r>
        <w:rPr>
          <w:rFonts w:hint="eastAsia" w:ascii="方正仿宋_GBK" w:eastAsia="方正仿宋_GBK"/>
          <w:b w:val="0"/>
          <w:color w:val="auto"/>
          <w:sz w:val="28"/>
          <w:szCs w:val="28"/>
          <w:highlight w:val="none"/>
        </w:rPr>
        <w:t>五、</w:t>
      </w:r>
      <w:bookmarkEnd w:id="95"/>
      <w:bookmarkEnd w:id="96"/>
      <w:bookmarkEnd w:id="97"/>
      <w:r>
        <w:rPr>
          <w:rFonts w:hint="eastAsia" w:ascii="方正仿宋_GBK" w:eastAsia="方正仿宋_GBK"/>
          <w:b w:val="0"/>
          <w:color w:val="auto"/>
          <w:sz w:val="28"/>
          <w:szCs w:val="28"/>
          <w:highlight w:val="none"/>
        </w:rPr>
        <w:t>其他应提供的资料</w:t>
      </w:r>
      <w:bookmarkEnd w:id="98"/>
    </w:p>
    <w:p>
      <w:pPr>
        <w:tabs>
          <w:tab w:val="left" w:pos="6300"/>
        </w:tabs>
        <w:snapToGrid w:val="0"/>
        <w:spacing w:line="560" w:lineRule="exact"/>
        <w:ind w:firstLine="560"/>
        <w:jc w:val="lef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1.</w:t>
      </w:r>
      <w:r>
        <w:rPr>
          <w:rFonts w:hint="eastAsia" w:ascii="方正仿宋_GBK" w:hAnsi="仿宋" w:eastAsia="方正仿宋_GBK"/>
          <w:color w:val="auto"/>
          <w:szCs w:val="28"/>
          <w:highlight w:val="none"/>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2.</w:t>
      </w:r>
      <w:r>
        <w:rPr>
          <w:rFonts w:hint="eastAsia" w:ascii="方正仿宋_GBK" w:hAnsi="仿宋" w:eastAsia="方正仿宋_GBK"/>
          <w:color w:val="auto"/>
          <w:szCs w:val="28"/>
          <w:highlight w:val="none"/>
        </w:rPr>
        <w:t>微型企业承诺书</w:t>
      </w:r>
    </w:p>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微型企业承诺书</w:t>
      </w:r>
    </w:p>
    <w:p>
      <w:pPr>
        <w:tabs>
          <w:tab w:val="left" w:pos="6300"/>
        </w:tabs>
        <w:snapToGrid w:val="0"/>
        <w:spacing w:line="560" w:lineRule="exact"/>
        <w:jc w:val="center"/>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项目名称：</w:t>
      </w: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（供应商名称）郑重声明，我公司符合工信部联企业〔</w:t>
      </w:r>
      <w:r>
        <w:rPr>
          <w:rFonts w:ascii="方正仿宋_GBK" w:hAnsi="仿宋" w:eastAsia="方正仿宋_GBK"/>
          <w:color w:val="auto"/>
          <w:szCs w:val="28"/>
          <w:highlight w:val="none"/>
        </w:rPr>
        <w:t>2011</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300</w:t>
      </w:r>
      <w:r>
        <w:rPr>
          <w:rFonts w:hint="eastAsia" w:ascii="方正仿宋_GBK" w:hAnsi="仿宋" w:eastAsia="方正仿宋_GBK"/>
          <w:color w:val="auto"/>
          <w:szCs w:val="28"/>
          <w:highlight w:val="none"/>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特此承诺。</w:t>
      </w: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jc w:val="righ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日</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期：</w:t>
      </w:r>
    </w:p>
    <w:p>
      <w:pPr>
        <w:tabs>
          <w:tab w:val="left" w:pos="6300"/>
        </w:tabs>
        <w:snapToGrid w:val="0"/>
        <w:spacing w:line="560" w:lineRule="exact"/>
        <w:ind w:firstLine="560" w:firstLineChars="200"/>
        <w:outlineLvl w:val="0"/>
        <w:rPr>
          <w:rFonts w:ascii="方正仿宋_GBK" w:hAnsi="仿宋" w:eastAsia="方正仿宋_GBK"/>
          <w:color w:val="auto"/>
          <w:szCs w:val="28"/>
          <w:highlight w:val="none"/>
        </w:rPr>
      </w:pPr>
      <w:r>
        <w:rPr>
          <w:rFonts w:ascii="方正仿宋_GBK" w:hAnsi="仿宋" w:eastAsia="方正仿宋_GBK"/>
          <w:color w:val="auto"/>
          <w:szCs w:val="28"/>
          <w:highlight w:val="none"/>
        </w:rPr>
        <w:br w:type="page"/>
      </w:r>
      <w:r>
        <w:rPr>
          <w:rFonts w:ascii="方正仿宋_GBK" w:hAnsi="仿宋" w:eastAsia="方正仿宋_GBK"/>
          <w:color w:val="auto"/>
          <w:szCs w:val="28"/>
          <w:highlight w:val="none"/>
        </w:rPr>
        <w:t>3.</w:t>
      </w:r>
      <w:r>
        <w:rPr>
          <w:rFonts w:hint="eastAsia" w:ascii="方正仿宋_GBK" w:hAnsi="仿宋" w:eastAsia="方正仿宋_GBK"/>
          <w:color w:val="auto"/>
          <w:szCs w:val="28"/>
          <w:highlight w:val="none"/>
        </w:rPr>
        <w:t>监狱企业证明文件</w:t>
      </w:r>
    </w:p>
    <w:p>
      <w:pPr>
        <w:tabs>
          <w:tab w:val="left" w:pos="6300"/>
        </w:tabs>
        <w:snapToGrid w:val="0"/>
        <w:spacing w:line="560" w:lineRule="exact"/>
        <w:ind w:firstLine="560" w:firstLineChars="200"/>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以省级以上监狱管理局、戒毒管理局（含新疆生产建设兵团）出具的属于监狱企业的证明文件为准。</w:t>
      </w:r>
      <w:r>
        <w:rPr>
          <w:rFonts w:ascii="方正仿宋_GBK" w:hAnsi="仿宋" w:eastAsia="方正仿宋_GBK"/>
          <w:color w:val="auto"/>
          <w:szCs w:val="28"/>
          <w:highlight w:val="none"/>
        </w:rPr>
        <w:br w:type="page"/>
      </w:r>
      <w:r>
        <w:rPr>
          <w:rFonts w:ascii="方正仿宋_GBK" w:hAnsi="仿宋" w:eastAsia="方正仿宋_GBK"/>
          <w:color w:val="auto"/>
          <w:szCs w:val="28"/>
          <w:highlight w:val="none"/>
        </w:rPr>
        <w:t>4.</w:t>
      </w:r>
      <w:r>
        <w:rPr>
          <w:rFonts w:hint="eastAsia" w:ascii="方正仿宋_GBK" w:hAnsi="仿宋" w:eastAsia="方正仿宋_GBK"/>
          <w:color w:val="auto"/>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jc w:val="center"/>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本单位郑重声明，根据《财政部</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民政部</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中国残疾人联合会关于促进残疾人就业政府采购政策的通知》（财库〔</w:t>
      </w:r>
      <w:r>
        <w:rPr>
          <w:rFonts w:ascii="方正仿宋_GBK" w:hAnsi="仿宋" w:eastAsia="方正仿宋_GBK"/>
          <w:color w:val="auto"/>
          <w:szCs w:val="28"/>
          <w:highlight w:val="none"/>
        </w:rPr>
        <w:t>2017</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 xml:space="preserve"> 141</w:t>
      </w:r>
      <w:r>
        <w:rPr>
          <w:rFonts w:hint="eastAsia" w:ascii="方正仿宋_GBK" w:hAnsi="仿宋" w:eastAsia="方正仿宋_GBK"/>
          <w:color w:val="auto"/>
          <w:szCs w:val="28"/>
          <w:highlight w:val="none"/>
        </w:rPr>
        <w:t>号）的规定，本单位为符合条件的残疾人福利性单位，且本单位参加</w:t>
      </w:r>
      <w:r>
        <w:rPr>
          <w:rFonts w:ascii="方正仿宋_GBK" w:hAnsi="仿宋" w:eastAsia="方正仿宋_GBK"/>
          <w:color w:val="auto"/>
          <w:szCs w:val="28"/>
          <w:highlight w:val="none"/>
        </w:rPr>
        <w:t>______</w:t>
      </w:r>
      <w:r>
        <w:rPr>
          <w:rFonts w:hint="eastAsia" w:ascii="方正仿宋_GBK" w:hAnsi="仿宋" w:eastAsia="方正仿宋_GBK"/>
          <w:color w:val="auto"/>
          <w:szCs w:val="28"/>
          <w:highlight w:val="none"/>
        </w:rPr>
        <w:t>单位的</w:t>
      </w:r>
      <w:r>
        <w:rPr>
          <w:rFonts w:ascii="方正仿宋_GBK" w:hAnsi="仿宋" w:eastAsia="方正仿宋_GBK"/>
          <w:color w:val="auto"/>
          <w:szCs w:val="28"/>
          <w:highlight w:val="none"/>
        </w:rPr>
        <w:t>______</w:t>
      </w:r>
      <w:r>
        <w:rPr>
          <w:rFonts w:hint="eastAsia" w:ascii="方正仿宋_GBK" w:hAnsi="仿宋" w:eastAsia="方正仿宋_GBK"/>
          <w:color w:val="auto"/>
          <w:szCs w:val="28"/>
          <w:highlight w:val="none"/>
        </w:rPr>
        <w:t>项目采购活动提供本单位制造的货物（由本单位承担工程</w:t>
      </w:r>
      <w:r>
        <w:rPr>
          <w:rFonts w:ascii="方正仿宋_GBK" w:hAnsi="仿宋" w:eastAsia="方正仿宋_GBK"/>
          <w:color w:val="auto"/>
          <w:szCs w:val="28"/>
          <w:highlight w:val="none"/>
        </w:rPr>
        <w:t>/</w:t>
      </w:r>
      <w:r>
        <w:rPr>
          <w:rFonts w:hint="eastAsia" w:ascii="方正仿宋_GBK" w:hAnsi="仿宋" w:eastAsia="方正仿宋_GBK"/>
          <w:color w:val="auto"/>
          <w:szCs w:val="28"/>
          <w:highlight w:val="none"/>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供应商名称（盖章）：</w:t>
      </w:r>
    </w:p>
    <w:p>
      <w:pPr>
        <w:tabs>
          <w:tab w:val="left" w:pos="6300"/>
        </w:tabs>
        <w:snapToGrid w:val="0"/>
        <w:spacing w:line="560" w:lineRule="exact"/>
        <w:ind w:firstLine="570"/>
        <w:jc w:val="left"/>
        <w:rPr>
          <w:rFonts w:ascii="方正仿宋_GBK" w:hAnsi="仿宋" w:eastAsia="方正仿宋_GBK"/>
          <w:color w:val="auto"/>
          <w:szCs w:val="28"/>
          <w:highlight w:val="none"/>
        </w:rPr>
      </w:pP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日</w:t>
      </w:r>
      <w:r>
        <w:rPr>
          <w:rFonts w:ascii="方正仿宋_GBK" w:hAnsi="仿宋" w:eastAsia="方正仿宋_GBK"/>
          <w:color w:val="auto"/>
          <w:szCs w:val="28"/>
          <w:highlight w:val="none"/>
        </w:rPr>
        <w:t xml:space="preserve">  </w:t>
      </w:r>
      <w:r>
        <w:rPr>
          <w:rFonts w:hint="eastAsia" w:ascii="方正仿宋_GBK" w:hAnsi="仿宋" w:eastAsia="方正仿宋_GBK"/>
          <w:color w:val="auto"/>
          <w:szCs w:val="28"/>
          <w:highlight w:val="none"/>
        </w:rPr>
        <w:t>期：</w:t>
      </w:r>
    </w:p>
    <w:p>
      <w:pPr>
        <w:spacing w:line="560" w:lineRule="exact"/>
        <w:ind w:firstLine="560" w:firstLineChars="200"/>
        <w:rPr>
          <w:rFonts w:ascii="方正仿宋_GBK" w:eastAsia="方正仿宋_GBK"/>
          <w:color w:val="auto"/>
          <w:szCs w:val="28"/>
          <w:highlight w:val="none"/>
        </w:rPr>
      </w:pPr>
      <w:r>
        <w:rPr>
          <w:rFonts w:ascii="方正仿宋_GBK" w:hAnsi="仿宋" w:eastAsia="方正仿宋_GBK"/>
          <w:color w:val="auto"/>
          <w:szCs w:val="28"/>
          <w:highlight w:val="none"/>
        </w:rPr>
        <w:br w:type="page"/>
      </w:r>
      <w:r>
        <w:rPr>
          <w:rFonts w:hint="eastAsia" w:ascii="方正仿宋_GBK" w:hAnsi="仿宋" w:eastAsia="方正仿宋_GBK"/>
          <w:color w:val="auto"/>
          <w:szCs w:val="28"/>
          <w:highlight w:val="none"/>
        </w:rPr>
        <w:t>（二）其他与项目有关的资料（自附）</w:t>
      </w:r>
    </w:p>
    <w:p>
      <w:pPr>
        <w:spacing w:line="560" w:lineRule="exact"/>
        <w:ind w:firstLine="560" w:firstLineChars="200"/>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Arial Unicode MS"/>
    <w:panose1 w:val="02000000000000000000"/>
    <w:charset w:val="86"/>
    <w:family w:val="script"/>
    <w:pitch w:val="default"/>
    <w:sig w:usb0="00000000" w:usb1="00000000" w:usb2="00082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1"/>
      </w:rPr>
    </w:pPr>
    <w:r>
      <w:rPr>
        <w:rStyle w:val="61"/>
      </w:rPr>
      <w:fldChar w:fldCharType="begin"/>
    </w:r>
    <w:r>
      <w:rPr>
        <w:rStyle w:val="61"/>
      </w:rPr>
      <w:instrText xml:space="preserve">PAGE  </w:instrText>
    </w:r>
    <w:r>
      <w:rPr>
        <w:rStyle w:val="61"/>
      </w:rPr>
      <w:fldChar w:fldCharType="separate"/>
    </w:r>
    <w:r>
      <w:rPr>
        <w:rStyle w:val="61"/>
      </w:rPr>
      <w:t>- 1 -</w:t>
    </w:r>
    <w:r>
      <w:rPr>
        <w:rStyle w:val="61"/>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1"/>
        <w:sz w:val="21"/>
        <w:szCs w:val="21"/>
      </w:rPr>
    </w:pPr>
    <w:r>
      <w:rPr>
        <w:rStyle w:val="61"/>
        <w:sz w:val="21"/>
        <w:szCs w:val="21"/>
      </w:rPr>
      <w:fldChar w:fldCharType="begin"/>
    </w:r>
    <w:r>
      <w:rPr>
        <w:rStyle w:val="61"/>
        <w:sz w:val="21"/>
        <w:szCs w:val="21"/>
      </w:rPr>
      <w:instrText xml:space="preserve">PAGE  </w:instrText>
    </w:r>
    <w:r>
      <w:rPr>
        <w:rStyle w:val="61"/>
        <w:sz w:val="21"/>
        <w:szCs w:val="21"/>
      </w:rPr>
      <w:fldChar w:fldCharType="separate"/>
    </w:r>
    <w:r>
      <w:rPr>
        <w:rStyle w:val="61"/>
        <w:sz w:val="21"/>
        <w:szCs w:val="21"/>
      </w:rPr>
      <w:t>- 4 -</w:t>
    </w:r>
    <w:r>
      <w:rPr>
        <w:rStyle w:val="61"/>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1"/>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1"/>
        <w:sz w:val="21"/>
        <w:szCs w:val="21"/>
      </w:rPr>
      <w:fldChar w:fldCharType="begin"/>
    </w:r>
    <w:r>
      <w:rPr>
        <w:rStyle w:val="61"/>
        <w:sz w:val="21"/>
        <w:szCs w:val="21"/>
      </w:rPr>
      <w:instrText xml:space="preserve"> PAGE </w:instrText>
    </w:r>
    <w:r>
      <w:rPr>
        <w:rStyle w:val="61"/>
        <w:sz w:val="21"/>
        <w:szCs w:val="21"/>
      </w:rPr>
      <w:fldChar w:fldCharType="separate"/>
    </w:r>
    <w:r>
      <w:rPr>
        <w:rStyle w:val="61"/>
        <w:sz w:val="21"/>
        <w:szCs w:val="21"/>
      </w:rPr>
      <w:t>- 22 -</w:t>
    </w:r>
    <w:r>
      <w:rPr>
        <w:rStyle w:val="61"/>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w:t>
    </w:r>
    <w:r>
      <w:rPr>
        <w:rFonts w:ascii="方正仿宋_GBK" w:eastAsia="方正仿宋_GBK"/>
        <w:sz w:val="21"/>
      </w:rPr>
      <w:t xml:space="preserve">                                                      </w:t>
    </w:r>
    <w:r>
      <w:rPr>
        <w:rFonts w:hint="eastAsia" w:ascii="方正仿宋_GBK" w:eastAsia="方正仿宋_GBK"/>
        <w:sz w:val="21"/>
      </w:rPr>
      <w:t>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w:t>
    </w:r>
    <w:r>
      <w:rPr>
        <w:rFonts w:ascii="方正仿宋_GBK" w:eastAsia="方正仿宋_GBK"/>
        <w:sz w:val="21"/>
        <w:szCs w:val="21"/>
      </w:rPr>
      <w:t xml:space="preserve">                                                             </w:t>
    </w:r>
    <w:r>
      <w:rPr>
        <w:rFonts w:hint="eastAsia" w:ascii="方正仿宋_GBK" w:eastAsia="方正仿宋_GBK"/>
        <w:sz w:val="21"/>
        <w:szCs w:val="21"/>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3B6"/>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46C55"/>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324C"/>
    <w:rsid w:val="00A7339B"/>
    <w:rsid w:val="00A7358D"/>
    <w:rsid w:val="00A7593D"/>
    <w:rsid w:val="00A75ABC"/>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96E2B"/>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F1BDF"/>
    <w:rsid w:val="03D43E6B"/>
    <w:rsid w:val="04192F2D"/>
    <w:rsid w:val="04232897"/>
    <w:rsid w:val="04372F34"/>
    <w:rsid w:val="04460410"/>
    <w:rsid w:val="04494917"/>
    <w:rsid w:val="047811F2"/>
    <w:rsid w:val="047F21D5"/>
    <w:rsid w:val="04803A5A"/>
    <w:rsid w:val="04C10DDC"/>
    <w:rsid w:val="04CA1A3A"/>
    <w:rsid w:val="04D46D43"/>
    <w:rsid w:val="04E01690"/>
    <w:rsid w:val="051C7DFB"/>
    <w:rsid w:val="051D7A78"/>
    <w:rsid w:val="05375EC4"/>
    <w:rsid w:val="054860B2"/>
    <w:rsid w:val="055E0C96"/>
    <w:rsid w:val="056A3A4A"/>
    <w:rsid w:val="057C1D34"/>
    <w:rsid w:val="059545E4"/>
    <w:rsid w:val="05B26D2D"/>
    <w:rsid w:val="05CF045F"/>
    <w:rsid w:val="06023365"/>
    <w:rsid w:val="060E2C8E"/>
    <w:rsid w:val="060E74F6"/>
    <w:rsid w:val="06205C33"/>
    <w:rsid w:val="063E0E10"/>
    <w:rsid w:val="065E7756"/>
    <w:rsid w:val="06985C17"/>
    <w:rsid w:val="06986AE4"/>
    <w:rsid w:val="06A87F59"/>
    <w:rsid w:val="06AA04C0"/>
    <w:rsid w:val="06AD0226"/>
    <w:rsid w:val="06EB021A"/>
    <w:rsid w:val="06EF5793"/>
    <w:rsid w:val="06F1354F"/>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F3EE3"/>
    <w:rsid w:val="0A51486D"/>
    <w:rsid w:val="0AB6502A"/>
    <w:rsid w:val="0ABA1B43"/>
    <w:rsid w:val="0ACB71D7"/>
    <w:rsid w:val="0ADB67E4"/>
    <w:rsid w:val="0AE41754"/>
    <w:rsid w:val="0AE97C4D"/>
    <w:rsid w:val="0B0C676B"/>
    <w:rsid w:val="0B0E1BB6"/>
    <w:rsid w:val="0B1A2342"/>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CB05FB"/>
    <w:rsid w:val="0ED15CD9"/>
    <w:rsid w:val="0F246D14"/>
    <w:rsid w:val="0F2D6BFB"/>
    <w:rsid w:val="0F2F0918"/>
    <w:rsid w:val="0F636044"/>
    <w:rsid w:val="0F67709F"/>
    <w:rsid w:val="0F7846DB"/>
    <w:rsid w:val="0F7C4872"/>
    <w:rsid w:val="0F9E7ABF"/>
    <w:rsid w:val="0FAD1963"/>
    <w:rsid w:val="0FCE469A"/>
    <w:rsid w:val="0FEC4DEA"/>
    <w:rsid w:val="0FFC147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709D0"/>
    <w:rsid w:val="14DA5611"/>
    <w:rsid w:val="14F15102"/>
    <w:rsid w:val="14F43A1C"/>
    <w:rsid w:val="14FE4C41"/>
    <w:rsid w:val="15215BBC"/>
    <w:rsid w:val="153310AE"/>
    <w:rsid w:val="15507B8F"/>
    <w:rsid w:val="158575B5"/>
    <w:rsid w:val="1588067E"/>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6F413C5"/>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2D0BBE"/>
    <w:rsid w:val="195601BB"/>
    <w:rsid w:val="196E5EA9"/>
    <w:rsid w:val="197C17D7"/>
    <w:rsid w:val="1998587F"/>
    <w:rsid w:val="19CD4E58"/>
    <w:rsid w:val="19DC7823"/>
    <w:rsid w:val="19DE635C"/>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ECA6EAF"/>
    <w:rsid w:val="1F162DBE"/>
    <w:rsid w:val="1F241322"/>
    <w:rsid w:val="1F3E402E"/>
    <w:rsid w:val="1F6E4F18"/>
    <w:rsid w:val="1F870B40"/>
    <w:rsid w:val="201C27C0"/>
    <w:rsid w:val="2079572D"/>
    <w:rsid w:val="208402F7"/>
    <w:rsid w:val="20B61E4D"/>
    <w:rsid w:val="20D35D78"/>
    <w:rsid w:val="21321F1B"/>
    <w:rsid w:val="213D35E2"/>
    <w:rsid w:val="213D6312"/>
    <w:rsid w:val="217E5C96"/>
    <w:rsid w:val="21A165ED"/>
    <w:rsid w:val="21FB0745"/>
    <w:rsid w:val="2203275D"/>
    <w:rsid w:val="22460687"/>
    <w:rsid w:val="22701375"/>
    <w:rsid w:val="228931FD"/>
    <w:rsid w:val="22BC38C0"/>
    <w:rsid w:val="22D07D85"/>
    <w:rsid w:val="23092F8F"/>
    <w:rsid w:val="230D1CD2"/>
    <w:rsid w:val="23194350"/>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C90A3F"/>
    <w:rsid w:val="29EF167C"/>
    <w:rsid w:val="2A9D0C90"/>
    <w:rsid w:val="2AAA7A67"/>
    <w:rsid w:val="2ABF1770"/>
    <w:rsid w:val="2ACA41EE"/>
    <w:rsid w:val="2AD645B3"/>
    <w:rsid w:val="2AE55EB3"/>
    <w:rsid w:val="2AF24BD8"/>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D548B4"/>
    <w:rsid w:val="30D54F94"/>
    <w:rsid w:val="30D94242"/>
    <w:rsid w:val="30E25EAC"/>
    <w:rsid w:val="30E56207"/>
    <w:rsid w:val="30FC3493"/>
    <w:rsid w:val="31012D73"/>
    <w:rsid w:val="314F1BC2"/>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356023"/>
    <w:rsid w:val="344D0C6B"/>
    <w:rsid w:val="345968B4"/>
    <w:rsid w:val="34611B72"/>
    <w:rsid w:val="34626974"/>
    <w:rsid w:val="34967726"/>
    <w:rsid w:val="34BE68CA"/>
    <w:rsid w:val="34C3230A"/>
    <w:rsid w:val="34E418D3"/>
    <w:rsid w:val="34FC5248"/>
    <w:rsid w:val="352168B4"/>
    <w:rsid w:val="35494B7A"/>
    <w:rsid w:val="356264D8"/>
    <w:rsid w:val="35816E72"/>
    <w:rsid w:val="35860B89"/>
    <w:rsid w:val="35A53FFE"/>
    <w:rsid w:val="35B5014D"/>
    <w:rsid w:val="35CD6300"/>
    <w:rsid w:val="35DA0C25"/>
    <w:rsid w:val="360838BF"/>
    <w:rsid w:val="368F2F3D"/>
    <w:rsid w:val="36A5297B"/>
    <w:rsid w:val="36A755E3"/>
    <w:rsid w:val="36BA57DF"/>
    <w:rsid w:val="36EA2EF3"/>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A8D1323"/>
    <w:rsid w:val="3A9B5B8A"/>
    <w:rsid w:val="3AAA1C17"/>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671A25"/>
    <w:rsid w:val="40916C5E"/>
    <w:rsid w:val="409935DD"/>
    <w:rsid w:val="40C02E7F"/>
    <w:rsid w:val="40D0278D"/>
    <w:rsid w:val="414C48A8"/>
    <w:rsid w:val="414E7159"/>
    <w:rsid w:val="41603530"/>
    <w:rsid w:val="41EC0C02"/>
    <w:rsid w:val="42310C07"/>
    <w:rsid w:val="42437D91"/>
    <w:rsid w:val="429C278D"/>
    <w:rsid w:val="429F1E0D"/>
    <w:rsid w:val="42BA1E87"/>
    <w:rsid w:val="42C269D6"/>
    <w:rsid w:val="42DD1413"/>
    <w:rsid w:val="43014590"/>
    <w:rsid w:val="430A4993"/>
    <w:rsid w:val="4311195E"/>
    <w:rsid w:val="43155CD0"/>
    <w:rsid w:val="4317651D"/>
    <w:rsid w:val="433C4C0C"/>
    <w:rsid w:val="43470659"/>
    <w:rsid w:val="43644773"/>
    <w:rsid w:val="4383719D"/>
    <w:rsid w:val="43A63C23"/>
    <w:rsid w:val="43BD59FD"/>
    <w:rsid w:val="43C1387E"/>
    <w:rsid w:val="43DB1093"/>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675A90"/>
    <w:rsid w:val="4F766114"/>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7F0DBE"/>
    <w:rsid w:val="599817B5"/>
    <w:rsid w:val="59A424FC"/>
    <w:rsid w:val="59A86C7C"/>
    <w:rsid w:val="59C36CA6"/>
    <w:rsid w:val="59D9651C"/>
    <w:rsid w:val="59E20672"/>
    <w:rsid w:val="59E77C59"/>
    <w:rsid w:val="59F4423F"/>
    <w:rsid w:val="59FD61C0"/>
    <w:rsid w:val="5A071521"/>
    <w:rsid w:val="5A200E7D"/>
    <w:rsid w:val="5A20436B"/>
    <w:rsid w:val="5A485873"/>
    <w:rsid w:val="5A4C4641"/>
    <w:rsid w:val="5A533F53"/>
    <w:rsid w:val="5A572B1C"/>
    <w:rsid w:val="5A6015D1"/>
    <w:rsid w:val="5A866F7C"/>
    <w:rsid w:val="5AA2156A"/>
    <w:rsid w:val="5AA7218C"/>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6C0FCA"/>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3952C4"/>
    <w:rsid w:val="5F433287"/>
    <w:rsid w:val="5F4646CC"/>
    <w:rsid w:val="5F6A76D4"/>
    <w:rsid w:val="5F856F33"/>
    <w:rsid w:val="5FC26661"/>
    <w:rsid w:val="5FDB2465"/>
    <w:rsid w:val="5FE91007"/>
    <w:rsid w:val="604C40AD"/>
    <w:rsid w:val="60532490"/>
    <w:rsid w:val="60670929"/>
    <w:rsid w:val="609C1BB5"/>
    <w:rsid w:val="60A57742"/>
    <w:rsid w:val="60FC63BB"/>
    <w:rsid w:val="60FF2B34"/>
    <w:rsid w:val="610B17E9"/>
    <w:rsid w:val="614E387A"/>
    <w:rsid w:val="615279C1"/>
    <w:rsid w:val="6185637F"/>
    <w:rsid w:val="61A17971"/>
    <w:rsid w:val="61B33FAD"/>
    <w:rsid w:val="61C2086E"/>
    <w:rsid w:val="61ED62E4"/>
    <w:rsid w:val="62347E9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64003C"/>
    <w:rsid w:val="6A643711"/>
    <w:rsid w:val="6A856E03"/>
    <w:rsid w:val="6AB6329A"/>
    <w:rsid w:val="6ACD5AD0"/>
    <w:rsid w:val="6ADA242B"/>
    <w:rsid w:val="6AE20CB8"/>
    <w:rsid w:val="6AFF46A8"/>
    <w:rsid w:val="6B2111D2"/>
    <w:rsid w:val="6B390F75"/>
    <w:rsid w:val="6B655A6E"/>
    <w:rsid w:val="6B697F76"/>
    <w:rsid w:val="6BAA51E1"/>
    <w:rsid w:val="6BB140BD"/>
    <w:rsid w:val="6BD727DC"/>
    <w:rsid w:val="6BEA13C0"/>
    <w:rsid w:val="6BF37700"/>
    <w:rsid w:val="6C0C784B"/>
    <w:rsid w:val="6C0E4D78"/>
    <w:rsid w:val="6C3C1C06"/>
    <w:rsid w:val="6CA20189"/>
    <w:rsid w:val="6CB03B06"/>
    <w:rsid w:val="6CB931AD"/>
    <w:rsid w:val="6CD417DC"/>
    <w:rsid w:val="6CDC10FC"/>
    <w:rsid w:val="6CE62274"/>
    <w:rsid w:val="6CFD4503"/>
    <w:rsid w:val="6D50176E"/>
    <w:rsid w:val="6D5732A7"/>
    <w:rsid w:val="6D72359E"/>
    <w:rsid w:val="6D84623E"/>
    <w:rsid w:val="6D887F94"/>
    <w:rsid w:val="6DDD7241"/>
    <w:rsid w:val="6DE91475"/>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756"/>
    <w:rsid w:val="7036571F"/>
    <w:rsid w:val="703D6EF4"/>
    <w:rsid w:val="7091272F"/>
    <w:rsid w:val="70AF4754"/>
    <w:rsid w:val="70C229C4"/>
    <w:rsid w:val="70CD5D7C"/>
    <w:rsid w:val="70D372A7"/>
    <w:rsid w:val="70FE3163"/>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766428"/>
    <w:rsid w:val="737A1EA8"/>
    <w:rsid w:val="73982B23"/>
    <w:rsid w:val="73A11424"/>
    <w:rsid w:val="73A90B1E"/>
    <w:rsid w:val="73AA2B9B"/>
    <w:rsid w:val="73C44C10"/>
    <w:rsid w:val="73CC3CE8"/>
    <w:rsid w:val="73DD6111"/>
    <w:rsid w:val="73F30493"/>
    <w:rsid w:val="746F1CB8"/>
    <w:rsid w:val="74886EF1"/>
    <w:rsid w:val="74AD1720"/>
    <w:rsid w:val="74E55D78"/>
    <w:rsid w:val="75401080"/>
    <w:rsid w:val="754C1EF6"/>
    <w:rsid w:val="75661CD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552816"/>
    <w:rsid w:val="7E673874"/>
    <w:rsid w:val="7E71001D"/>
    <w:rsid w:val="7EAE7CE9"/>
    <w:rsid w:val="7EC012E9"/>
    <w:rsid w:val="7EE22F44"/>
    <w:rsid w:val="7F0551BF"/>
    <w:rsid w:val="7F777FA6"/>
    <w:rsid w:val="7F7913B6"/>
    <w:rsid w:val="7F842003"/>
    <w:rsid w:val="7FA1158C"/>
    <w:rsid w:val="7FA9750A"/>
    <w:rsid w:val="7FE9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8"/>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link w:val="59"/>
    <w:semiHidden/>
    <w:qFormat/>
    <w:uiPriority w:val="0"/>
  </w:style>
  <w:style w:type="table" w:default="1" w:styleId="5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semiHidden/>
    <w:qFormat/>
    <w:uiPriority w:val="0"/>
    <w:pPr>
      <w:ind w:left="2520" w:leftChars="1200"/>
    </w:pPr>
  </w:style>
  <w:style w:type="paragraph" w:styleId="14">
    <w:name w:val="List Number 2"/>
    <w:basedOn w:val="1"/>
    <w:qFormat/>
    <w:uiPriority w:val="0"/>
    <w:pPr>
      <w:tabs>
        <w:tab w:val="left" w:pos="780"/>
      </w:tabs>
      <w:spacing w:line="360" w:lineRule="auto"/>
      <w:ind w:left="425" w:hanging="425"/>
    </w:pPr>
    <w:rPr>
      <w:sz w:val="24"/>
    </w:rPr>
  </w:style>
  <w:style w:type="paragraph" w:styleId="15">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semiHidden/>
    <w:qFormat/>
    <w:uiPriority w:val="0"/>
    <w:pPr>
      <w:shd w:val="clear" w:color="auto" w:fill="000080"/>
    </w:pPr>
  </w:style>
  <w:style w:type="paragraph" w:styleId="19">
    <w:name w:val="toa heading"/>
    <w:basedOn w:val="1"/>
    <w:next w:val="1"/>
    <w:semiHidden/>
    <w:qFormat/>
    <w:uiPriority w:val="0"/>
    <w:pPr>
      <w:spacing w:before="120"/>
    </w:pPr>
    <w:rPr>
      <w:rFonts w:ascii="Arial" w:hAnsi="Arial"/>
      <w:sz w:val="24"/>
    </w:rPr>
  </w:style>
  <w:style w:type="paragraph" w:styleId="20">
    <w:name w:val="annotation text"/>
    <w:basedOn w:val="1"/>
    <w:link w:val="69"/>
    <w:semiHidden/>
    <w:qFormat/>
    <w:uiPriority w:val="0"/>
    <w:pPr>
      <w:adjustRightInd w:val="0"/>
      <w:spacing w:line="360" w:lineRule="atLeast"/>
      <w:jc w:val="left"/>
      <w:textAlignment w:val="baseline"/>
    </w:pPr>
    <w:rPr>
      <w:kern w:val="0"/>
      <w:sz w:val="24"/>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tabs>
        <w:tab w:val="left" w:pos="1200"/>
      </w:tabs>
      <w:adjustRightInd w:val="0"/>
      <w:snapToGrid w:val="0"/>
      <w:spacing w:line="360" w:lineRule="auto"/>
      <w:ind w:left="1200" w:hanging="360"/>
    </w:pPr>
    <w:rPr>
      <w:sz w:val="24"/>
    </w:rPr>
  </w:style>
  <w:style w:type="paragraph" w:styleId="23">
    <w:name w:val="Body Text Indent"/>
    <w:basedOn w:val="1"/>
    <w:link w:val="70"/>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semiHidden/>
    <w:qFormat/>
    <w:uiPriority w:val="0"/>
    <w:pPr>
      <w:ind w:left="1680" w:leftChars="800"/>
    </w:pPr>
  </w:style>
  <w:style w:type="paragraph" w:styleId="29">
    <w:name w:val="toc 3"/>
    <w:basedOn w:val="1"/>
    <w:next w:val="1"/>
    <w:semiHidden/>
    <w:qFormat/>
    <w:uiPriority w:val="0"/>
    <w:pPr>
      <w:ind w:left="840" w:leftChars="400"/>
    </w:pPr>
  </w:style>
  <w:style w:type="paragraph" w:styleId="30">
    <w:name w:val="Plain Text"/>
    <w:basedOn w:val="1"/>
    <w:link w:val="71"/>
    <w:qFormat/>
    <w:uiPriority w:val="0"/>
    <w:rPr>
      <w:rFonts w:ascii="宋体" w:hAnsi="Courier New"/>
      <w:sz w:val="21"/>
    </w:rPr>
  </w:style>
  <w:style w:type="paragraph" w:styleId="31">
    <w:name w:val="toc 8"/>
    <w:basedOn w:val="1"/>
    <w:next w:val="1"/>
    <w:semiHidden/>
    <w:qFormat/>
    <w:uiPriority w:val="0"/>
    <w:pPr>
      <w:ind w:left="2940" w:leftChars="1400"/>
    </w:pPr>
  </w:style>
  <w:style w:type="paragraph" w:styleId="32">
    <w:name w:val="Date"/>
    <w:basedOn w:val="1"/>
    <w:next w:val="1"/>
    <w:link w:val="72"/>
    <w:qFormat/>
    <w:uiPriority w:val="0"/>
  </w:style>
  <w:style w:type="paragraph" w:styleId="33">
    <w:name w:val="Body Text Indent 2"/>
    <w:basedOn w:val="1"/>
    <w:link w:val="73"/>
    <w:qFormat/>
    <w:uiPriority w:val="0"/>
    <w:pPr>
      <w:snapToGrid w:val="0"/>
      <w:spacing w:line="560" w:lineRule="atLeast"/>
      <w:ind w:firstLine="540"/>
    </w:pPr>
  </w:style>
  <w:style w:type="paragraph" w:styleId="34">
    <w:name w:val="Balloon Text"/>
    <w:basedOn w:val="1"/>
    <w:semiHidden/>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semiHidden/>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semiHidden/>
    <w:qFormat/>
    <w:uiPriority w:val="0"/>
    <w:pPr>
      <w:ind w:left="1260" w:leftChars="600"/>
    </w:pPr>
  </w:style>
  <w:style w:type="paragraph" w:styleId="40">
    <w:name w:val="footnote text"/>
    <w:basedOn w:val="1"/>
    <w:link w:val="74"/>
    <w:semiHidden/>
    <w:qFormat/>
    <w:uiPriority w:val="0"/>
    <w:pPr>
      <w:spacing w:line="360" w:lineRule="auto"/>
    </w:pPr>
    <w:rPr>
      <w:sz w:val="18"/>
    </w:rPr>
  </w:style>
  <w:style w:type="paragraph" w:styleId="41">
    <w:name w:val="toc 6"/>
    <w:basedOn w:val="1"/>
    <w:next w:val="1"/>
    <w:semiHidden/>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semiHidden/>
    <w:qFormat/>
    <w:uiPriority w:val="0"/>
    <w:pPr>
      <w:tabs>
        <w:tab w:val="right" w:leader="dot" w:pos="8640"/>
      </w:tabs>
      <w:spacing w:line="360" w:lineRule="auto"/>
      <w:ind w:left="400" w:hanging="400"/>
    </w:pPr>
    <w:rPr>
      <w:sz w:val="24"/>
    </w:rPr>
  </w:style>
  <w:style w:type="paragraph" w:styleId="45">
    <w:name w:val="toc 2"/>
    <w:basedOn w:val="1"/>
    <w:next w:val="1"/>
    <w:semiHidden/>
    <w:qFormat/>
    <w:uiPriority w:val="0"/>
    <w:pPr>
      <w:ind w:left="420" w:leftChars="200"/>
    </w:pPr>
  </w:style>
  <w:style w:type="paragraph" w:styleId="46">
    <w:name w:val="toc 9"/>
    <w:basedOn w:val="1"/>
    <w:next w:val="1"/>
    <w:semiHidden/>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semiHidden/>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20"/>
    <w:next w:val="20"/>
    <w:link w:val="75"/>
    <w:semiHidden/>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6"/>
    <w:qFormat/>
    <w:uiPriority w:val="0"/>
    <w:pPr>
      <w:spacing w:after="120" w:line="240" w:lineRule="auto"/>
      <w:ind w:left="420" w:leftChars="200" w:firstLine="420" w:firstLineChars="200"/>
    </w:pPr>
  </w:style>
  <w:style w:type="paragraph" w:customStyle="1" w:styleId="59">
    <w:name w:val="_Style 242"/>
    <w:basedOn w:val="1"/>
    <w:link w:val="58"/>
    <w:qFormat/>
    <w:uiPriority w:val="0"/>
    <w:pPr>
      <w:widowControl/>
      <w:spacing w:after="160" w:line="240" w:lineRule="exact"/>
      <w:jc w:val="left"/>
    </w:pPr>
    <w:rPr>
      <w:rFonts w:ascii="Verdana" w:hAnsi="Verdana" w:eastAsia="仿宋_GB2312"/>
      <w:kern w:val="0"/>
      <w:sz w:val="24"/>
      <w:lang w:eastAsia="en-US"/>
    </w:rPr>
  </w:style>
  <w:style w:type="character" w:styleId="60">
    <w:name w:val="Strong"/>
    <w:qFormat/>
    <w:uiPriority w:val="0"/>
    <w:rPr>
      <w:b/>
    </w:rPr>
  </w:style>
  <w:style w:type="character" w:styleId="61">
    <w:name w:val="page number"/>
    <w:qFormat/>
    <w:uiPriority w:val="0"/>
    <w:rPr>
      <w:rFonts w:cs="Times New Roman"/>
    </w:rPr>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0"/>
    <w:rPr>
      <w:color w:val="0000FF"/>
      <w:u w:val="single"/>
    </w:rPr>
  </w:style>
  <w:style w:type="character" w:styleId="65">
    <w:name w:val="annotation reference"/>
    <w:semiHidden/>
    <w:qFormat/>
    <w:uiPriority w:val="0"/>
    <w:rPr>
      <w:sz w:val="21"/>
    </w:rPr>
  </w:style>
  <w:style w:type="character" w:styleId="66">
    <w:name w:val="footnote reference"/>
    <w:semiHidden/>
    <w:qFormat/>
    <w:uiPriority w:val="0"/>
    <w:rPr>
      <w:position w:val="6"/>
      <w:sz w:val="14"/>
      <w:vertAlign w:val="superscript"/>
    </w:rPr>
  </w:style>
  <w:style w:type="character" w:customStyle="1" w:styleId="67">
    <w:name w:val="标题 2 Char"/>
    <w:link w:val="4"/>
    <w:qFormat/>
    <w:locked/>
    <w:uiPriority w:val="0"/>
    <w:rPr>
      <w:rFonts w:ascii="Arial" w:hAnsi="Arial" w:eastAsia="黑体"/>
      <w:b/>
      <w:kern w:val="2"/>
      <w:sz w:val="32"/>
    </w:rPr>
  </w:style>
  <w:style w:type="character" w:customStyle="1" w:styleId="68">
    <w:name w:val="标题 3 Char"/>
    <w:link w:val="5"/>
    <w:qFormat/>
    <w:locked/>
    <w:uiPriority w:val="0"/>
    <w:rPr>
      <w:rFonts w:eastAsia="宋体"/>
      <w:b/>
      <w:kern w:val="2"/>
      <w:sz w:val="32"/>
      <w:lang w:val="en-US" w:eastAsia="zh-CN"/>
    </w:rPr>
  </w:style>
  <w:style w:type="character" w:customStyle="1" w:styleId="69">
    <w:name w:val="批注文字 Char"/>
    <w:link w:val="20"/>
    <w:qFormat/>
    <w:locked/>
    <w:uiPriority w:val="0"/>
    <w:rPr>
      <w:sz w:val="24"/>
    </w:rPr>
  </w:style>
  <w:style w:type="character" w:customStyle="1" w:styleId="70">
    <w:name w:val="正文文本缩进 Char"/>
    <w:link w:val="23"/>
    <w:qFormat/>
    <w:locked/>
    <w:uiPriority w:val="0"/>
    <w:rPr>
      <w:kern w:val="2"/>
      <w:sz w:val="44"/>
    </w:rPr>
  </w:style>
  <w:style w:type="character" w:customStyle="1" w:styleId="71">
    <w:name w:val="纯文本 Char"/>
    <w:link w:val="30"/>
    <w:qFormat/>
    <w:locked/>
    <w:uiPriority w:val="0"/>
    <w:rPr>
      <w:rFonts w:ascii="宋体" w:hAnsi="Courier New"/>
      <w:kern w:val="2"/>
      <w:sz w:val="21"/>
    </w:rPr>
  </w:style>
  <w:style w:type="character" w:customStyle="1" w:styleId="72">
    <w:name w:val="日期 Char"/>
    <w:link w:val="32"/>
    <w:qFormat/>
    <w:locked/>
    <w:uiPriority w:val="0"/>
    <w:rPr>
      <w:kern w:val="2"/>
      <w:sz w:val="28"/>
    </w:rPr>
  </w:style>
  <w:style w:type="character" w:customStyle="1" w:styleId="73">
    <w:name w:val="正文文本缩进 2 Char"/>
    <w:link w:val="33"/>
    <w:qFormat/>
    <w:locked/>
    <w:uiPriority w:val="0"/>
    <w:rPr>
      <w:kern w:val="2"/>
      <w:sz w:val="28"/>
    </w:rPr>
  </w:style>
  <w:style w:type="character" w:customStyle="1" w:styleId="74">
    <w:name w:val="脚注文本 Char"/>
    <w:link w:val="40"/>
    <w:qFormat/>
    <w:locked/>
    <w:uiPriority w:val="0"/>
    <w:rPr>
      <w:kern w:val="2"/>
      <w:sz w:val="18"/>
    </w:rPr>
  </w:style>
  <w:style w:type="character" w:customStyle="1" w:styleId="75">
    <w:name w:val="批注主题 Char"/>
    <w:link w:val="54"/>
    <w:qFormat/>
    <w:locked/>
    <w:uiPriority w:val="0"/>
    <w:rPr>
      <w:rFonts w:cs="Times New Roman"/>
      <w:sz w:val="24"/>
    </w:rPr>
  </w:style>
  <w:style w:type="character" w:customStyle="1" w:styleId="76">
    <w:name w:val="正文首行缩进 2 Char"/>
    <w:link w:val="56"/>
    <w:qFormat/>
    <w:locked/>
    <w:uiPriority w:val="0"/>
    <w:rPr>
      <w:rFonts w:cs="Times New Roman"/>
      <w:kern w:val="2"/>
      <w:sz w:val="44"/>
    </w:rPr>
  </w:style>
  <w:style w:type="character" w:customStyle="1" w:styleId="77">
    <w:name w:val="Char Char2"/>
    <w:qFormat/>
    <w:uiPriority w:val="0"/>
    <w:rPr>
      <w:rFonts w:eastAsia="宋体"/>
      <w:kern w:val="2"/>
      <w:sz w:val="18"/>
      <w:lang w:val="en-US" w:eastAsia="zh-CN"/>
    </w:rPr>
  </w:style>
  <w:style w:type="character" w:customStyle="1" w:styleId="78">
    <w:name w:val="Char Char11"/>
    <w:qFormat/>
    <w:uiPriority w:val="0"/>
    <w:rPr>
      <w:rFonts w:ascii="宋体"/>
      <w:kern w:val="2"/>
      <w:sz w:val="28"/>
    </w:rPr>
  </w:style>
  <w:style w:type="character" w:customStyle="1" w:styleId="79">
    <w:name w:val="title_emph1"/>
    <w:qFormat/>
    <w:uiPriority w:val="0"/>
    <w:rPr>
      <w:rFonts w:ascii="Arial" w:hAnsi="Arial"/>
      <w:b/>
      <w:sz w:val="20"/>
    </w:rPr>
  </w:style>
  <w:style w:type="character" w:customStyle="1" w:styleId="80">
    <w:name w:val="Char Char3"/>
    <w:qFormat/>
    <w:uiPriority w:val="0"/>
    <w:rPr>
      <w:rFonts w:eastAsia="宋体"/>
      <w:kern w:val="2"/>
      <w:sz w:val="18"/>
      <w:lang w:val="en-US" w:eastAsia="zh-CN"/>
    </w:rPr>
  </w:style>
  <w:style w:type="character" w:customStyle="1" w:styleId="81">
    <w:name w:val="Char Char7"/>
    <w:qFormat/>
    <w:uiPriority w:val="0"/>
    <w:rPr>
      <w:rFonts w:ascii="宋体" w:hAnsi="宋体" w:eastAsia="宋体"/>
      <w:kern w:val="2"/>
      <w:sz w:val="28"/>
    </w:rPr>
  </w:style>
  <w:style w:type="character" w:customStyle="1" w:styleId="82">
    <w:name w:val="H2 Char"/>
    <w:qFormat/>
    <w:uiPriority w:val="0"/>
    <w:rPr>
      <w:rFonts w:ascii="Arial" w:hAnsi="Arial" w:eastAsia="宋体"/>
      <w:kern w:val="2"/>
      <w:sz w:val="28"/>
      <w:lang w:val="en-US" w:eastAsia="zh-CN"/>
    </w:rPr>
  </w:style>
  <w:style w:type="character" w:customStyle="1" w:styleId="83">
    <w:name w:val="content-white1"/>
    <w:qFormat/>
    <w:uiPriority w:val="0"/>
    <w:rPr>
      <w:color w:val="auto"/>
      <w:sz w:val="18"/>
      <w:u w:val="none"/>
    </w:rPr>
  </w:style>
  <w:style w:type="character" w:customStyle="1" w:styleId="84">
    <w:name w:val="Char Char"/>
    <w:qFormat/>
    <w:uiPriority w:val="0"/>
    <w:rPr>
      <w:rFonts w:ascii="宋体" w:hAnsi="宋体" w:eastAsia="宋体"/>
      <w:kern w:val="2"/>
      <w:sz w:val="24"/>
      <w:lang w:val="en-US" w:eastAsia="zh-CN"/>
    </w:rPr>
  </w:style>
  <w:style w:type="character" w:customStyle="1" w:styleId="85">
    <w:name w:val="top-det1"/>
    <w:qFormat/>
    <w:uiPriority w:val="0"/>
    <w:rPr>
      <w:b/>
      <w:color w:val="000000"/>
    </w:rPr>
  </w:style>
  <w:style w:type="character" w:customStyle="1" w:styleId="86">
    <w:name w:val="样式 宋体"/>
    <w:qFormat/>
    <w:uiPriority w:val="0"/>
    <w:rPr>
      <w:rFonts w:ascii="宋体" w:hAnsi="宋体" w:eastAsia="宋体"/>
      <w:sz w:val="28"/>
    </w:rPr>
  </w:style>
  <w:style w:type="character" w:customStyle="1" w:styleId="87">
    <w:name w:val="Table Text Char1 Char"/>
    <w:qFormat/>
    <w:uiPriority w:val="0"/>
    <w:rPr>
      <w:rFonts w:ascii="Arial" w:hAnsi="Arial"/>
      <w:kern w:val="2"/>
      <w:sz w:val="18"/>
      <w:lang w:val="en-US" w:eastAsia="zh-CN"/>
    </w:rPr>
  </w:style>
  <w:style w:type="character" w:customStyle="1" w:styleId="88">
    <w:name w:val="Char Char6"/>
    <w:qFormat/>
    <w:uiPriority w:val="0"/>
    <w:rPr>
      <w:rFonts w:ascii="仿宋_GB2312" w:eastAsia="仿宋_GB2312"/>
      <w:kern w:val="2"/>
      <w:sz w:val="32"/>
    </w:rPr>
  </w:style>
  <w:style w:type="character" w:customStyle="1" w:styleId="89">
    <w:name w:val="crowed11"/>
    <w:qFormat/>
    <w:uiPriority w:val="0"/>
    <w:rPr>
      <w:sz w:val="24"/>
    </w:rPr>
  </w:style>
  <w:style w:type="character" w:customStyle="1" w:styleId="90">
    <w:name w:val="Table Text Char Char Char Char"/>
    <w:link w:val="91"/>
    <w:qFormat/>
    <w:locked/>
    <w:uiPriority w:val="0"/>
    <w:rPr>
      <w:rFonts w:ascii="Arial" w:hAnsi="Arial"/>
      <w:kern w:val="2"/>
      <w:sz w:val="18"/>
      <w:lang w:val="en-US" w:eastAsia="zh-CN"/>
    </w:rPr>
  </w:style>
  <w:style w:type="paragraph" w:customStyle="1" w:styleId="91">
    <w:name w:val="Table Text Char Char Char"/>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qFormat/>
    <w:uiPriority w:val="0"/>
    <w:rPr>
      <w:sz w:val="18"/>
    </w:rPr>
  </w:style>
  <w:style w:type="character" w:customStyle="1" w:styleId="93">
    <w:name w:val="正文 + 三号 Char"/>
    <w:qFormat/>
    <w:uiPriority w:val="0"/>
    <w:rPr>
      <w:rFonts w:eastAsia="宋体"/>
      <w:kern w:val="2"/>
      <w:sz w:val="21"/>
      <w:lang w:val="en-US" w:eastAsia="zh-CN"/>
    </w:rPr>
  </w:style>
  <w:style w:type="character" w:customStyle="1" w:styleId="94">
    <w:name w:val="font1"/>
    <w:qFormat/>
    <w:uiPriority w:val="0"/>
    <w:rPr>
      <w:color w:val="000000"/>
      <w:sz w:val="18"/>
    </w:rPr>
  </w:style>
  <w:style w:type="character" w:customStyle="1" w:styleId="95">
    <w:name w:val="未命名11"/>
    <w:qFormat/>
    <w:uiPriority w:val="0"/>
    <w:rPr>
      <w:color w:val="77FFFF"/>
      <w:sz w:val="24"/>
    </w:rPr>
  </w:style>
  <w:style w:type="character" w:customStyle="1" w:styleId="96">
    <w:name w:val="小 Char"/>
    <w:qFormat/>
    <w:uiPriority w:val="0"/>
    <w:rPr>
      <w:rFonts w:ascii="宋体" w:hAnsi="Courier New" w:eastAsia="宋体"/>
      <w:kern w:val="2"/>
      <w:sz w:val="21"/>
      <w:lang w:val="en-US" w:eastAsia="zh-CN"/>
    </w:rPr>
  </w:style>
  <w:style w:type="character" w:customStyle="1" w:styleId="97">
    <w:name w:val="Table Heading Char Char"/>
    <w:qFormat/>
    <w:uiPriority w:val="0"/>
    <w:rPr>
      <w:rFonts w:ascii="Arial" w:hAnsi="Arial" w:eastAsia="黑体"/>
      <w:kern w:val="2"/>
      <w:sz w:val="18"/>
      <w:lang w:val="en-US" w:eastAsia="zh-CN"/>
    </w:rPr>
  </w:style>
  <w:style w:type="character" w:customStyle="1" w:styleId="98">
    <w:name w:val="标书正文:  0.74 厘米 Char1"/>
    <w:qFormat/>
    <w:uiPriority w:val="0"/>
    <w:rPr>
      <w:rFonts w:eastAsia="宋体"/>
      <w:kern w:val="2"/>
      <w:sz w:val="24"/>
      <w:lang w:val="en-US" w:eastAsia="zh-CN"/>
    </w:rPr>
  </w:style>
  <w:style w:type="character" w:customStyle="1" w:styleId="99">
    <w:name w:val="Char Char4"/>
    <w:qFormat/>
    <w:uiPriority w:val="0"/>
    <w:rPr>
      <w:rFonts w:eastAsia="宋体"/>
      <w:b/>
      <w:kern w:val="2"/>
      <w:sz w:val="21"/>
      <w:lang w:val="en-US" w:eastAsia="zh-CN"/>
    </w:rPr>
  </w:style>
  <w:style w:type="character" w:customStyle="1" w:styleId="100">
    <w:name w:val="Char Char5"/>
    <w:qFormat/>
    <w:uiPriority w:val="0"/>
    <w:rPr>
      <w:rFonts w:ascii="Arial" w:hAnsi="Arial" w:eastAsia="宋体"/>
      <w:b/>
      <w:smallCaps/>
      <w:kern w:val="28"/>
      <w:sz w:val="36"/>
      <w:lang w:val="en-US" w:eastAsia="en-US"/>
    </w:rPr>
  </w:style>
  <w:style w:type="character" w:customStyle="1" w:styleId="101">
    <w:name w:val="文字 Char"/>
    <w:link w:val="102"/>
    <w:qFormat/>
    <w:locked/>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Table Text Char"/>
    <w:link w:val="104"/>
    <w:qFormat/>
    <w:locked/>
    <w:uiPriority w:val="0"/>
    <w:rPr>
      <w:rFonts w:ascii="Arial" w:hAnsi="Arial"/>
      <w:kern w:val="2"/>
      <w:sz w:val="18"/>
      <w:lang w:val="en-US" w:eastAsia="zh-CN"/>
    </w:rPr>
  </w:style>
  <w:style w:type="paragraph" w:customStyle="1" w:styleId="104">
    <w:name w:val="Table Text"/>
    <w:link w:val="103"/>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qFormat/>
    <w:uiPriority w:val="0"/>
    <w:pPr>
      <w:snapToGrid/>
      <w:spacing w:line="360" w:lineRule="auto"/>
      <w:ind w:left="1407" w:hanging="1047"/>
      <w:jc w:val="left"/>
    </w:pPr>
    <w:rPr>
      <w:rFonts w:eastAsia="仿宋_GB2312"/>
    </w:rPr>
  </w:style>
  <w:style w:type="paragraph" w:customStyle="1" w:styleId="1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qFormat/>
    <w:uiPriority w:val="0"/>
    <w:pPr>
      <w:spacing w:line="360" w:lineRule="auto"/>
      <w:ind w:firstLine="420"/>
    </w:pPr>
    <w:rPr>
      <w:sz w:val="24"/>
    </w:rPr>
  </w:style>
  <w:style w:type="paragraph" w:customStyle="1" w:styleId="111">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qFormat/>
    <w:uiPriority w:val="0"/>
    <w:rPr>
      <w:rFonts w:ascii="Tahoma" w:hAnsi="Tahoma"/>
      <w:sz w:val="24"/>
    </w:rPr>
  </w:style>
  <w:style w:type="paragraph" w:customStyle="1" w:styleId="115">
    <w:name w:val="正文文本缩进 21"/>
    <w:basedOn w:val="1"/>
    <w:qFormat/>
    <w:uiPriority w:val="0"/>
    <w:pPr>
      <w:adjustRightInd w:val="0"/>
      <w:spacing w:before="120"/>
      <w:ind w:firstLine="420"/>
      <w:textAlignment w:val="baseline"/>
    </w:pPr>
    <w:rPr>
      <w:sz w:val="24"/>
    </w:rPr>
  </w:style>
  <w:style w:type="paragraph" w:customStyle="1" w:styleId="116">
    <w:name w:val="标准正文"/>
    <w:basedOn w:val="23"/>
    <w:qFormat/>
    <w:uiPriority w:val="0"/>
    <w:pPr>
      <w:spacing w:before="60" w:after="60" w:line="360" w:lineRule="auto"/>
      <w:ind w:left="0" w:firstLine="482"/>
    </w:pPr>
    <w:rPr>
      <w:rFonts w:ascii="Arial" w:hAnsi="Arial"/>
      <w:sz w:val="24"/>
    </w:rPr>
  </w:style>
  <w:style w:type="paragraph" w:customStyle="1" w:styleId="117">
    <w:name w:val="Title - Revision"/>
    <w:basedOn w:val="53"/>
    <w:qFormat/>
    <w:uiPriority w:val="0"/>
    <w:pPr>
      <w:spacing w:before="720"/>
    </w:pPr>
  </w:style>
  <w:style w:type="paragraph" w:customStyle="1" w:styleId="118">
    <w:name w:val="样式 宋体 五号 行距: 单倍行距"/>
    <w:basedOn w:val="1"/>
    <w:qFormat/>
    <w:uiPriority w:val="0"/>
    <w:pPr>
      <w:adjustRightInd w:val="0"/>
      <w:jc w:val="left"/>
    </w:pPr>
    <w:rPr>
      <w:rFonts w:ascii="宋体" w:hAnsi="宋体"/>
      <w:kern w:val="0"/>
      <w:sz w:val="21"/>
    </w:rPr>
  </w:style>
  <w:style w:type="paragraph" w:customStyle="1" w:styleId="119">
    <w:name w:val="首行缩进 1"/>
    <w:basedOn w:val="1"/>
    <w:qFormat/>
    <w:uiPriority w:val="0"/>
    <w:pPr>
      <w:spacing w:after="120" w:line="360" w:lineRule="auto"/>
      <w:ind w:firstLine="200" w:firstLineChars="200"/>
    </w:pPr>
    <w:rPr>
      <w:sz w:val="24"/>
    </w:rPr>
  </w:style>
  <w:style w:type="paragraph" w:customStyle="1" w:styleId="12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qFormat/>
    <w:uiPriority w:val="0"/>
    <w:pPr>
      <w:spacing w:line="240" w:lineRule="atLeast"/>
      <w:ind w:left="420" w:firstLine="420"/>
    </w:pPr>
    <w:rPr>
      <w:kern w:val="0"/>
      <w:sz w:val="21"/>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qFormat/>
    <w:uiPriority w:val="0"/>
    <w:pPr>
      <w:tabs>
        <w:tab w:val="left" w:pos="1275"/>
      </w:tabs>
      <w:spacing w:before="60" w:after="60" w:line="360" w:lineRule="auto"/>
      <w:ind w:left="820" w:leftChars="400" w:hanging="705"/>
    </w:pPr>
    <w:rPr>
      <w:sz w:val="24"/>
    </w:rPr>
  </w:style>
  <w:style w:type="paragraph" w:customStyle="1" w:styleId="12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4"/>
    <w:qFormat/>
    <w:uiPriority w:val="0"/>
    <w:pPr>
      <w:spacing w:line="360" w:lineRule="auto"/>
    </w:pPr>
    <w:rPr>
      <w:rFonts w:eastAsia="黑体"/>
      <w:sz w:val="20"/>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qFormat/>
    <w:uiPriority w:val="0"/>
    <w:pPr>
      <w:spacing w:beforeLines="0" w:afterLines="0"/>
      <w:ind w:left="525"/>
      <w:outlineLvl w:val="2"/>
    </w:pPr>
    <w:rPr>
      <w:sz w:val="21"/>
    </w:rPr>
  </w:style>
  <w:style w:type="paragraph" w:customStyle="1" w:styleId="133">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qFormat/>
    <w:uiPriority w:val="0"/>
    <w:pPr>
      <w:adjustRightInd w:val="0"/>
    </w:pPr>
    <w:rPr>
      <w:color w:val="000000"/>
      <w:lang w:val="en-GB"/>
    </w:rPr>
  </w:style>
  <w:style w:type="paragraph" w:customStyle="1" w:styleId="138">
    <w:name w:val="简单回函地址"/>
    <w:basedOn w:val="1"/>
    <w:qFormat/>
    <w:uiPriority w:val="0"/>
    <w:pPr>
      <w:adjustRightInd w:val="0"/>
      <w:snapToGrid w:val="0"/>
      <w:spacing w:line="360" w:lineRule="auto"/>
    </w:pPr>
    <w:rPr>
      <w:sz w:val="24"/>
    </w:rPr>
  </w:style>
  <w:style w:type="paragraph" w:customStyle="1" w:styleId="139">
    <w:name w:val="段落正文"/>
    <w:basedOn w:val="1"/>
    <w:qFormat/>
    <w:uiPriority w:val="0"/>
    <w:pPr>
      <w:spacing w:beforeLines="50" w:line="360" w:lineRule="auto"/>
      <w:ind w:firstLine="200" w:firstLineChars="200"/>
    </w:pPr>
    <w:rPr>
      <w:spacing w:val="2"/>
      <w:sz w:val="24"/>
    </w:rPr>
  </w:style>
  <w:style w:type="paragraph" w:customStyle="1" w:styleId="140">
    <w:name w:val="1.正文"/>
    <w:basedOn w:val="1"/>
    <w:qFormat/>
    <w:uiPriority w:val="0"/>
    <w:pPr>
      <w:spacing w:line="360" w:lineRule="auto"/>
      <w:ind w:left="540" w:leftChars="225" w:firstLine="540" w:firstLineChars="225"/>
    </w:pPr>
    <w:rPr>
      <w:sz w:val="24"/>
    </w:rPr>
  </w:style>
  <w:style w:type="paragraph" w:customStyle="1" w:styleId="141">
    <w:name w:val="Char1"/>
    <w:basedOn w:val="1"/>
    <w:qFormat/>
    <w:uiPriority w:val="0"/>
    <w:rPr>
      <w:sz w:val="21"/>
    </w:rPr>
  </w:style>
  <w:style w:type="paragraph" w:customStyle="1" w:styleId="142">
    <w:name w:val="正文字缩2字"/>
    <w:basedOn w:val="1"/>
    <w:qFormat/>
    <w:uiPriority w:val="0"/>
    <w:pPr>
      <w:spacing w:before="60" w:after="60" w:line="360" w:lineRule="auto"/>
      <w:ind w:left="200" w:leftChars="200" w:firstLine="200" w:firstLineChars="200"/>
    </w:pPr>
    <w:rPr>
      <w:sz w:val="24"/>
    </w:rPr>
  </w:style>
  <w:style w:type="paragraph" w:customStyle="1" w:styleId="143">
    <w:name w:val="标题无"/>
    <w:basedOn w:val="1"/>
    <w:qFormat/>
    <w:uiPriority w:val="0"/>
    <w:pPr>
      <w:spacing w:line="360" w:lineRule="auto"/>
    </w:pPr>
    <w:rPr>
      <w:sz w:val="24"/>
    </w:rPr>
  </w:style>
  <w:style w:type="paragraph" w:customStyle="1" w:styleId="144">
    <w:name w:val="Char Char 字元 字元 字元 Char Char Char Char"/>
    <w:basedOn w:val="1"/>
    <w:qFormat/>
    <w:uiPriority w:val="0"/>
    <w:pPr>
      <w:adjustRightInd w:val="0"/>
      <w:spacing w:line="360" w:lineRule="auto"/>
    </w:pPr>
    <w:rPr>
      <w:kern w:val="0"/>
      <w:sz w:val="24"/>
    </w:rPr>
  </w:style>
  <w:style w:type="paragraph" w:customStyle="1" w:styleId="145">
    <w:name w:val="Char Char14 Char Char"/>
    <w:basedOn w:val="1"/>
    <w:qFormat/>
    <w:uiPriority w:val="0"/>
    <w:rPr>
      <w:sz w:val="21"/>
      <w:szCs w:val="24"/>
    </w:rPr>
  </w:style>
  <w:style w:type="paragraph" w:customStyle="1" w:styleId="146">
    <w:name w:val="Char Char Char Char Char Char Char"/>
    <w:basedOn w:val="1"/>
    <w:qFormat/>
    <w:uiPriority w:val="0"/>
    <w:rPr>
      <w:rFonts w:ascii="Tahoma" w:hAnsi="Tahoma"/>
      <w:sz w:val="24"/>
    </w:rPr>
  </w:style>
  <w:style w:type="paragraph" w:customStyle="1" w:styleId="147">
    <w:name w:val="修订1"/>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6"/>
    <w:qFormat/>
    <w:uiPriority w:val="0"/>
    <w:pPr>
      <w:ind w:firstLine="480" w:firstLineChars="200"/>
    </w:pPr>
  </w:style>
  <w:style w:type="paragraph" w:customStyle="1" w:styleId="151">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qFormat/>
    <w:uiPriority w:val="0"/>
    <w:pPr>
      <w:tabs>
        <w:tab w:val="left" w:pos="2120"/>
      </w:tabs>
      <w:ind w:firstLine="0" w:firstLineChars="0"/>
    </w:pPr>
    <w:rPr>
      <w:b/>
    </w:rPr>
  </w:style>
  <w:style w:type="paragraph" w:customStyle="1" w:styleId="153">
    <w:name w:val="样式 行距: 1.5 倍行距1"/>
    <w:basedOn w:val="1"/>
    <w:qFormat/>
    <w:uiPriority w:val="0"/>
    <w:pPr>
      <w:snapToGrid w:val="0"/>
    </w:pPr>
    <w:rPr>
      <w:sz w:val="21"/>
    </w:rPr>
  </w:style>
  <w:style w:type="paragraph" w:customStyle="1" w:styleId="154">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5">
    <w:name w:val="表文字"/>
    <w:qFormat/>
    <w:uiPriority w:val="0"/>
    <w:rPr>
      <w:rFonts w:ascii="宋体" w:hAnsi="Times New Roman" w:eastAsia="宋体" w:cs="Times New Roman"/>
      <w:kern w:val="2"/>
      <w:lang w:val="en-US" w:eastAsia="zh-CN" w:bidi="ar-SA"/>
    </w:rPr>
  </w:style>
  <w:style w:type="paragraph" w:customStyle="1" w:styleId="156">
    <w:name w:val="文章正文"/>
    <w:basedOn w:val="1"/>
    <w:qFormat/>
    <w:uiPriority w:val="0"/>
    <w:pPr>
      <w:ind w:firstLine="560" w:firstLineChars="200"/>
    </w:pPr>
    <w:rPr>
      <w:rFonts w:ascii="仿宋_GB2312" w:hAnsi="宋体" w:eastAsia="仿宋_GB2312"/>
      <w:color w:val="000000"/>
    </w:rPr>
  </w:style>
  <w:style w:type="paragraph" w:customStyle="1" w:styleId="157">
    <w:name w:val="列表项目"/>
    <w:basedOn w:val="1"/>
    <w:qFormat/>
    <w:uiPriority w:val="0"/>
    <w:pPr>
      <w:tabs>
        <w:tab w:val="left" w:pos="420"/>
      </w:tabs>
      <w:spacing w:line="288" w:lineRule="auto"/>
      <w:ind w:left="840" w:leftChars="200" w:hanging="420" w:hangingChars="200"/>
    </w:pPr>
    <w:rPr>
      <w:sz w:val="21"/>
    </w:rPr>
  </w:style>
  <w:style w:type="paragraph" w:customStyle="1" w:styleId="158">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qFormat/>
    <w:uiPriority w:val="0"/>
    <w:pPr>
      <w:adjustRightInd w:val="0"/>
      <w:spacing w:before="40" w:after="40"/>
    </w:pPr>
    <w:rPr>
      <w:sz w:val="24"/>
    </w:rPr>
  </w:style>
  <w:style w:type="paragraph" w:customStyle="1" w:styleId="162">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8"/>
    <w:qFormat/>
    <w:uiPriority w:val="0"/>
    <w:rPr>
      <w:rFonts w:ascii="Tahoma" w:hAnsi="Tahoma"/>
      <w:sz w:val="24"/>
    </w:rPr>
  </w:style>
  <w:style w:type="paragraph" w:customStyle="1" w:styleId="164">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5"/>
    <w:qFormat/>
    <w:uiPriority w:val="0"/>
    <w:pPr>
      <w:tabs>
        <w:tab w:val="left" w:pos="709"/>
        <w:tab w:val="left" w:pos="1620"/>
      </w:tabs>
      <w:ind w:left="1620" w:hanging="360"/>
    </w:pPr>
  </w:style>
  <w:style w:type="paragraph" w:customStyle="1" w:styleId="166">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
    <w:qFormat/>
    <w:uiPriority w:val="0"/>
    <w:pPr>
      <w:adjustRightInd w:val="0"/>
      <w:snapToGrid w:val="0"/>
      <w:spacing w:line="440" w:lineRule="exact"/>
      <w:ind w:firstLine="567"/>
    </w:pPr>
    <w:rPr>
      <w:sz w:val="28"/>
    </w:rPr>
  </w:style>
  <w:style w:type="paragraph" w:customStyle="1" w:styleId="168">
    <w:name w:val="样式2"/>
    <w:basedOn w:val="6"/>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0">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qFormat/>
    <w:uiPriority w:val="0"/>
    <w:pPr>
      <w:spacing w:before="120" w:after="120" w:line="360" w:lineRule="auto"/>
      <w:jc w:val="center"/>
    </w:pPr>
    <w:rPr>
      <w:rFonts w:eastAsia="仿宋_GB2312"/>
      <w:b/>
      <w:sz w:val="24"/>
    </w:rPr>
  </w:style>
  <w:style w:type="paragraph" w:customStyle="1" w:styleId="172">
    <w:name w:val="1"/>
    <w:basedOn w:val="1"/>
    <w:next w:val="30"/>
    <w:qFormat/>
    <w:uiPriority w:val="0"/>
    <w:rPr>
      <w:rFonts w:ascii="宋体" w:hAnsi="Courier New"/>
      <w:sz w:val="21"/>
    </w:rPr>
  </w:style>
  <w:style w:type="paragraph" w:customStyle="1" w:styleId="173">
    <w:name w:val="附录3"/>
    <w:basedOn w:val="1"/>
    <w:next w:val="1"/>
    <w:qFormat/>
    <w:uiPriority w:val="0"/>
    <w:pPr>
      <w:tabs>
        <w:tab w:val="left" w:pos="851"/>
      </w:tabs>
      <w:ind w:left="425" w:hanging="425"/>
      <w:outlineLvl w:val="2"/>
    </w:pPr>
    <w:rPr>
      <w:rFonts w:eastAsia="黑体"/>
      <w:b/>
      <w:sz w:val="32"/>
    </w:rPr>
  </w:style>
  <w:style w:type="paragraph" w:customStyle="1" w:styleId="174">
    <w:name w:val="表头"/>
    <w:basedOn w:val="175"/>
    <w:qFormat/>
    <w:uiPriority w:val="0"/>
    <w:pPr>
      <w:jc w:val="center"/>
    </w:pPr>
    <w:rPr>
      <w:b/>
      <w:bCs/>
    </w:rPr>
  </w:style>
  <w:style w:type="paragraph" w:customStyle="1" w:styleId="175">
    <w:name w:val="表格正文"/>
    <w:basedOn w:val="1"/>
    <w:qFormat/>
    <w:uiPriority w:val="0"/>
    <w:rPr>
      <w:rFonts w:ascii="Calibri" w:hAnsi="Calibri" w:eastAsia="仿宋" w:cs="宋体"/>
      <w:sz w:val="24"/>
    </w:rPr>
  </w:style>
  <w:style w:type="paragraph" w:customStyle="1" w:styleId="176">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qFormat/>
    <w:uiPriority w:val="0"/>
    <w:pPr>
      <w:autoSpaceDE w:val="0"/>
      <w:autoSpaceDN w:val="0"/>
      <w:adjustRightInd w:val="0"/>
      <w:spacing w:line="360" w:lineRule="auto"/>
      <w:jc w:val="left"/>
    </w:pPr>
    <w:rPr>
      <w:kern w:val="0"/>
      <w:sz w:val="21"/>
    </w:rPr>
  </w:style>
  <w:style w:type="paragraph" w:customStyle="1" w:styleId="179">
    <w:name w:val="首行缩进"/>
    <w:basedOn w:val="1"/>
    <w:qFormat/>
    <w:uiPriority w:val="0"/>
    <w:pPr>
      <w:tabs>
        <w:tab w:val="left" w:pos="540"/>
      </w:tabs>
      <w:spacing w:line="360" w:lineRule="auto"/>
      <w:ind w:left="540"/>
    </w:pPr>
    <w:rPr>
      <w:rFonts w:eastAsia="仿宋_GB2312"/>
    </w:rPr>
  </w:style>
  <w:style w:type="paragraph" w:customStyle="1" w:styleId="180">
    <w:name w:val="文本1"/>
    <w:basedOn w:val="1"/>
    <w:qFormat/>
    <w:uiPriority w:val="0"/>
    <w:pPr>
      <w:adjustRightInd w:val="0"/>
      <w:spacing w:line="312" w:lineRule="atLeast"/>
      <w:jc w:val="center"/>
      <w:textAlignment w:val="baseline"/>
    </w:pPr>
    <w:rPr>
      <w:kern w:val="0"/>
      <w:sz w:val="18"/>
    </w:rPr>
  </w:style>
  <w:style w:type="paragraph" w:customStyle="1" w:styleId="1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qFormat/>
    <w:uiPriority w:val="0"/>
    <w:rPr>
      <w:rFonts w:ascii="Tahoma" w:hAnsi="Tahoma"/>
      <w:sz w:val="24"/>
    </w:rPr>
  </w:style>
  <w:style w:type="paragraph" w:customStyle="1" w:styleId="18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IN Feature"/>
    <w:next w:val="12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8"/>
    <w:qFormat/>
    <w:uiPriority w:val="0"/>
    <w:rPr>
      <w:rFonts w:ascii="宋体" w:hAnsi="Tahoma"/>
    </w:rPr>
  </w:style>
  <w:style w:type="paragraph" w:customStyle="1" w:styleId="189">
    <w:name w:val="正文文本 21"/>
    <w:basedOn w:val="1"/>
    <w:qFormat/>
    <w:uiPriority w:val="0"/>
    <w:pPr>
      <w:adjustRightInd w:val="0"/>
      <w:spacing w:before="120" w:line="360" w:lineRule="auto"/>
      <w:ind w:firstLine="480"/>
      <w:textAlignment w:val="baseline"/>
    </w:pPr>
    <w:rPr>
      <w:sz w:val="24"/>
    </w:rPr>
  </w:style>
  <w:style w:type="paragraph" w:customStyle="1" w:styleId="19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qFormat/>
    <w:uiPriority w:val="0"/>
    <w:pPr>
      <w:spacing w:before="240" w:after="720"/>
    </w:pPr>
    <w:rPr>
      <w:sz w:val="28"/>
    </w:rPr>
  </w:style>
  <w:style w:type="paragraph" w:customStyle="1" w:styleId="192">
    <w:name w:val="表格文本"/>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qFormat/>
    <w:uiPriority w:val="0"/>
    <w:pPr>
      <w:tabs>
        <w:tab w:val="left" w:pos="360"/>
      </w:tabs>
    </w:pPr>
    <w:rPr>
      <w:sz w:val="24"/>
    </w:rPr>
  </w:style>
  <w:style w:type="paragraph" w:customStyle="1" w:styleId="195">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qFormat/>
    <w:uiPriority w:val="0"/>
    <w:rPr>
      <w:rFonts w:ascii="Tahoma" w:hAnsi="Tahoma"/>
      <w:sz w:val="24"/>
    </w:rPr>
  </w:style>
  <w:style w:type="paragraph" w:customStyle="1" w:styleId="197">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qFormat/>
    <w:uiPriority w:val="0"/>
    <w:pPr>
      <w:tabs>
        <w:tab w:val="left" w:pos="425"/>
      </w:tabs>
      <w:ind w:left="1620" w:hanging="360"/>
    </w:pPr>
    <w:rPr>
      <w:rFonts w:ascii="Tahoma" w:hAnsi="Tahoma"/>
      <w:sz w:val="24"/>
    </w:rPr>
  </w:style>
  <w:style w:type="paragraph" w:customStyle="1" w:styleId="199">
    <w:name w:val="Char1 Char Char Char1"/>
    <w:basedOn w:val="1"/>
    <w:qFormat/>
    <w:uiPriority w:val="0"/>
    <w:rPr>
      <w:rFonts w:ascii="Tahoma" w:hAnsi="Tahoma"/>
      <w:sz w:val="30"/>
    </w:rPr>
  </w:style>
  <w:style w:type="paragraph" w:customStyle="1" w:styleId="200">
    <w:name w:val="正文 + 三号"/>
    <w:basedOn w:val="1"/>
    <w:qFormat/>
    <w:uiPriority w:val="0"/>
    <w:rPr>
      <w:sz w:val="21"/>
    </w:rPr>
  </w:style>
  <w:style w:type="paragraph" w:customStyle="1" w:styleId="201">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qFormat/>
    <w:uiPriority w:val="0"/>
    <w:rPr>
      <w:rFonts w:ascii="Tahoma" w:hAnsi="Tahoma"/>
      <w:sz w:val="24"/>
      <w:szCs w:val="24"/>
    </w:rPr>
  </w:style>
  <w:style w:type="paragraph" w:customStyle="1" w:styleId="205">
    <w:name w:val="样式 样式 首行缩进:  2 字符 + 首行缩进:  2 字符"/>
    <w:basedOn w:val="1"/>
    <w:qFormat/>
    <w:uiPriority w:val="0"/>
    <w:pPr>
      <w:spacing w:line="360" w:lineRule="auto"/>
      <w:ind w:firstLine="480" w:firstLineChars="200"/>
    </w:pPr>
    <w:rPr>
      <w:sz w:val="24"/>
    </w:rPr>
  </w:style>
  <w:style w:type="paragraph" w:customStyle="1" w:styleId="206">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09">
    <w:name w:val="样式1xz"/>
    <w:basedOn w:val="1"/>
    <w:qFormat/>
    <w:uiPriority w:val="0"/>
    <w:pPr>
      <w:tabs>
        <w:tab w:val="left" w:pos="1050"/>
        <w:tab w:val="right" w:leader="dot" w:pos="8296"/>
      </w:tabs>
    </w:pPr>
    <w:rPr>
      <w:caps/>
      <w:spacing w:val="20"/>
      <w:sz w:val="24"/>
    </w:rPr>
  </w:style>
  <w:style w:type="paragraph" w:customStyle="1" w:styleId="210">
    <w:name w:val="样式1"/>
    <w:basedOn w:val="6"/>
    <w:qFormat/>
    <w:uiPriority w:val="0"/>
    <w:pPr>
      <w:tabs>
        <w:tab w:val="left" w:pos="720"/>
      </w:tabs>
      <w:spacing w:before="500" w:after="260" w:line="560" w:lineRule="atLeast"/>
      <w:ind w:left="420" w:hanging="420"/>
    </w:pPr>
  </w:style>
  <w:style w:type="paragraph" w:customStyle="1" w:styleId="21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qFormat/>
    <w:uiPriority w:val="0"/>
    <w:pPr>
      <w:spacing w:line="240" w:lineRule="atLeast"/>
      <w:jc w:val="center"/>
    </w:pPr>
    <w:rPr>
      <w:sz w:val="21"/>
    </w:rPr>
  </w:style>
  <w:style w:type="paragraph" w:customStyle="1" w:styleId="213">
    <w:name w:val="af"/>
    <w:basedOn w:val="1"/>
    <w:qFormat/>
    <w:uiPriority w:val="0"/>
    <w:pPr>
      <w:widowControl/>
      <w:spacing w:line="300" w:lineRule="atLeast"/>
      <w:jc w:val="left"/>
    </w:pPr>
    <w:rPr>
      <w:rFonts w:ascii="宋体" w:hAnsi="宋体"/>
      <w:kern w:val="0"/>
      <w:sz w:val="18"/>
    </w:rPr>
  </w:style>
  <w:style w:type="paragraph" w:customStyle="1" w:styleId="214">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6">
    <w:name w:val="表头文本"/>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qFormat/>
    <w:uiPriority w:val="0"/>
    <w:pPr>
      <w:ind w:left="840"/>
      <w:outlineLvl w:val="3"/>
    </w:pPr>
  </w:style>
  <w:style w:type="paragraph" w:customStyle="1" w:styleId="219">
    <w:name w:val="正文1"/>
    <w:basedOn w:val="1"/>
    <w:qFormat/>
    <w:uiPriority w:val="0"/>
    <w:pPr>
      <w:spacing w:line="300" w:lineRule="auto"/>
      <w:ind w:firstLine="200" w:firstLineChars="200"/>
    </w:pPr>
    <w:rPr>
      <w:sz w:val="24"/>
    </w:rPr>
  </w:style>
  <w:style w:type="paragraph" w:customStyle="1" w:styleId="220">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8"/>
    <w:qFormat/>
    <w:uiPriority w:val="0"/>
    <w:pPr>
      <w:widowControl/>
      <w:adjustRightInd/>
      <w:snapToGrid/>
      <w:spacing w:beforeLines="50"/>
      <w:jc w:val="left"/>
    </w:pPr>
    <w:rPr>
      <w:kern w:val="24"/>
      <w:sz w:val="28"/>
    </w:rPr>
  </w:style>
  <w:style w:type="paragraph" w:customStyle="1" w:styleId="22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qFormat/>
    <w:uiPriority w:val="0"/>
    <w:pPr>
      <w:spacing w:line="240" w:lineRule="atLeast"/>
      <w:ind w:left="420" w:firstLine="420"/>
    </w:pPr>
    <w:rPr>
      <w:kern w:val="0"/>
      <w:sz w:val="21"/>
    </w:rPr>
  </w:style>
  <w:style w:type="paragraph" w:customStyle="1" w:styleId="226">
    <w:name w:val="没有缩进（为图形使用）"/>
    <w:basedOn w:val="1"/>
    <w:qFormat/>
    <w:uiPriority w:val="0"/>
    <w:pPr>
      <w:spacing w:before="120" w:after="120" w:line="360" w:lineRule="auto"/>
    </w:pPr>
    <w:rPr>
      <w:sz w:val="24"/>
    </w:rPr>
  </w:style>
  <w:style w:type="paragraph" w:customStyle="1" w:styleId="22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qFormat/>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qFormat/>
    <w:uiPriority w:val="0"/>
    <w:rPr>
      <w:rFonts w:ascii="仿宋_GB2312"/>
      <w:b/>
      <w:sz w:val="30"/>
    </w:rPr>
  </w:style>
  <w:style w:type="paragraph" w:customStyle="1" w:styleId="230">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5"/>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qFormat/>
    <w:uiPriority w:val="0"/>
    <w:pPr>
      <w:snapToGrid w:val="0"/>
      <w:spacing w:line="360" w:lineRule="auto"/>
      <w:ind w:firstLine="420"/>
    </w:pPr>
    <w:rPr>
      <w:sz w:val="24"/>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6"/>
    <w:qFormat/>
    <w:uiPriority w:val="0"/>
    <w:pPr>
      <w:adjustRightInd w:val="0"/>
      <w:snapToGrid w:val="0"/>
    </w:pPr>
  </w:style>
  <w:style w:type="paragraph" w:customStyle="1" w:styleId="239">
    <w:name w:val="List Paragraph"/>
    <w:basedOn w:val="1"/>
    <w:qFormat/>
    <w:uiPriority w:val="0"/>
    <w:pPr>
      <w:ind w:firstLine="420" w:firstLineChars="200"/>
    </w:pPr>
  </w:style>
  <w:style w:type="character" w:customStyle="1" w:styleId="240">
    <w:name w:val="日期 字符"/>
    <w:qFormat/>
    <w:uiPriority w:val="0"/>
    <w:rPr>
      <w:rFonts w:ascii="Times New Roman" w:hAnsi="Times New Roman" w:eastAsia="宋体"/>
      <w:sz w:val="20"/>
    </w:rPr>
  </w:style>
  <w:style w:type="paragraph" w:customStyle="1" w:styleId="241">
    <w:name w:val="List Paragraph1"/>
    <w:basedOn w:val="1"/>
    <w:qFormat/>
    <w:uiPriority w:val="0"/>
    <w:pPr>
      <w:ind w:firstLine="420" w:firstLineChars="200"/>
    </w:pPr>
    <w:rPr>
      <w:rFonts w:ascii="Calibri" w:hAnsi="Calibri" w:cs="Calibri"/>
      <w:sz w:val="21"/>
      <w:szCs w:val="21"/>
    </w:rPr>
  </w:style>
  <w:style w:type="paragraph" w:customStyle="1" w:styleId="242">
    <w:name w:val="Body Text Indent 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57</Pages>
  <Words>25108</Words>
  <Characters>26163</Characters>
  <Lines>46</Lines>
  <Paragraphs>60</Paragraphs>
  <TotalTime>1</TotalTime>
  <ScaleCrop>false</ScaleCrop>
  <LinksUpToDate>false</LinksUpToDate>
  <CharactersWithSpaces>27448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2023-05-09T08:52:00Z</dcterms:created>
  <dc:creator>罗成</dc:creator>
  <cp:lastModifiedBy>奥利佛</cp:lastModifiedBy>
  <cp:lastPrinted>2022-10-31T09:40:00Z</cp:lastPrinted>
  <dcterms:modified xsi:type="dcterms:W3CDTF">2023-05-22T09:11:15Z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A5FEE9867F414BAD91E682874BF3ADBB_13</vt:lpwstr>
  </property>
</Properties>
</file>