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a:srcRect/>
                    <a:stretch>
                      <a:fillRect/>
                    </a:stretch>
                  </pic:blipFill>
                  <pic:spPr>
                    <a:xfrm>
                      <a:off x="0" y="0"/>
                      <a:ext cx="2352675" cy="755650"/>
                    </a:xfrm>
                    <a:prstGeom prst="rect">
                      <a:avLst/>
                    </a:prstGeom>
                    <a:noFill/>
                    <a:ln w="9525" cmpd="sng">
                      <a:noFill/>
                      <a:miter lim="800000"/>
                      <a:headEnd/>
                      <a:tailEnd/>
                    </a:ln>
                  </pic:spPr>
                </pic:pic>
              </a:graphicData>
            </a:graphic>
          </wp:anchor>
        </w:drawing>
      </w: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小标宋简体" w:eastAsia="方正小标宋简体"/>
          <w:color w:val="000000" w:themeColor="text1"/>
          <w:sz w:val="72"/>
          <w:szCs w:val="72"/>
          <w:highlight w:val="none"/>
          <w14:textFill>
            <w14:solidFill>
              <w14:schemeClr w14:val="tx1"/>
            </w14:solidFill>
          </w14:textFill>
        </w:rPr>
      </w:pPr>
      <w:r>
        <w:rPr>
          <w:rFonts w:hint="eastAsia" w:ascii="方正小标宋简体" w:eastAsia="方正小标宋简体"/>
          <w:color w:val="000000" w:themeColor="text1"/>
          <w:sz w:val="72"/>
          <w:szCs w:val="72"/>
          <w:highlight w:val="none"/>
          <w14:textFill>
            <w14:solidFill>
              <w14:schemeClr w14:val="tx1"/>
            </w14:solidFill>
          </w14:textFill>
        </w:rPr>
        <w:t>重庆医科大学</w:t>
      </w:r>
    </w:p>
    <w:p>
      <w:pPr>
        <w:spacing w:line="760" w:lineRule="exact"/>
        <w:jc w:val="center"/>
        <w:rPr>
          <w:rFonts w:ascii="方正小标宋简体" w:eastAsia="方正小标宋简体"/>
          <w:color w:val="000000" w:themeColor="text1"/>
          <w:sz w:val="72"/>
          <w:szCs w:val="72"/>
          <w:highlight w:val="none"/>
          <w14:textFill>
            <w14:solidFill>
              <w14:schemeClr w14:val="tx1"/>
            </w14:solidFill>
          </w14:textFill>
        </w:rPr>
      </w:pPr>
    </w:p>
    <w:p>
      <w:pPr>
        <w:spacing w:line="760" w:lineRule="exact"/>
        <w:jc w:val="center"/>
        <w:outlineLvl w:val="0"/>
        <w:rPr>
          <w:rFonts w:ascii="方正小标宋简体" w:eastAsia="方正小标宋简体"/>
          <w:color w:val="000000" w:themeColor="text1"/>
          <w:sz w:val="72"/>
          <w:szCs w:val="72"/>
          <w:highlight w:val="none"/>
          <w14:textFill>
            <w14:solidFill>
              <w14:schemeClr w14:val="tx1"/>
            </w14:solidFill>
          </w14:textFill>
        </w:rPr>
      </w:pPr>
      <w:r>
        <w:rPr>
          <w:rFonts w:hint="eastAsia" w:ascii="方正小标宋简体" w:eastAsia="方正小标宋简体"/>
          <w:color w:val="000000" w:themeColor="text1"/>
          <w:sz w:val="72"/>
          <w:szCs w:val="72"/>
          <w:highlight w:val="none"/>
          <w14:textFill>
            <w14:solidFill>
              <w14:schemeClr w14:val="tx1"/>
            </w14:solidFill>
          </w14:textFill>
        </w:rPr>
        <w:t>竞争性谈判文件</w:t>
      </w:r>
    </w:p>
    <w:p>
      <w:pPr>
        <w:spacing w:line="760" w:lineRule="exact"/>
        <w:rPr>
          <w:rFonts w:ascii="方正仿宋_GBK" w:hAnsi="仿宋" w:eastAsia="方正仿宋_GBK"/>
          <w:color w:val="000000" w:themeColor="text1"/>
          <w:spacing w:val="80"/>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pacing w:val="80"/>
          <w:sz w:val="44"/>
          <w:szCs w:val="44"/>
          <w:highlight w:val="none"/>
          <w14:textFill>
            <w14:solidFill>
              <w14:schemeClr w14:val="tx1"/>
            </w14:solidFill>
          </w14:textFill>
        </w:rPr>
      </w:pPr>
    </w:p>
    <w:p>
      <w:pPr>
        <w:spacing w:line="760" w:lineRule="exact"/>
        <w:jc w:val="left"/>
        <w:rPr>
          <w:rFonts w:ascii="方正仿宋_GBK" w:eastAsia="方正仿宋_GBK"/>
          <w:color w:val="000000" w:themeColor="text1"/>
          <w:sz w:val="44"/>
          <w:szCs w:val="44"/>
          <w:highlight w:val="none"/>
          <w14:textFill>
            <w14:solidFill>
              <w14:schemeClr w14:val="tx1"/>
            </w14:solidFill>
          </w14:textFill>
        </w:rPr>
      </w:pPr>
      <w:r>
        <w:rPr>
          <w:rFonts w:hint="eastAsia" w:ascii="方正仿宋_GBK" w:eastAsia="方正仿宋_GBK"/>
          <w:color w:val="000000" w:themeColor="text1"/>
          <w:sz w:val="44"/>
          <w:szCs w:val="44"/>
          <w:highlight w:val="none"/>
          <w14:textFill>
            <w14:solidFill>
              <w14:schemeClr w14:val="tx1"/>
            </w14:solidFill>
          </w14:textFill>
        </w:rPr>
        <w:t>采购计划编号：JC20230504003</w:t>
      </w:r>
    </w:p>
    <w:p>
      <w:pPr>
        <w:spacing w:line="760" w:lineRule="exact"/>
        <w:ind w:left="3080" w:hanging="3080" w:hangingChars="700"/>
        <w:jc w:val="left"/>
        <w:rPr>
          <w:rFonts w:ascii="方正仿宋_GBK" w:eastAsia="方正仿宋_GBK"/>
          <w:color w:val="000000" w:themeColor="text1"/>
          <w:sz w:val="44"/>
          <w:szCs w:val="44"/>
          <w:highlight w:val="none"/>
          <w14:textFill>
            <w14:solidFill>
              <w14:schemeClr w14:val="tx1"/>
            </w14:solidFill>
          </w14:textFill>
        </w:rPr>
      </w:pPr>
      <w:r>
        <w:rPr>
          <w:rFonts w:hint="eastAsia" w:ascii="方正仿宋_GBK" w:eastAsia="方正仿宋_GBK"/>
          <w:color w:val="000000" w:themeColor="text1"/>
          <w:sz w:val="44"/>
          <w:szCs w:val="44"/>
          <w:highlight w:val="none"/>
          <w14:textFill>
            <w14:solidFill>
              <w14:schemeClr w14:val="tx1"/>
            </w14:solidFill>
          </w14:textFill>
        </w:rPr>
        <w:t>采购项目名称：重庆医科大学基础医学院购买电转化仪等一批设备</w:t>
      </w:r>
    </w:p>
    <w:p>
      <w:pPr>
        <w:spacing w:line="760" w:lineRule="exact"/>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hint="eastAsia" w:ascii="宋体" w:hAnsi="宋体"/>
          <w:color w:val="000000" w:themeColor="text1"/>
          <w:sz w:val="36"/>
          <w:szCs w:val="36"/>
          <w:highlight w:val="none"/>
          <w14:textFill>
            <w14:solidFill>
              <w14:schemeClr w14:val="tx1"/>
            </w14:solidFill>
          </w14:textFill>
        </w:rPr>
      </w:pPr>
    </w:p>
    <w:p>
      <w:pPr>
        <w:spacing w:line="760" w:lineRule="exact"/>
        <w:jc w:val="center"/>
        <w:rPr>
          <w:rFonts w:hint="eastAsia" w:ascii="宋体" w:hAnsi="宋体"/>
          <w:color w:val="000000" w:themeColor="text1"/>
          <w:sz w:val="36"/>
          <w:szCs w:val="36"/>
          <w:highlight w:val="none"/>
          <w14:textFill>
            <w14:solidFill>
              <w14:schemeClr w14:val="tx1"/>
            </w14:solidFill>
          </w14:textFill>
        </w:rPr>
      </w:pPr>
    </w:p>
    <w:p>
      <w:pPr>
        <w:spacing w:line="760" w:lineRule="exact"/>
        <w:jc w:val="center"/>
        <w:rPr>
          <w:rFonts w:asci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采购人：重庆医科大学</w:t>
      </w:r>
    </w:p>
    <w:p>
      <w:pPr>
        <w:spacing w:line="760" w:lineRule="exact"/>
        <w:jc w:val="center"/>
        <w:rPr>
          <w:rFonts w:ascii="宋体"/>
          <w:color w:val="000000" w:themeColor="text1"/>
          <w:sz w:val="36"/>
          <w:szCs w:val="36"/>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color w:val="000000" w:themeColor="text1"/>
          <w:sz w:val="36"/>
          <w:szCs w:val="36"/>
          <w:highlight w:val="none"/>
          <w14:textFill>
            <w14:solidFill>
              <w14:schemeClr w14:val="tx1"/>
            </w14:solidFill>
          </w14:textFill>
        </w:rPr>
        <w:t>二〇二三年</w:t>
      </w:r>
      <w:r>
        <w:rPr>
          <w:rFonts w:hint="eastAsia" w:ascii="宋体" w:hAnsi="宋体"/>
          <w:color w:val="000000" w:themeColor="text1"/>
          <w:sz w:val="36"/>
          <w:szCs w:val="36"/>
          <w:highlight w:val="none"/>
          <w:lang w:val="en-US" w:eastAsia="zh-CN"/>
          <w14:textFill>
            <w14:solidFill>
              <w14:schemeClr w14:val="tx1"/>
            </w14:solidFill>
          </w14:textFill>
        </w:rPr>
        <w:t>五</w:t>
      </w:r>
      <w:r>
        <w:rPr>
          <w:rFonts w:hint="eastAsia" w:ascii="宋体" w:hAnsi="宋体"/>
          <w:color w:val="000000" w:themeColor="text1"/>
          <w:sz w:val="36"/>
          <w:szCs w:val="36"/>
          <w:highlight w:val="none"/>
          <w14:textFill>
            <w14:solidFill>
              <w14:schemeClr w14:val="tx1"/>
            </w14:solidFill>
          </w14:textFill>
        </w:rPr>
        <w:t>月</w:t>
      </w:r>
    </w:p>
    <w:p>
      <w:pPr>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目</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录</w:t>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TOC \o "1-3" \h \z </w:instrText>
      </w:r>
      <w:r>
        <w:rPr>
          <w:rFonts w:ascii="方正仿宋_GBK" w:eastAsia="方正仿宋_GBK"/>
          <w:color w:val="000000" w:themeColor="text1"/>
          <w:szCs w:val="28"/>
          <w:highlight w:val="none"/>
          <w14:textFill>
            <w14:solidFill>
              <w14:schemeClr w14:val="tx1"/>
            </w14:solidFill>
          </w14:textFill>
        </w:rPr>
        <w:fldChar w:fldCharType="separate"/>
      </w: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_Toc29999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第一篇</w:t>
      </w:r>
      <w:r>
        <w:rPr>
          <w:rFonts w:ascii="黑体" w:hAnsi="黑体"/>
          <w:color w:val="000000" w:themeColor="text1"/>
          <w:szCs w:val="44"/>
          <w:highlight w:val="none"/>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竞争性谈判邀请书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_Toc29999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_Toc31842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一、竞争性谈判内容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_Toc31842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_Toc23910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二、资金来源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_Toc23910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_Toc25456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三、谈判资格</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_Toc25456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_Toc28482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四、谈判有关说明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_Toc28482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ind w:firstLine="1120" w:firstLineChars="400"/>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_Toc28482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lang w:val="en-US" w:eastAsia="zh-CN"/>
          <w14:textFill>
            <w14:solidFill>
              <w14:schemeClr w14:val="tx1"/>
            </w14:solidFill>
          </w14:textFill>
        </w:rPr>
        <w:t>五</w:t>
      </w: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保证金</w:t>
      </w:r>
      <w:r>
        <w:rPr>
          <w:rFonts w:hint="default" w:ascii="方正仿宋_GBK" w:eastAsia="方正仿宋_GBK"/>
          <w:color w:val="000000" w:themeColor="text1"/>
          <w:szCs w:val="28"/>
          <w:highlight w:val="none"/>
          <w:lang w:val="en-US" w:eastAsia="zh-CN"/>
          <w14:textFill>
            <w14:solidFill>
              <w14:schemeClr w14:val="tx1"/>
            </w14:solidFill>
          </w14:textFill>
        </w:rPr>
        <w:t>................................................................................................</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_Toc28482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5</w:t>
      </w:r>
      <w:r>
        <w:rPr>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_Toc26213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六、采购项目需落实的政府采购政策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_Toc26213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_Toc5090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七、其它有关规定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_Toc5090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_Toc27307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八、联系方式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_Toc27307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- 8 -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_Toc16577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第二篇</w:t>
      </w:r>
      <w:r>
        <w:rPr>
          <w:rFonts w:ascii="黑体" w:hAnsi="黑体"/>
          <w:color w:val="000000" w:themeColor="text1"/>
          <w:szCs w:val="44"/>
          <w:highlight w:val="none"/>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供应商须知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_Toc16577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_Toc1696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一、谈判费用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_Toc1696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_Toc5706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二、竞争性谈判文件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_Toc5706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_Toc22117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三、谈判要求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_Toc22117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_Toc20478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四、谈判程序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_Toc20478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_Toc24555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五、评审依据</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_Toc24555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_Toc31402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六、成交原则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_Toc31402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_Toc18632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七、成交通知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_Toc18632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_Toc18828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八、关于质疑和投诉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_Toc18828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_Toc29530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九、签订合同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_Toc29530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- 21 -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_Toc26961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第三篇</w:t>
      </w:r>
      <w:r>
        <w:rPr>
          <w:rFonts w:ascii="黑体" w:hAnsi="黑体"/>
          <w:color w:val="000000" w:themeColor="text1"/>
          <w:szCs w:val="44"/>
          <w:highlight w:val="none"/>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谈判项目技术需求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_Toc26961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_Toc1591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default" w:ascii="方正仿宋_GBK" w:eastAsia="方正仿宋_GBK"/>
          <w:color w:val="000000" w:themeColor="text1"/>
          <w:szCs w:val="28"/>
          <w:highlight w:val="none"/>
          <w14:textFill>
            <w14:solidFill>
              <w14:schemeClr w14:val="tx1"/>
            </w14:solidFill>
          </w14:textFill>
        </w:rPr>
        <w:t xml:space="preserve">一、 </w:t>
      </w:r>
      <w:r>
        <w:rPr>
          <w:rFonts w:hint="eastAsia" w:ascii="方正仿宋_GBK" w:eastAsia="方正仿宋_GBK"/>
          <w:color w:val="000000" w:themeColor="text1"/>
          <w:szCs w:val="28"/>
          <w:highlight w:val="none"/>
          <w14:textFill>
            <w14:solidFill>
              <w14:schemeClr w14:val="tx1"/>
            </w14:solidFill>
          </w14:textFill>
        </w:rPr>
        <w:t>项目一览表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_Toc1591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_Toc26707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二、技术规格及质量要求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_Toc26707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_Toc14343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第四篇</w:t>
      </w:r>
      <w:r>
        <w:rPr>
          <w:rFonts w:ascii="黑体" w:hAnsi="黑体"/>
          <w:color w:val="000000" w:themeColor="text1"/>
          <w:szCs w:val="44"/>
          <w:highlight w:val="none"/>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谈判项目服务需求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_Toc14343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_Toc17796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hAnsi="宋体" w:eastAsia="方正仿宋_GBK"/>
          <w:color w:val="000000" w:themeColor="text1"/>
          <w:szCs w:val="28"/>
          <w:highlight w:val="none"/>
          <w14:textFill>
            <w14:solidFill>
              <w14:schemeClr w14:val="tx1"/>
            </w14:solidFill>
          </w14:textFill>
        </w:rPr>
        <w:t>一、交货时间、地点及验收方式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_Toc17796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_Toc19250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二、质量保证及售后服务</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_Toc19250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_Toc995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三、报价要求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_Toc995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- 34 -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_Toc16401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五、知识产权</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_Toc16401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- 34 -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_Toc20084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六、培训</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_Toc20084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_Toc14714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七、其他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_Toc14714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_Toc22793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第五篇</w:t>
      </w:r>
      <w:r>
        <w:rPr>
          <w:rFonts w:ascii="黑体" w:hAnsi="黑体"/>
          <w:color w:val="000000" w:themeColor="text1"/>
          <w:szCs w:val="44"/>
          <w:highlight w:val="none"/>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合同草案条款</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_Toc22793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_Toc12004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第六篇</w:t>
      </w:r>
      <w:r>
        <w:rPr>
          <w:rFonts w:ascii="黑体" w:hAnsi="黑体"/>
          <w:color w:val="000000" w:themeColor="text1"/>
          <w:szCs w:val="44"/>
          <w:highlight w:val="none"/>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响应文件格式要求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_Toc12004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_Toc19565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一、经济部分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_Toc19565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- 48 -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_Toc8310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二、技术部分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_Toc8310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- 51 -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_Toc16544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三、服务部分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_Toc16544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- 52 -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_Toc25787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四、资格条件及其他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_Toc25787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- 53 -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_Toc7759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五、其他应提供的资料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_Toc7759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- 58 -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02"/>
        </w:tabs>
        <w:spacing w:line="360" w:lineRule="exact"/>
        <w:ind w:left="0" w:leftChars="0"/>
        <w:rPr>
          <w:rFonts w:ascii="方正仿宋_GBK" w:hAnsi="Calibri" w:eastAsia="方正仿宋_GBK"/>
          <w:color w:val="000000" w:themeColor="text1"/>
          <w:szCs w:val="28"/>
          <w:highlight w:val="none"/>
          <w14:textFill>
            <w14:solidFill>
              <w14:schemeClr w14:val="tx1"/>
            </w14:solidFill>
          </w14:textFill>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ascii="方正仿宋_GBK" w:eastAsia="方正仿宋_GBK"/>
          <w:color w:val="000000" w:themeColor="text1"/>
          <w:szCs w:val="28"/>
          <w:highlight w:val="none"/>
          <w14:textFill>
            <w14:solidFill>
              <w14:schemeClr w14:val="tx1"/>
            </w14:solidFill>
          </w14:textFill>
        </w:rPr>
        <w:fldChar w:fldCharType="end"/>
      </w: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0" w:name="_Toc11641050"/>
      <w:bookmarkStart w:id="1" w:name="_Toc12789052"/>
      <w:bookmarkStart w:id="2" w:name="_Toc29999"/>
      <w:r>
        <w:rPr>
          <w:rFonts w:hint="eastAsia" w:ascii="黑体" w:hAnsi="黑体"/>
          <w:b w:val="0"/>
          <w:color w:val="000000" w:themeColor="text1"/>
          <w:sz w:val="44"/>
          <w:szCs w:val="44"/>
          <w:highlight w:val="none"/>
          <w14:textFill>
            <w14:solidFill>
              <w14:schemeClr w14:val="tx1"/>
            </w14:solidFill>
          </w14:textFill>
        </w:rPr>
        <w:t>第一篇</w:t>
      </w:r>
      <w:r>
        <w:rPr>
          <w:rFonts w:ascii="黑体" w:hAnsi="黑体"/>
          <w:b w:val="0"/>
          <w:color w:val="000000" w:themeColor="text1"/>
          <w:sz w:val="44"/>
          <w:szCs w:val="44"/>
          <w:highlight w:val="none"/>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竞争性谈判邀请书</w:t>
      </w:r>
      <w:bookmarkEnd w:id="0"/>
      <w:bookmarkEnd w:id="1"/>
      <w:bookmarkEnd w:id="2"/>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bookmarkStart w:id="3" w:name="_Toc373860293"/>
      <w:bookmarkStart w:id="4" w:name="_Toc317775178"/>
      <w:r>
        <w:rPr>
          <w:rFonts w:hint="eastAsia" w:ascii="方正仿宋_GBK" w:hAnsi="宋体" w:eastAsia="方正仿宋_GBK"/>
          <w:color w:val="000000" w:themeColor="text1"/>
          <w:szCs w:val="28"/>
          <w:highlight w:val="none"/>
          <w14:textFill>
            <w14:solidFill>
              <w14:schemeClr w14:val="tx1"/>
            </w14:solidFill>
          </w14:textFill>
        </w:rPr>
        <w:t>重庆医科大学对“</w:t>
      </w:r>
      <w:r>
        <w:rPr>
          <w:rFonts w:hint="eastAsia" w:ascii="方正仿宋_GBK" w:hAnsi="宋体" w:eastAsia="方正仿宋_GBK" w:cs="宋体"/>
          <w:color w:val="000000" w:themeColor="text1"/>
          <w:kern w:val="0"/>
          <w:szCs w:val="28"/>
          <w:highlight w:val="none"/>
          <w14:textFill>
            <w14:solidFill>
              <w14:schemeClr w14:val="tx1"/>
            </w14:solidFill>
          </w14:textFill>
        </w:rPr>
        <w:t>重庆医科大学基础医学院购买电转化仪等一批设备</w:t>
      </w:r>
      <w:r>
        <w:rPr>
          <w:rFonts w:hint="eastAsia" w:ascii="方正仿宋_GBK" w:hAnsi="宋体" w:eastAsia="方正仿宋_GBK"/>
          <w:color w:val="000000" w:themeColor="text1"/>
          <w:szCs w:val="28"/>
          <w:highlight w:val="none"/>
          <w14:textFill>
            <w14:solidFill>
              <w14:schemeClr w14:val="tx1"/>
            </w14:solidFill>
          </w14:textFill>
        </w:rPr>
        <w:t>”项目进行竞争性谈判采购。欢迎有资格的供应商前来参加谈判。</w:t>
      </w:r>
    </w:p>
    <w:p>
      <w:pPr>
        <w:pStyle w:val="4"/>
        <w:spacing w:before="0" w:after="0" w:line="560" w:lineRule="exact"/>
        <w:ind w:firstLine="420" w:firstLineChars="150"/>
        <w:rPr>
          <w:rFonts w:ascii="方正仿宋_GBK" w:eastAsia="方正仿宋_GBK"/>
          <w:b w:val="0"/>
          <w:color w:val="000000" w:themeColor="text1"/>
          <w:sz w:val="28"/>
          <w:szCs w:val="28"/>
          <w:highlight w:val="none"/>
          <w14:textFill>
            <w14:solidFill>
              <w14:schemeClr w14:val="tx1"/>
            </w14:solidFill>
          </w14:textFill>
        </w:rPr>
      </w:pPr>
      <w:bookmarkStart w:id="5" w:name="_Toc317775175"/>
      <w:bookmarkStart w:id="6" w:name="_Toc313893526"/>
      <w:bookmarkStart w:id="7" w:name="_Toc31842"/>
      <w:bookmarkStart w:id="8" w:name="_Toc535312130"/>
      <w:r>
        <w:rPr>
          <w:rFonts w:hint="eastAsia" w:ascii="方正仿宋_GBK" w:eastAsia="方正仿宋_GBK"/>
          <w:b w:val="0"/>
          <w:color w:val="000000" w:themeColor="text1"/>
          <w:sz w:val="28"/>
          <w:szCs w:val="28"/>
          <w:highlight w:val="none"/>
          <w14:textFill>
            <w14:solidFill>
              <w14:schemeClr w14:val="tx1"/>
            </w14:solidFill>
          </w14:textFill>
        </w:rPr>
        <w:t>一、竞争性谈判内容</w:t>
      </w:r>
      <w:bookmarkEnd w:id="5"/>
      <w:bookmarkEnd w:id="6"/>
      <w:bookmarkEnd w:id="7"/>
      <w:bookmarkEnd w:id="8"/>
    </w:p>
    <w:tbl>
      <w:tblPr>
        <w:tblStyle w:val="57"/>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584"/>
        <w:gridCol w:w="1949"/>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项目名称</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最高限价（万元）</w:t>
            </w:r>
          </w:p>
        </w:tc>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保证金</w:t>
            </w:r>
          </w:p>
          <w:p>
            <w:pPr>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（万元）</w:t>
            </w:r>
          </w:p>
        </w:tc>
        <w:tc>
          <w:tcPr>
            <w:tcW w:w="29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color w:val="000000" w:themeColor="text1"/>
                <w:kern w:val="0"/>
                <w:szCs w:val="28"/>
                <w:highlight w:val="none"/>
                <w14:textFill>
                  <w14:solidFill>
                    <w14:schemeClr w14:val="tx1"/>
                  </w14:solidFill>
                </w14:textFill>
              </w:rPr>
            </w:pPr>
            <w:bookmarkStart w:id="9" w:name="_Hlk344477914"/>
            <w:r>
              <w:rPr>
                <w:rFonts w:hint="eastAsia" w:ascii="方正仿宋_GBK" w:hAnsi="宋体" w:eastAsia="方正仿宋_GBK" w:cs="宋体"/>
                <w:color w:val="000000" w:themeColor="text1"/>
                <w:kern w:val="0"/>
                <w:szCs w:val="28"/>
                <w:highlight w:val="none"/>
                <w14:textFill>
                  <w14:solidFill>
                    <w14:schemeClr w14:val="tx1"/>
                  </w14:solidFill>
                </w14:textFill>
              </w:rPr>
              <w:t>重庆医科大学基础医学院采购电转化仪等设备</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22.41</w:t>
            </w:r>
          </w:p>
        </w:tc>
        <w:tc>
          <w:tcPr>
            <w:tcW w:w="194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0.44</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color w:val="000000" w:themeColor="text1"/>
                <w:kern w:val="0"/>
                <w:szCs w:val="28"/>
                <w:highlight w:val="none"/>
                <w14:textFill>
                  <w14:solidFill>
                    <w14:schemeClr w14:val="tx1"/>
                  </w14:solidFill>
                </w14:textFill>
              </w:rPr>
            </w:pPr>
          </w:p>
        </w:tc>
      </w:tr>
      <w:bookmarkEnd w:id="9"/>
    </w:tbl>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0" w:name="_Toc23910"/>
      <w:r>
        <w:rPr>
          <w:rFonts w:hint="eastAsia" w:ascii="方正仿宋_GBK" w:eastAsia="方正仿宋_GBK"/>
          <w:b w:val="0"/>
          <w:color w:val="000000" w:themeColor="text1"/>
          <w:sz w:val="28"/>
          <w:szCs w:val="28"/>
          <w:highlight w:val="none"/>
          <w14:textFill>
            <w14:solidFill>
              <w14:schemeClr w14:val="tx1"/>
            </w14:solidFill>
          </w14:textFill>
        </w:rPr>
        <w:t>二、资金来源</w:t>
      </w:r>
      <w:bookmarkEnd w:id="10"/>
    </w:p>
    <w:p>
      <w:pPr>
        <w:spacing w:line="560" w:lineRule="exact"/>
        <w:ind w:firstLine="560" w:firstLineChars="200"/>
        <w:rPr>
          <w:rFonts w:ascii="方正仿宋_GBK" w:hAnsi="仿宋" w:eastAsia="方正仿宋_GBK"/>
          <w:bCs/>
          <w:color w:val="000000" w:themeColor="text1"/>
          <w:szCs w:val="28"/>
          <w:highlight w:val="none"/>
          <w14:textFill>
            <w14:solidFill>
              <w14:schemeClr w14:val="tx1"/>
            </w14:solidFill>
          </w14:textFill>
        </w:rPr>
      </w:pPr>
      <w:r>
        <w:rPr>
          <w:rFonts w:hint="eastAsia" w:ascii="方正仿宋_GBK" w:hAnsi="仿宋" w:eastAsia="方正仿宋_GBK"/>
          <w:bCs/>
          <w:color w:val="000000" w:themeColor="text1"/>
          <w:szCs w:val="28"/>
          <w:highlight w:val="none"/>
          <w14:textFill>
            <w14:solidFill>
              <w14:schemeClr w14:val="tx1"/>
            </w14:solidFill>
          </w14:textFill>
        </w:rPr>
        <w:t>学校自筹，资金已到位。</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1" w:name="_Toc25456"/>
      <w:r>
        <w:rPr>
          <w:rFonts w:hint="eastAsia" w:ascii="方正仿宋_GBK" w:eastAsia="方正仿宋_GBK"/>
          <w:b w:val="0"/>
          <w:color w:val="000000" w:themeColor="text1"/>
          <w:sz w:val="28"/>
          <w:szCs w:val="28"/>
          <w:highlight w:val="none"/>
          <w14:textFill>
            <w14:solidFill>
              <w14:schemeClr w14:val="tx1"/>
            </w14:solidFill>
          </w14:textFill>
        </w:rPr>
        <w:t>三、谈判资格</w:t>
      </w:r>
      <w:bookmarkEnd w:id="11"/>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（一）一般资格条件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具有独立承担民事责任的能力；</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具有良好的商业信誉和健全的财务会计制度；</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具有履行合同所必需的设备和专业技术能力；</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有依法缴纳税收和社会保障资金的良好记录；</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参加政府采购活动前三年内，在经营活动中没有重大违法记录；</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法律、行政法规规定的其他条件。</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2" w:name="_Toc28482"/>
      <w:r>
        <w:rPr>
          <w:rFonts w:hint="eastAsia" w:ascii="方正仿宋_GBK" w:eastAsia="方正仿宋_GBK"/>
          <w:b w:val="0"/>
          <w:color w:val="000000" w:themeColor="text1"/>
          <w:sz w:val="28"/>
          <w:szCs w:val="28"/>
          <w:highlight w:val="none"/>
          <w14:textFill>
            <w14:solidFill>
              <w14:schemeClr w14:val="tx1"/>
            </w14:solidFill>
          </w14:textFill>
        </w:rPr>
        <w:t>四、谈判有关说明</w:t>
      </w:r>
      <w:bookmarkEnd w:id="3"/>
      <w:bookmarkEnd w:id="12"/>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（一）根据《重庆市财政局关于印发〈重庆市政府采购供应商注册及诚信管理暂行办法〉的通知》（渝财采购〔</w:t>
      </w:r>
      <w:r>
        <w:rPr>
          <w:rFonts w:ascii="方正仿宋_GBK" w:eastAsia="方正仿宋_GBK"/>
          <w:color w:val="000000" w:themeColor="text1"/>
          <w:szCs w:val="28"/>
          <w:highlight w:val="none"/>
          <w14:textFill>
            <w14:solidFill>
              <w14:schemeClr w14:val="tx1"/>
            </w14:solidFill>
          </w14:textFill>
        </w:rPr>
        <w:t>2015</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45</w:t>
      </w:r>
      <w:r>
        <w:rPr>
          <w:rFonts w:hint="eastAsia" w:ascii="方正仿宋_GBK" w:eastAsia="方正仿宋_GBK"/>
          <w:color w:val="000000" w:themeColor="text1"/>
          <w:szCs w:val="28"/>
          <w:highlight w:val="none"/>
          <w14:textFill>
            <w14:solidFill>
              <w14:schemeClr w14:val="tx1"/>
            </w14:solidFill>
          </w14:textFill>
        </w:rPr>
        <w:t>号）规定，供应商应按要求进行注册，“行采家”平台（</w:t>
      </w:r>
      <w:r>
        <w:rPr>
          <w:rFonts w:ascii="方正仿宋_GBK" w:eastAsia="方正仿宋_GBK"/>
          <w:color w:val="000000" w:themeColor="text1"/>
          <w:szCs w:val="28"/>
          <w:highlight w:val="none"/>
          <w14:textFill>
            <w14:solidFill>
              <w14:schemeClr w14:val="tx1"/>
            </w14:solidFill>
          </w14:textFill>
        </w:rPr>
        <w:t>www.gec123.com</w:t>
      </w:r>
      <w:r>
        <w:rPr>
          <w:rFonts w:hint="eastAsia" w:ascii="方正仿宋_GBK" w:eastAsia="方正仿宋_GBK"/>
          <w:color w:val="000000" w:themeColor="text1"/>
          <w:szCs w:val="28"/>
          <w:highlight w:val="none"/>
          <w14:textFill>
            <w14:solidFill>
              <w14:schemeClr w14:val="tx1"/>
            </w14:solidFill>
          </w14:textFill>
        </w:rPr>
        <w:t>），登记加入“行采家供应商库”。</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（二）凡有意参加谈判的供应商，请于公告发布之日（</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3年</w:t>
      </w:r>
      <w:r>
        <w:rPr>
          <w:rFonts w:hint="eastAsia" w:ascii="方正仿宋_GBK" w:eastAsia="方正仿宋_GBK"/>
          <w:color w:val="000000" w:themeColor="text1"/>
          <w:szCs w:val="28"/>
          <w:highlight w:val="none"/>
          <w:lang w:val="en-US" w:eastAsia="zh-CN"/>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日</w:t>
      </w:r>
      <w:r>
        <w:rPr>
          <w:rFonts w:hint="eastAsia" w:ascii="方正仿宋_GBK" w:eastAsia="方正仿宋_GBK"/>
          <w:color w:val="000000" w:themeColor="text1"/>
          <w:szCs w:val="28"/>
          <w:highlight w:val="none"/>
          <w14:textFill>
            <w14:solidFill>
              <w14:schemeClr w14:val="tx1"/>
            </w14:solidFill>
          </w14:textFill>
        </w:rPr>
        <w:t>）起至提交首次响应文件截止时间之前，在重庆医科大学校园网上（主页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（三）报名方式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报名期限：</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3年</w:t>
      </w:r>
      <w:r>
        <w:rPr>
          <w:rFonts w:hint="eastAsia" w:ascii="方正仿宋_GBK" w:eastAsia="方正仿宋_GBK"/>
          <w:color w:val="000000" w:themeColor="text1"/>
          <w:szCs w:val="28"/>
          <w:highlight w:val="none"/>
          <w:lang w:val="en-US" w:eastAsia="zh-CN"/>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日9：00至</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17</w:t>
      </w:r>
      <w:r>
        <w:rPr>
          <w:rFonts w:hint="eastAsia" w:ascii="方正仿宋_GBK" w:eastAsia="方正仿宋_GBK"/>
          <w:color w:val="000000" w:themeColor="text1"/>
          <w:szCs w:val="28"/>
          <w:highlight w:val="none"/>
          <w14:textFill>
            <w14:solidFill>
              <w14:schemeClr w14:val="tx1"/>
            </w14:solidFill>
          </w14:textFill>
        </w:rPr>
        <w:t>日17:00</w:t>
      </w:r>
      <w:r>
        <w:rPr>
          <w:rFonts w:hint="eastAsia" w:ascii="方正仿宋_GBK" w:eastAsia="方正仿宋_GBK"/>
          <w:color w:val="000000" w:themeColor="text1"/>
          <w:szCs w:val="28"/>
          <w:highlight w:val="none"/>
          <w14:textFill>
            <w14:solidFill>
              <w14:schemeClr w14:val="tx1"/>
            </w14:solidFill>
          </w14:textFill>
        </w:rPr>
        <w:t>（法定公休日、法定节假日除外）</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在报名期限内，投标人将保证金汇款凭证（注明采购计划编号、采购项目名称）、供应商名称及地址、联系人姓名及联系方式、电子邮箱地址等相关信息，</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"mailto:在报名截止时间前发送至359781294@qq.com" </w:instrText>
      </w:r>
      <w:r>
        <w:rPr>
          <w:color w:val="000000" w:themeColor="text1"/>
          <w:highlight w:val="none"/>
          <w14:textFill>
            <w14:solidFill>
              <w14:schemeClr w14:val="tx1"/>
            </w14:solidFill>
          </w14:textFill>
        </w:rPr>
        <w:fldChar w:fldCharType="separate"/>
      </w:r>
      <w:r>
        <w:rPr>
          <w:rStyle w:val="64"/>
          <w:rFonts w:hint="eastAsia" w:ascii="方正仿宋_GBK" w:eastAsia="方正仿宋_GBK"/>
          <w:color w:val="000000" w:themeColor="text1"/>
          <w:szCs w:val="28"/>
          <w:highlight w:val="none"/>
          <w14:textFill>
            <w14:solidFill>
              <w14:schemeClr w14:val="tx1"/>
            </w14:solidFill>
          </w14:textFill>
        </w:rPr>
        <w:t>在报名截止时间前发送至</w:t>
      </w:r>
      <w:r>
        <w:rPr>
          <w:rStyle w:val="64"/>
          <w:rFonts w:ascii="方正仿宋_GBK" w:eastAsia="方正仿宋_GBK"/>
          <w:color w:val="000000" w:themeColor="text1"/>
          <w:szCs w:val="28"/>
          <w:highlight w:val="none"/>
          <w14:textFill>
            <w14:solidFill>
              <w14:schemeClr w14:val="tx1"/>
            </w14:solidFill>
          </w14:textFill>
        </w:rPr>
        <w:t>359781294@qq.com</w:t>
      </w:r>
      <w:r>
        <w:rPr>
          <w:rStyle w:val="64"/>
          <w:rFonts w:ascii="方正仿宋_GBK" w:eastAsia="方正仿宋_GBK"/>
          <w:color w:val="000000" w:themeColor="text1"/>
          <w:szCs w:val="28"/>
          <w:highlight w:val="none"/>
          <w14:textFill>
            <w14:solidFill>
              <w14:schemeClr w14:val="tx1"/>
            </w14:solidFill>
          </w14:textFill>
        </w:rPr>
        <w:fldChar w:fldCharType="end"/>
      </w:r>
      <w:r>
        <w:rPr>
          <w:rFonts w:hint="eastAsia" w:ascii="方正仿宋_GBK" w:eastAsia="方正仿宋_GBK"/>
          <w:color w:val="000000" w:themeColor="text1"/>
          <w:szCs w:val="28"/>
          <w:highlight w:val="none"/>
          <w14:textFill>
            <w14:solidFill>
              <w14:schemeClr w14:val="tx1"/>
            </w14:solidFill>
          </w14:textFill>
        </w:rPr>
        <w:t>邮箱。只有在规定时间内发送了报名信息的供应商的响应文件才被接收。</w:t>
      </w:r>
    </w:p>
    <w:p>
      <w:pPr>
        <w:spacing w:line="560" w:lineRule="exact"/>
        <w:ind w:firstLine="560" w:firstLineChars="200"/>
        <w:rPr>
          <w:rFonts w:hint="eastAsia" w:ascii="方正仿宋_GBK" w:hAnsi="宋体"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收到报名信息后，我校将为其办理进校备案，只有办理了备案的人员才能进入学校。</w:t>
      </w:r>
      <w:bookmarkStart w:id="99" w:name="_GoBack"/>
      <w:bookmarkEnd w:id="99"/>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（四）供应商须满足以下三种要件，其响应文件才被接受：</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、按时递交了响应文件；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、按时报名签到；</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、缴纳了</w:t>
      </w:r>
      <w:r>
        <w:rPr>
          <w:rFonts w:hint="eastAsia" w:ascii="方正仿宋_GBK" w:hAnsi="宋体" w:eastAsia="方正仿宋_GBK" w:cs="宋体"/>
          <w:color w:val="000000" w:themeColor="text1"/>
          <w:kern w:val="0"/>
          <w:szCs w:val="28"/>
          <w:highlight w:val="none"/>
          <w14:textFill>
            <w14:solidFill>
              <w14:schemeClr w14:val="tx1"/>
            </w14:solidFill>
          </w14:textFill>
        </w:rPr>
        <w:t>“重庆医科大学基础医学院购买电转化仪等一批设备”</w:t>
      </w:r>
      <w:r>
        <w:rPr>
          <w:rFonts w:hint="eastAsia" w:ascii="方正仿宋_GBK" w:hAnsi="宋体" w:eastAsia="方正仿宋_GBK"/>
          <w:color w:val="000000" w:themeColor="text1"/>
          <w:szCs w:val="28"/>
          <w:highlight w:val="none"/>
          <w14:textFill>
            <w14:solidFill>
              <w14:schemeClr w14:val="tx1"/>
            </w14:solidFill>
          </w14:textFill>
        </w:rPr>
        <w:t>项目</w:t>
      </w:r>
      <w:r>
        <w:rPr>
          <w:rFonts w:hint="eastAsia" w:ascii="方正仿宋_GBK" w:eastAsia="方正仿宋_GBK"/>
          <w:color w:val="000000" w:themeColor="text1"/>
          <w:szCs w:val="28"/>
          <w:highlight w:val="none"/>
          <w14:textFill>
            <w14:solidFill>
              <w14:schemeClr w14:val="tx1"/>
            </w14:solidFill>
          </w14:textFill>
        </w:rPr>
        <w:t>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五</w:t>
      </w:r>
      <w:r>
        <w:rPr>
          <w:rFonts w:hint="eastAsia" w:ascii="方正仿宋_GBK" w:eastAsia="方正仿宋_GBK"/>
          <w:color w:val="000000" w:themeColor="text1"/>
          <w:szCs w:val="28"/>
          <w:highlight w:val="none"/>
          <w14:textFill>
            <w14:solidFill>
              <w14:schemeClr w14:val="tx1"/>
            </w14:solidFill>
          </w14:textFill>
        </w:rPr>
        <w:t>）谈判地点：重庆医科大学袁家岗校区基础医学院北楼</w:t>
      </w:r>
      <w:r>
        <w:rPr>
          <w:rFonts w:ascii="方正仿宋_GBK" w:eastAsia="方正仿宋_GBK"/>
          <w:color w:val="000000" w:themeColor="text1"/>
          <w:szCs w:val="28"/>
          <w:highlight w:val="none"/>
          <w14:textFill>
            <w14:solidFill>
              <w14:schemeClr w14:val="tx1"/>
            </w14:solidFill>
          </w14:textFill>
        </w:rPr>
        <w:t>136</w:t>
      </w:r>
      <w:r>
        <w:rPr>
          <w:rFonts w:hint="eastAsia" w:ascii="方正仿宋_GBK" w:eastAsia="方正仿宋_GBK"/>
          <w:color w:val="000000" w:themeColor="text1"/>
          <w:szCs w:val="28"/>
          <w:highlight w:val="none"/>
          <w14:textFill>
            <w14:solidFill>
              <w14:schemeClr w14:val="tx1"/>
            </w14:solidFill>
          </w14:textFill>
        </w:rPr>
        <w:t>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六</w:t>
      </w:r>
      <w:r>
        <w:rPr>
          <w:rFonts w:hint="eastAsia" w:ascii="方正仿宋_GBK" w:eastAsia="方正仿宋_GBK"/>
          <w:color w:val="000000" w:themeColor="text1"/>
          <w:szCs w:val="28"/>
          <w:highlight w:val="none"/>
          <w14:textFill>
            <w14:solidFill>
              <w14:schemeClr w14:val="tx1"/>
            </w14:solidFill>
          </w14:textFill>
        </w:rPr>
        <w:t>）提交响应文件开始时间：</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18</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上午10</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3</w:t>
      </w:r>
      <w:r>
        <w:rPr>
          <w:rFonts w:ascii="方正仿宋_GBK" w:eastAsia="方正仿宋_GBK"/>
          <w:color w:val="000000" w:themeColor="text1"/>
          <w:szCs w:val="28"/>
          <w:highlight w:val="none"/>
          <w14:textFill>
            <w14:solidFill>
              <w14:schemeClr w14:val="tx1"/>
            </w14:solidFill>
          </w14:textFill>
        </w:rPr>
        <w:t>0</w:t>
      </w:r>
    </w:p>
    <w:p>
      <w:pPr>
        <w:spacing w:line="560" w:lineRule="exact"/>
        <w:ind w:left="560" w:leftChars="200" w:firstLine="0" w:firstLineChars="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七</w:t>
      </w:r>
      <w:r>
        <w:rPr>
          <w:rFonts w:hint="eastAsia" w:ascii="方正仿宋_GBK" w:eastAsia="方正仿宋_GBK"/>
          <w:color w:val="000000" w:themeColor="text1"/>
          <w:szCs w:val="28"/>
          <w:highlight w:val="none"/>
          <w14:textFill>
            <w14:solidFill>
              <w14:schemeClr w14:val="tx1"/>
            </w14:solidFill>
          </w14:textFill>
        </w:rPr>
        <w:t>）提交响应文件截止时间：</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18</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上午11:00</w:t>
      </w: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八</w:t>
      </w:r>
      <w:r>
        <w:rPr>
          <w:rFonts w:hint="eastAsia" w:ascii="方正仿宋_GBK" w:eastAsia="方正仿宋_GBK"/>
          <w:color w:val="000000" w:themeColor="text1"/>
          <w:szCs w:val="28"/>
          <w:highlight w:val="none"/>
          <w14:textFill>
            <w14:solidFill>
              <w14:schemeClr w14:val="tx1"/>
            </w14:solidFill>
          </w14:textFill>
        </w:rPr>
        <w:t>）谈判开始时间：</w:t>
      </w:r>
      <w:bookmarkEnd w:id="4"/>
      <w:bookmarkStart w:id="13" w:name="_Toc525047161"/>
      <w:bookmarkStart w:id="14" w:name="_Toc521053053"/>
      <w:bookmarkStart w:id="15" w:name="_Toc373860294"/>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18</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上午11:00</w:t>
      </w:r>
    </w:p>
    <w:p>
      <w:pPr>
        <w:spacing w:line="560" w:lineRule="exact"/>
        <w:ind w:firstLine="840" w:firstLineChars="300"/>
        <w:rPr>
          <w:rFonts w:ascii="方正仿宋_GBK" w:eastAsia="方正仿宋_GBK"/>
          <w:b w:val="0"/>
          <w:bCs/>
          <w:color w:val="000000" w:themeColor="text1"/>
          <w:szCs w:val="28"/>
          <w:highlight w:val="none"/>
          <w14:textFill>
            <w14:solidFill>
              <w14:schemeClr w14:val="tx1"/>
            </w14:solidFill>
          </w14:textFill>
        </w:rPr>
      </w:pPr>
      <w:r>
        <w:rPr>
          <w:rFonts w:hint="eastAsia" w:ascii="方正仿宋_GBK" w:eastAsia="方正仿宋_GBK"/>
          <w:b w:val="0"/>
          <w:bCs/>
          <w:color w:val="000000" w:themeColor="text1"/>
          <w:szCs w:val="28"/>
          <w:highlight w:val="none"/>
          <w14:textFill>
            <w14:solidFill>
              <w14:schemeClr w14:val="tx1"/>
            </w14:solidFill>
          </w14:textFill>
        </w:rPr>
        <w:t>五、保证金</w:t>
      </w:r>
      <w:bookmarkEnd w:id="13"/>
      <w:bookmarkEnd w:id="14"/>
      <w:bookmarkEnd w:id="15"/>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（一）缴纳保证金方式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、按《重庆市财政局关于进一步规范投标报名及保证金缴纳的通知》的规定，具体缴纳方式如下：</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）分项目单次递交的供应商，须按本项目规定的保证金数额进行缴纳，由供应商从其基本账户将保证金汇至重庆医科大学的账号上，同时在进账凭证上明确</w:t>
      </w: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hAnsi="宋体" w:eastAsia="方正仿宋_GBK" w:cs="宋体"/>
          <w:color w:val="000000" w:themeColor="text1"/>
          <w:kern w:val="0"/>
          <w:szCs w:val="28"/>
          <w:highlight w:val="none"/>
          <w14:textFill>
            <w14:solidFill>
              <w14:schemeClr w14:val="tx1"/>
            </w14:solidFill>
          </w14:textFill>
        </w:rPr>
        <w:t>重庆医科大学基础医学院购买电转化仪等一批设备</w:t>
      </w: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的采购计划编号，保证金的到账截止时间为谈判当天上午</w:t>
      </w:r>
      <w:r>
        <w:rPr>
          <w:rFonts w:ascii="方正仿宋_GBK" w:eastAsia="方正仿宋_GBK"/>
          <w:color w:val="000000" w:themeColor="text1"/>
          <w:szCs w:val="28"/>
          <w:highlight w:val="none"/>
          <w14:textFill>
            <w14:solidFill>
              <w14:schemeClr w14:val="tx1"/>
            </w14:solidFill>
          </w14:textFill>
        </w:rPr>
        <w:t>8:30</w:t>
      </w:r>
      <w:r>
        <w:rPr>
          <w:rFonts w:hint="eastAsia"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供应商须在投标前到学校财务处（第二教学楼</w:t>
      </w:r>
      <w:r>
        <w:rPr>
          <w:rFonts w:ascii="方正仿宋_GBK" w:eastAsia="方正仿宋_GBK"/>
          <w:color w:val="000000" w:themeColor="text1"/>
          <w:szCs w:val="28"/>
          <w:highlight w:val="none"/>
          <w14:textFill>
            <w14:solidFill>
              <w14:schemeClr w14:val="tx1"/>
            </w14:solidFill>
          </w14:textFill>
        </w:rPr>
        <w:t>110</w:t>
      </w:r>
      <w:r>
        <w:rPr>
          <w:rFonts w:hint="eastAsia" w:ascii="方正仿宋_GBK" w:eastAsia="方正仿宋_GBK"/>
          <w:color w:val="000000" w:themeColor="text1"/>
          <w:szCs w:val="28"/>
          <w:highlight w:val="none"/>
          <w14:textFill>
            <w14:solidFill>
              <w14:schemeClr w14:val="tx1"/>
            </w14:solidFill>
          </w14:textFill>
        </w:rPr>
        <w:t>室）凭汇款凭证（原件或复印件）领取投标保证金的单据，以备投标时查验。投标人须充分考虑银行工作的时间差风险。</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递交保证金账号信息如下：</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户</w:t>
      </w:r>
      <w:r>
        <w:rPr>
          <w:rFonts w:ascii="方正仿宋_GBK" w:hAnsi="宋体" w:eastAsia="方正仿宋_GBK"/>
          <w:color w:val="000000" w:themeColor="text1"/>
          <w:szCs w:val="28"/>
          <w:highlight w:val="none"/>
          <w14:textFill>
            <w14:solidFill>
              <w14:schemeClr w14:val="tx1"/>
            </w14:solidFill>
          </w14:textFill>
        </w:rPr>
        <w:t xml:space="preserve">  </w:t>
      </w:r>
      <w:r>
        <w:rPr>
          <w:rFonts w:hint="eastAsia" w:ascii="方正仿宋_GBK" w:hAnsi="宋体" w:eastAsia="方正仿宋_GBK"/>
          <w:color w:val="000000" w:themeColor="text1"/>
          <w:szCs w:val="28"/>
          <w:highlight w:val="none"/>
          <w14:textFill>
            <w14:solidFill>
              <w14:schemeClr w14:val="tx1"/>
            </w14:solidFill>
          </w14:textFill>
        </w:rPr>
        <w:t>名：重庆医科大学</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账</w:t>
      </w:r>
      <w:r>
        <w:rPr>
          <w:rFonts w:ascii="方正仿宋_GBK" w:hAnsi="宋体" w:eastAsia="方正仿宋_GBK"/>
          <w:color w:val="000000" w:themeColor="text1"/>
          <w:szCs w:val="28"/>
          <w:highlight w:val="none"/>
          <w14:textFill>
            <w14:solidFill>
              <w14:schemeClr w14:val="tx1"/>
            </w14:solidFill>
          </w14:textFill>
        </w:rPr>
        <w:t xml:space="preserve">  </w:t>
      </w:r>
      <w:r>
        <w:rPr>
          <w:rFonts w:hint="eastAsia" w:ascii="方正仿宋_GBK" w:hAnsi="宋体" w:eastAsia="方正仿宋_GBK"/>
          <w:color w:val="000000" w:themeColor="text1"/>
          <w:szCs w:val="28"/>
          <w:highlight w:val="none"/>
          <w14:textFill>
            <w14:solidFill>
              <w14:schemeClr w14:val="tx1"/>
            </w14:solidFill>
          </w14:textFill>
        </w:rPr>
        <w:t>号：</w:t>
      </w:r>
      <w:r>
        <w:rPr>
          <w:rFonts w:ascii="方正仿宋_GBK" w:hAnsi="宋体" w:eastAsia="方正仿宋_GBK"/>
          <w:color w:val="000000" w:themeColor="text1"/>
          <w:szCs w:val="28"/>
          <w:highlight w:val="none"/>
          <w14:textFill>
            <w14:solidFill>
              <w14:schemeClr w14:val="tx1"/>
            </w14:solidFill>
          </w14:textFill>
        </w:rPr>
        <w:t>5000 1033 6000 5000 8726</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开户行：中国建设银行股份有限公司重庆高新区分行</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）供应商也可以通过微信公众号缴纳投标保证金，并在备注栏中注明拟投标的采购计划编号及项目名称。微信公众号缴纳步骤如下：关注“重庆医科大学财务处”公众号</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服务大厅</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校外服务平台</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缴投标保证金。通过微信公众号缴纳保证金的供应商，需自行打印由学校财务处开具的投标保证金电子票据，以备投标时查验。保证金的到账截止时间为谈判当天上午</w:t>
      </w:r>
      <w:r>
        <w:rPr>
          <w:rFonts w:ascii="方正仿宋_GBK" w:hAnsi="宋体" w:eastAsia="方正仿宋_GBK"/>
          <w:color w:val="000000" w:themeColor="text1"/>
          <w:szCs w:val="28"/>
          <w:highlight w:val="none"/>
          <w14:textFill>
            <w14:solidFill>
              <w14:schemeClr w14:val="tx1"/>
            </w14:solidFill>
          </w14:textFill>
        </w:rPr>
        <w:t>8:30</w:t>
      </w:r>
      <w:r>
        <w:rPr>
          <w:rFonts w:hint="eastAsia" w:ascii="方正仿宋_GBK" w:hAnsi="宋体"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财务处联系电话：</w:t>
      </w:r>
      <w:r>
        <w:rPr>
          <w:rFonts w:ascii="方正仿宋_GBK" w:hAnsi="宋体" w:eastAsia="方正仿宋_GBK"/>
          <w:color w:val="000000" w:themeColor="text1"/>
          <w:szCs w:val="28"/>
          <w:highlight w:val="none"/>
          <w14:textFill>
            <w14:solidFill>
              <w14:schemeClr w14:val="tx1"/>
            </w14:solidFill>
          </w14:textFill>
        </w:rPr>
        <w:t>023-68486151  </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、缴纳保证金需注意事项：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）供应商必须在付款凭证备注栏中注明</w:t>
      </w: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hAnsi="宋体" w:eastAsia="方正仿宋_GBK" w:cs="宋体"/>
          <w:color w:val="000000" w:themeColor="text1"/>
          <w:kern w:val="0"/>
          <w:szCs w:val="28"/>
          <w:highlight w:val="none"/>
          <w14:textFill>
            <w14:solidFill>
              <w14:schemeClr w14:val="tx1"/>
            </w14:solidFill>
          </w14:textFill>
        </w:rPr>
        <w:t>重庆医科大学基础医学院购买电转化仪等一批设备</w:t>
      </w: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的采购计划编号；</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）各供应商在银行转账（电汇）时，须充分考虑银行转账（电汇）的时间差风险，如同城转账、异地转账或汇款、跨行转账或电汇的时间要求。</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）各供应商在递交保证金时，到款账户为上述指定的保证金专用账户。来款账户必须为本公司基本账户，否则，投标无效。</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）投标查验时，请出具由学校财务处开具的投标保证金电子票据。</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、保证金数额不超过采购预算的</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（二）保证金退还方式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、分项目单次递交的保证金</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成交供应商的保证金，在成交供应商与采购人签订合同后，持投标保证金收据到重庆医科大学基础医学院办理退款手续。</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1.3</w:t>
      </w:r>
      <w:r>
        <w:rPr>
          <w:rFonts w:hint="eastAsia" w:ascii="方正仿宋_GBK" w:eastAsia="方正仿宋_GBK"/>
          <w:color w:val="000000" w:themeColor="text1"/>
          <w:szCs w:val="28"/>
          <w:highlight w:val="none"/>
          <w14:textFill>
            <w14:solidFill>
              <w14:schemeClr w14:val="tx1"/>
            </w14:solidFill>
          </w14:textFill>
        </w:rPr>
        <w:t>保证金退还办理时间为每周四下午</w:t>
      </w:r>
      <w:r>
        <w:rPr>
          <w:rFonts w:ascii="方正仿宋_GBK" w:eastAsia="方正仿宋_GBK"/>
          <w:color w:val="000000" w:themeColor="text1"/>
          <w:szCs w:val="28"/>
          <w:highlight w:val="none"/>
          <w14:textFill>
            <w14:solidFill>
              <w14:schemeClr w14:val="tx1"/>
            </w14:solidFill>
          </w14:textFill>
        </w:rPr>
        <w:t>2:30</w:t>
      </w:r>
      <w:r>
        <w:rPr>
          <w:rFonts w:hint="eastAsia" w:ascii="方正仿宋_GBK" w:eastAsia="方正仿宋_GBK"/>
          <w:color w:val="000000" w:themeColor="text1"/>
          <w:szCs w:val="28"/>
          <w:highlight w:val="none"/>
          <w14:textFill>
            <w14:solidFill>
              <w14:schemeClr w14:val="tx1"/>
            </w14:solidFill>
          </w14:textFill>
        </w:rPr>
        <w:t>时到</w:t>
      </w:r>
      <w:r>
        <w:rPr>
          <w:rFonts w:ascii="方正仿宋_GBK" w:eastAsia="方正仿宋_GBK"/>
          <w:color w:val="000000" w:themeColor="text1"/>
          <w:szCs w:val="28"/>
          <w:highlight w:val="none"/>
          <w14:textFill>
            <w14:solidFill>
              <w14:schemeClr w14:val="tx1"/>
            </w14:solidFill>
          </w14:textFill>
        </w:rPr>
        <w:t>5:00</w:t>
      </w:r>
      <w:r>
        <w:rPr>
          <w:rFonts w:hint="eastAsia" w:ascii="方正仿宋_GBK" w:eastAsia="方正仿宋_GBK"/>
          <w:color w:val="000000" w:themeColor="text1"/>
          <w:szCs w:val="28"/>
          <w:highlight w:val="none"/>
          <w14:textFill>
            <w14:solidFill>
              <w14:schemeClr w14:val="tx1"/>
            </w14:solidFill>
          </w14:textFill>
        </w:rPr>
        <w:t>时。</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6" w:name="_Toc26213"/>
      <w:r>
        <w:rPr>
          <w:rFonts w:hint="eastAsia" w:ascii="方正仿宋_GBK" w:eastAsia="方正仿宋_GBK"/>
          <w:b w:val="0"/>
          <w:bCs/>
          <w:color w:val="000000" w:themeColor="text1"/>
          <w:sz w:val="28"/>
          <w:szCs w:val="28"/>
          <w:highlight w:val="none"/>
          <w14:textFill>
            <w14:solidFill>
              <w14:schemeClr w14:val="tx1"/>
            </w14:solidFill>
          </w14:textFill>
        </w:rPr>
        <w:t>六、采购项目需落实的政府采购政策</w:t>
      </w:r>
      <w:bookmarkEnd w:id="16"/>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（一）按照《财政部</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生态环境部关于印发环境标志产品政府采购品目清单的通知》（财库〔</w:t>
      </w:r>
      <w:r>
        <w:rPr>
          <w:rFonts w:ascii="方正仿宋_GBK" w:eastAsia="方正仿宋_GBK"/>
          <w:color w:val="000000" w:themeColor="text1"/>
          <w:szCs w:val="28"/>
          <w:highlight w:val="none"/>
          <w14:textFill>
            <w14:solidFill>
              <w14:schemeClr w14:val="tx1"/>
            </w14:solidFill>
          </w14:textFill>
        </w:rPr>
        <w:t>2019</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18</w:t>
      </w:r>
      <w:r>
        <w:rPr>
          <w:rFonts w:hint="eastAsia" w:ascii="方正仿宋_GBK" w:eastAsia="方正仿宋_GBK"/>
          <w:color w:val="000000" w:themeColor="text1"/>
          <w:szCs w:val="28"/>
          <w:highlight w:val="none"/>
          <w14:textFill>
            <w14:solidFill>
              <w14:schemeClr w14:val="tx1"/>
            </w14:solidFill>
          </w14:textFill>
        </w:rPr>
        <w:t>号）和《财政部</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发展改革委关于印发节能产品政府采购品目清单的通知》（财库〔</w:t>
      </w:r>
      <w:r>
        <w:rPr>
          <w:rFonts w:ascii="方正仿宋_GBK" w:eastAsia="方正仿宋_GBK"/>
          <w:color w:val="000000" w:themeColor="text1"/>
          <w:szCs w:val="28"/>
          <w:highlight w:val="none"/>
          <w14:textFill>
            <w14:solidFill>
              <w14:schemeClr w14:val="tx1"/>
            </w14:solidFill>
          </w14:textFill>
        </w:rPr>
        <w:t>2019</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19</w:t>
      </w:r>
      <w:r>
        <w:rPr>
          <w:rFonts w:hint="eastAsia" w:ascii="方正仿宋_GBK" w:eastAsia="方正仿宋_GBK"/>
          <w:color w:val="000000" w:themeColor="text1"/>
          <w:szCs w:val="28"/>
          <w:highlight w:val="none"/>
          <w14:textFill>
            <w14:solidFill>
              <w14:schemeClr w14:val="tx1"/>
            </w14:solidFill>
          </w14:textFill>
        </w:rPr>
        <w:t>号）的规定，落实国家节能环保政策。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（二）按照《财政部工业和信息化部关于印发</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政府采购促进中小企业发展暂行办法</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的通知》（财库〔</w:t>
      </w:r>
      <w:r>
        <w:rPr>
          <w:rFonts w:ascii="方正仿宋_GBK" w:eastAsia="方正仿宋_GBK"/>
          <w:color w:val="000000" w:themeColor="text1"/>
          <w:szCs w:val="28"/>
          <w:highlight w:val="none"/>
          <w14:textFill>
            <w14:solidFill>
              <w14:schemeClr w14:val="tx1"/>
            </w14:solidFill>
          </w14:textFill>
        </w:rPr>
        <w:t>2011</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181</w:t>
      </w:r>
      <w:r>
        <w:rPr>
          <w:rFonts w:hint="eastAsia" w:ascii="方正仿宋_GBK" w:eastAsia="方正仿宋_GBK"/>
          <w:color w:val="000000" w:themeColor="text1"/>
          <w:szCs w:val="28"/>
          <w:highlight w:val="none"/>
          <w14:textFill>
            <w14:solidFill>
              <w14:schemeClr w14:val="tx1"/>
            </w14:solidFill>
          </w14:textFill>
        </w:rPr>
        <w:t>号）的规定，落实促进中小企业发展政策。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（三）按照《财政部、司法部关于政府采购支持监狱企业发展有关问题的通知》（财库〔</w:t>
      </w:r>
      <w:r>
        <w:rPr>
          <w:rFonts w:ascii="方正仿宋_GBK" w:eastAsia="方正仿宋_GBK"/>
          <w:color w:val="000000" w:themeColor="text1"/>
          <w:szCs w:val="28"/>
          <w:highlight w:val="none"/>
          <w14:textFill>
            <w14:solidFill>
              <w14:schemeClr w14:val="tx1"/>
            </w14:solidFill>
          </w14:textFill>
        </w:rPr>
        <w:t>2014</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68</w:t>
      </w:r>
      <w:r>
        <w:rPr>
          <w:rFonts w:hint="eastAsia" w:ascii="方正仿宋_GBK" w:eastAsia="方正仿宋_GBK"/>
          <w:color w:val="000000" w:themeColor="text1"/>
          <w:szCs w:val="28"/>
          <w:highlight w:val="none"/>
          <w14:textFill>
            <w14:solidFill>
              <w14:schemeClr w14:val="tx1"/>
            </w14:solidFill>
          </w14:textFill>
        </w:rPr>
        <w:t>号）的规定，落实支持监狱企业发展政策。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（四）按照《三部门联合发布关于促进残疾人就业政府采购政策的通知》（财库〔</w:t>
      </w:r>
      <w:r>
        <w:rPr>
          <w:rFonts w:ascii="方正仿宋_GBK" w:eastAsia="方正仿宋_GBK"/>
          <w:color w:val="000000" w:themeColor="text1"/>
          <w:szCs w:val="28"/>
          <w:highlight w:val="none"/>
          <w14:textFill>
            <w14:solidFill>
              <w14:schemeClr w14:val="tx1"/>
            </w14:solidFill>
          </w14:textFill>
        </w:rPr>
        <w:t>2017</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141</w:t>
      </w:r>
      <w:r>
        <w:rPr>
          <w:rFonts w:hint="eastAsia" w:ascii="方正仿宋_GBK" w:eastAsia="方正仿宋_GBK"/>
          <w:color w:val="000000" w:themeColor="text1"/>
          <w:szCs w:val="28"/>
          <w:highlight w:val="none"/>
          <w14:textFill>
            <w14:solidFill>
              <w14:schemeClr w14:val="tx1"/>
            </w14:solidFill>
          </w14:textFill>
        </w:rPr>
        <w:t>号）的规定，落实支持残疾人福利性单位发展政策。</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7" w:name="_Toc5090"/>
      <w:r>
        <w:rPr>
          <w:rFonts w:hint="eastAsia" w:ascii="方正仿宋_GBK" w:eastAsia="方正仿宋_GBK"/>
          <w:b w:val="0"/>
          <w:bCs/>
          <w:color w:val="000000" w:themeColor="text1"/>
          <w:sz w:val="28"/>
          <w:szCs w:val="28"/>
          <w:highlight w:val="none"/>
          <w14:textFill>
            <w14:solidFill>
              <w14:schemeClr w14:val="tx1"/>
            </w14:solidFill>
          </w14:textFill>
        </w:rPr>
        <w:t>七、其它有关规定</w:t>
      </w:r>
      <w:bookmarkEnd w:id="17"/>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、单个分包为单一货物的，一个制造商对同一品牌同一规格型号的货物，仅能委托一个代理商参加该分包的谈判，否则为无效谈判。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、同一分包的货物，制造商参与谈判的，不得再委托代理商参与谈判，否则为无效谈判。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、为采购项目提供整体设计、规范编制或者项目管理、监理、检测等服务的供应商，不得再参加该采购项目的其他采购活动。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、本项目在响应文件提交截止时间前发布的竞争性谈判文件及补遗文件在重庆医科大学校园网上（主页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、超过响应文件截止时间递交的响应文件，恕不接收。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、谈判费用：无论谈判结果如何，供应商参与本项目谈判的所有费用均应由供应商自行承担。</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8.1 </w:t>
      </w:r>
      <w:r>
        <w:rPr>
          <w:rFonts w:hint="eastAsia" w:ascii="方正仿宋_GBK" w:eastAsia="方正仿宋_GBK"/>
          <w:color w:val="000000" w:themeColor="text1"/>
          <w:szCs w:val="28"/>
          <w:highlight w:val="none"/>
          <w14:textFill>
            <w14:solidFill>
              <w14:schemeClr w14:val="tx1"/>
            </w14:solidFill>
          </w14:textFill>
        </w:rPr>
        <w:t>供应商可通过信用中国网站（</w:t>
      </w:r>
      <w:r>
        <w:rPr>
          <w:rFonts w:ascii="方正仿宋_GBK" w:eastAsia="方正仿宋_GBK"/>
          <w:color w:val="000000" w:themeColor="text1"/>
          <w:szCs w:val="28"/>
          <w:highlight w:val="none"/>
          <w14:textFill>
            <w14:solidFill>
              <w14:schemeClr w14:val="tx1"/>
            </w14:solidFill>
          </w14:textFill>
        </w:rPr>
        <w:t>www.creditchina.gov.cn</w:t>
      </w:r>
      <w:r>
        <w:rPr>
          <w:rFonts w:hint="eastAsia" w:ascii="方正仿宋_GBK" w:eastAsia="方正仿宋_GBK"/>
          <w:color w:val="000000" w:themeColor="text1"/>
          <w:szCs w:val="28"/>
          <w:highlight w:val="none"/>
          <w14:textFill>
            <w14:solidFill>
              <w14:schemeClr w14:val="tx1"/>
            </w14:solidFill>
          </w14:textFill>
        </w:rPr>
        <w:t>）查询以下内容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8.1.1</w:t>
      </w:r>
      <w:r>
        <w:rPr>
          <w:rFonts w:hint="eastAsia" w:ascii="方正仿宋_GBK" w:eastAsia="方正仿宋_GBK"/>
          <w:color w:val="000000" w:themeColor="text1"/>
          <w:szCs w:val="28"/>
          <w:highlight w:val="none"/>
          <w14:textFill>
            <w14:solidFill>
              <w14:schemeClr w14:val="tx1"/>
            </w14:solidFill>
          </w14:textFill>
        </w:rPr>
        <w:t>“失信被执行人”；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8.1.2</w:t>
      </w:r>
      <w:r>
        <w:rPr>
          <w:rFonts w:hint="eastAsia" w:ascii="方正仿宋_GBK" w:eastAsia="方正仿宋_GBK"/>
          <w:color w:val="000000" w:themeColor="text1"/>
          <w:szCs w:val="28"/>
          <w:highlight w:val="none"/>
          <w14:textFill>
            <w14:solidFill>
              <w14:schemeClr w14:val="tx1"/>
            </w14:solidFill>
          </w14:textFill>
        </w:rPr>
        <w:t>“重大税收违法案件当事人名单”；</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8.1.3</w:t>
      </w:r>
      <w:r>
        <w:rPr>
          <w:rFonts w:hint="eastAsia" w:ascii="方正仿宋_GBK" w:eastAsia="方正仿宋_GBK"/>
          <w:color w:val="000000" w:themeColor="text1"/>
          <w:szCs w:val="28"/>
          <w:highlight w:val="none"/>
          <w14:textFill>
            <w14:solidFill>
              <w14:schemeClr w14:val="tx1"/>
            </w14:solidFill>
          </w14:textFill>
        </w:rPr>
        <w:t>“政府采购严重违法失信行为记录名单”</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8" w:name="_Toc27307"/>
      <w:r>
        <w:rPr>
          <w:rFonts w:hint="eastAsia" w:ascii="方正仿宋_GBK" w:eastAsia="方正仿宋_GBK"/>
          <w:b w:val="0"/>
          <w:bCs/>
          <w:color w:val="000000" w:themeColor="text1"/>
          <w:sz w:val="28"/>
          <w:szCs w:val="28"/>
          <w:highlight w:val="none"/>
          <w14:textFill>
            <w14:solidFill>
              <w14:schemeClr w14:val="tx1"/>
            </w14:solidFill>
          </w14:textFill>
        </w:rPr>
        <w:t>八、联系方式</w:t>
      </w:r>
      <w:bookmarkEnd w:id="18"/>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采购人：重庆医科大学基础医学院</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联系人：彭老师</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电</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话：（</w:t>
      </w:r>
      <w:r>
        <w:rPr>
          <w:rFonts w:ascii="方正仿宋_GBK" w:eastAsia="方正仿宋_GBK"/>
          <w:color w:val="000000" w:themeColor="text1"/>
          <w:szCs w:val="28"/>
          <w:highlight w:val="none"/>
          <w14:textFill>
            <w14:solidFill>
              <w14:schemeClr w14:val="tx1"/>
            </w14:solidFill>
          </w14:textFill>
        </w:rPr>
        <w:t>023</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68486679</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418" w:right="1304" w:bottom="1134" w:left="1304" w:header="964" w:footer="992" w:gutter="0"/>
          <w:pgNumType w:fmt="numberInDash"/>
          <w:cols w:space="720" w:num="1"/>
          <w:docGrid w:linePitch="312" w:charSpace="0"/>
        </w:sectPr>
      </w:pPr>
      <w:r>
        <w:rPr>
          <w:rFonts w:hint="eastAsia" w:ascii="方正仿宋_GBK" w:eastAsia="方正仿宋_GBK"/>
          <w:color w:val="000000" w:themeColor="text1"/>
          <w:szCs w:val="28"/>
          <w:highlight w:val="none"/>
          <w14:textFill>
            <w14:solidFill>
              <w14:schemeClr w14:val="tx1"/>
            </w14:solidFill>
          </w14:textFill>
        </w:rPr>
        <w:t>地</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址：</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重庆市渝中区医学院路</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号基础医学院北楼</w:t>
      </w:r>
      <w:r>
        <w:rPr>
          <w:rFonts w:ascii="方正仿宋_GBK" w:eastAsia="方正仿宋_GBK"/>
          <w:color w:val="000000" w:themeColor="text1"/>
          <w:szCs w:val="28"/>
          <w:highlight w:val="none"/>
          <w14:textFill>
            <w14:solidFill>
              <w14:schemeClr w14:val="tx1"/>
            </w14:solidFill>
          </w14:textFill>
        </w:rPr>
        <w:t>348</w:t>
      </w:r>
      <w:r>
        <w:rPr>
          <w:rFonts w:hint="eastAsia" w:ascii="方正仿宋_GBK" w:eastAsia="方正仿宋_GBK"/>
          <w:color w:val="000000" w:themeColor="text1"/>
          <w:szCs w:val="28"/>
          <w:highlight w:val="none"/>
          <w14:textFill>
            <w14:solidFill>
              <w14:schemeClr w14:val="tx1"/>
            </w14:solidFill>
          </w14:textFill>
        </w:rPr>
        <w:t>室</w:t>
      </w:r>
    </w:p>
    <w:p>
      <w:pPr>
        <w:pStyle w:val="3"/>
        <w:spacing w:before="0" w:after="0" w:line="560" w:lineRule="exact"/>
        <w:jc w:val="center"/>
        <w:rPr>
          <w:rFonts w:hint="eastAsia" w:ascii="黑体"/>
          <w:b w:val="0"/>
          <w:color w:val="000000" w:themeColor="text1"/>
          <w:sz w:val="44"/>
          <w:szCs w:val="44"/>
          <w:highlight w:val="none"/>
          <w14:textFill>
            <w14:solidFill>
              <w14:schemeClr w14:val="tx1"/>
            </w14:solidFill>
          </w14:textFill>
        </w:rPr>
      </w:pPr>
      <w:bookmarkStart w:id="19" w:name="_Toc102227313"/>
      <w:bookmarkStart w:id="20" w:name="_Toc16577"/>
      <w:r>
        <w:rPr>
          <w:rFonts w:hint="eastAsia" w:ascii="黑体" w:hAnsi="黑体"/>
          <w:b w:val="0"/>
          <w:color w:val="000000" w:themeColor="text1"/>
          <w:sz w:val="44"/>
          <w:szCs w:val="44"/>
          <w:highlight w:val="none"/>
          <w14:textFill>
            <w14:solidFill>
              <w14:schemeClr w14:val="tx1"/>
            </w14:solidFill>
          </w14:textFill>
        </w:rPr>
        <w:t>第二篇</w:t>
      </w:r>
      <w:r>
        <w:rPr>
          <w:rFonts w:ascii="黑体" w:hAnsi="黑体"/>
          <w:b w:val="0"/>
          <w:color w:val="000000" w:themeColor="text1"/>
          <w:sz w:val="44"/>
          <w:szCs w:val="44"/>
          <w:highlight w:val="none"/>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供应商须知</w:t>
      </w:r>
      <w:bookmarkEnd w:id="19"/>
      <w:bookmarkEnd w:id="20"/>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21" w:name="_Toc1696"/>
      <w:bookmarkStart w:id="22" w:name="_Toc342913389"/>
      <w:r>
        <w:rPr>
          <w:rFonts w:hint="eastAsia" w:ascii="方正仿宋_GBK" w:eastAsia="方正仿宋_GBK"/>
          <w:b w:val="0"/>
          <w:color w:val="000000" w:themeColor="text1"/>
          <w:sz w:val="28"/>
          <w:szCs w:val="28"/>
          <w:highlight w:val="none"/>
          <w14:textFill>
            <w14:solidFill>
              <w14:schemeClr w14:val="tx1"/>
            </w14:solidFill>
          </w14:textFill>
        </w:rPr>
        <w:t>一、谈判费用</w:t>
      </w:r>
      <w:bookmarkEnd w:id="21"/>
      <w:bookmarkEnd w:id="22"/>
    </w:p>
    <w:p>
      <w:pPr>
        <w:pStyle w:val="172"/>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23" w:name="_Toc5706"/>
      <w:bookmarkStart w:id="24" w:name="_Toc342913391"/>
      <w:r>
        <w:rPr>
          <w:rFonts w:hint="eastAsia" w:ascii="方正仿宋_GBK" w:eastAsia="方正仿宋_GBK"/>
          <w:b w:val="0"/>
          <w:color w:val="000000" w:themeColor="text1"/>
          <w:sz w:val="28"/>
          <w:szCs w:val="28"/>
          <w:highlight w:val="none"/>
          <w14:textFill>
            <w14:solidFill>
              <w14:schemeClr w14:val="tx1"/>
            </w14:solidFill>
          </w14:textFill>
        </w:rPr>
        <w:t>二、竞争性谈判文件</w:t>
      </w:r>
      <w:bookmarkEnd w:id="23"/>
      <w:bookmarkEnd w:id="24"/>
      <w:r>
        <w:rPr>
          <w:rFonts w:ascii="方正仿宋_GBK" w:eastAsia="方正仿宋_GBK"/>
          <w:b w:val="0"/>
          <w:color w:val="000000" w:themeColor="text1"/>
          <w:sz w:val="28"/>
          <w:szCs w:val="28"/>
          <w:highlight w:val="none"/>
          <w14:textFill>
            <w14:solidFill>
              <w14:schemeClr w14:val="tx1"/>
            </w14:solidFill>
          </w14:textFill>
        </w:rPr>
        <w:tab/>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（二）采购人（或采购代理机构）所作的一切有效的书面通知、修改及补充，都是竞争性谈判文件不可分割的部分。</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w:t>
      </w:r>
      <w:bookmarkStart w:id="25" w:name="_Toc318166429"/>
      <w:bookmarkStart w:id="26" w:name="_Toc318159780"/>
      <w:bookmarkStart w:id="27" w:name="_Toc318159160"/>
      <w:bookmarkStart w:id="28" w:name="_Toc318159349"/>
      <w:r>
        <w:rPr>
          <w:rFonts w:hint="eastAsia" w:ascii="方正仿宋_GBK" w:eastAsia="方正仿宋_GBK"/>
          <w:color w:val="000000" w:themeColor="text1"/>
          <w:szCs w:val="28"/>
          <w:highlight w:val="none"/>
          <w14:textFill>
            <w14:solidFill>
              <w14:schemeClr w14:val="tx1"/>
            </w14:solidFill>
          </w14:textFill>
        </w:rPr>
        <w:t>本竞争性谈判文件中，谈判小组根据与供应商谈判情况可能实质性变动的内容为竞争性谈判文件第三、四、五篇全部内容。</w:t>
      </w:r>
    </w:p>
    <w:bookmarkEnd w:id="25"/>
    <w:bookmarkEnd w:id="26"/>
    <w:bookmarkEnd w:id="27"/>
    <w:bookmarkEnd w:id="28"/>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29" w:name="_Toc342913392"/>
      <w:bookmarkStart w:id="30" w:name="_Toc179714297"/>
      <w:bookmarkStart w:id="31" w:name="_Toc102227318"/>
      <w:bookmarkStart w:id="32" w:name="_Toc22117"/>
      <w:r>
        <w:rPr>
          <w:rFonts w:hint="eastAsia" w:ascii="方正仿宋_GBK" w:eastAsia="方正仿宋_GBK"/>
          <w:b w:val="0"/>
          <w:color w:val="000000" w:themeColor="text1"/>
          <w:sz w:val="28"/>
          <w:szCs w:val="28"/>
          <w:highlight w:val="none"/>
          <w14:textFill>
            <w14:solidFill>
              <w14:schemeClr w14:val="tx1"/>
            </w14:solidFill>
          </w14:textFill>
        </w:rPr>
        <w:t>三、谈判要求</w:t>
      </w:r>
      <w:bookmarkEnd w:id="29"/>
      <w:bookmarkEnd w:id="30"/>
      <w:bookmarkEnd w:id="31"/>
      <w:bookmarkEnd w:id="32"/>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（一）响应文件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响应文件组成</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谈判有效期：响应文件及有关承诺文件有效期为谈判开始时间起</w:t>
      </w:r>
      <w:r>
        <w:rPr>
          <w:rFonts w:ascii="方正仿宋_GBK" w:eastAsia="方正仿宋_GBK"/>
          <w:color w:val="000000" w:themeColor="text1"/>
          <w:szCs w:val="28"/>
          <w:highlight w:val="none"/>
          <w14:textFill>
            <w14:solidFill>
              <w14:schemeClr w14:val="tx1"/>
            </w14:solidFill>
          </w14:textFill>
        </w:rPr>
        <w:t>90</w:t>
      </w:r>
      <w:r>
        <w:rPr>
          <w:rFonts w:hint="eastAsia" w:ascii="方正仿宋_GBK" w:eastAsia="方正仿宋_GBK"/>
          <w:color w:val="000000" w:themeColor="text1"/>
          <w:szCs w:val="28"/>
          <w:highlight w:val="none"/>
          <w14:textFill>
            <w14:solidFill>
              <w14:schemeClr w14:val="tx1"/>
            </w14:solidFill>
          </w14:textFill>
        </w:rPr>
        <w:t>天。</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供应商提交保证金金额和方式详见“</w:t>
      </w:r>
      <w:r>
        <w:rPr>
          <w:rFonts w:hint="eastAsia" w:ascii="方正仿宋_GBK" w:eastAsia="方正仿宋_GBK"/>
          <w:color w:val="000000" w:themeColor="text1"/>
          <w:szCs w:val="28"/>
          <w:highlight w:val="none"/>
          <w:u w:val="single"/>
          <w14:textFill>
            <w14:solidFill>
              <w14:schemeClr w14:val="tx1"/>
            </w14:solidFill>
          </w14:textFill>
        </w:rPr>
        <w:t>第一篇</w:t>
      </w:r>
      <w:r>
        <w:rPr>
          <w:rFonts w:ascii="方正仿宋_GBK" w:eastAsia="方正仿宋_GBK"/>
          <w:color w:val="000000" w:themeColor="text1"/>
          <w:szCs w:val="28"/>
          <w:highlight w:val="none"/>
          <w:u w:val="single"/>
          <w14:textFill>
            <w14:solidFill>
              <w14:schemeClr w14:val="tx1"/>
            </w14:solidFill>
          </w14:textFill>
        </w:rPr>
        <w:t xml:space="preserve">  </w:t>
      </w:r>
      <w:r>
        <w:rPr>
          <w:rFonts w:hint="eastAsia" w:ascii="方正仿宋_GBK" w:eastAsia="方正仿宋_GBK"/>
          <w:color w:val="000000" w:themeColor="text1"/>
          <w:szCs w:val="28"/>
          <w:highlight w:val="none"/>
          <w:u w:val="single"/>
          <w14:textFill>
            <w14:solidFill>
              <w14:schemeClr w14:val="tx1"/>
            </w14:solidFill>
          </w14:textFill>
        </w:rPr>
        <w:t>五、保证金”</w:t>
      </w:r>
      <w:r>
        <w:rPr>
          <w:rFonts w:hint="eastAsia" w:ascii="方正仿宋_GBK" w:eastAsia="方正仿宋_GBK"/>
          <w:color w:val="000000" w:themeColor="text1"/>
          <w:szCs w:val="28"/>
          <w:highlight w:val="none"/>
          <w14:textFill>
            <w14:solidFill>
              <w14:schemeClr w14:val="tx1"/>
            </w14:solidFill>
          </w14:textFill>
        </w:rPr>
        <w:t>；</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发生以下情况之一者，保证金不予退还：</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2.1</w:t>
      </w:r>
      <w:r>
        <w:rPr>
          <w:rFonts w:hint="eastAsia" w:ascii="方正仿宋_GBK" w:eastAsia="方正仿宋_GBK"/>
          <w:color w:val="000000" w:themeColor="text1"/>
          <w:szCs w:val="28"/>
          <w:highlight w:val="none"/>
          <w14:textFill>
            <w14:solidFill>
              <w14:schemeClr w14:val="tx1"/>
            </w14:solidFill>
          </w14:textFill>
        </w:rPr>
        <w:t>供应商在提交响应文件截止时间后撤回响应文件的；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2.2</w:t>
      </w:r>
      <w:r>
        <w:rPr>
          <w:rFonts w:hint="eastAsia" w:ascii="方正仿宋_GBK" w:eastAsia="方正仿宋_GBK"/>
          <w:color w:val="000000" w:themeColor="text1"/>
          <w:szCs w:val="28"/>
          <w:highlight w:val="none"/>
          <w14:textFill>
            <w14:solidFill>
              <w14:schemeClr w14:val="tx1"/>
            </w14:solidFill>
          </w14:textFill>
        </w:rPr>
        <w:t>供应商在响应文件中提供虚假材料的；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2.3</w:t>
      </w:r>
      <w:r>
        <w:rPr>
          <w:rFonts w:hint="eastAsia" w:ascii="方正仿宋_GBK" w:eastAsia="方正仿宋_GBK"/>
          <w:color w:val="000000" w:themeColor="text1"/>
          <w:szCs w:val="28"/>
          <w:highlight w:val="none"/>
          <w14:textFill>
            <w14:solidFill>
              <w14:schemeClr w14:val="tx1"/>
            </w14:solidFill>
          </w14:textFill>
        </w:rPr>
        <w:t>除因不可抗力或竞争性谈判文件认可的情形以外，成交供应商不与采购人签订合同的；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2.4</w:t>
      </w:r>
      <w:r>
        <w:rPr>
          <w:rFonts w:hint="eastAsia" w:ascii="方正仿宋_GBK" w:eastAsia="方正仿宋_GBK"/>
          <w:color w:val="000000" w:themeColor="text1"/>
          <w:szCs w:val="28"/>
          <w:highlight w:val="none"/>
          <w14:textFill>
            <w14:solidFill>
              <w14:schemeClr w14:val="tx1"/>
            </w14:solidFill>
          </w14:textFill>
        </w:rPr>
        <w:t>供应商与采购人、其他供应商或者采购代理机构恶意串通的；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2.5</w:t>
      </w:r>
      <w:r>
        <w:rPr>
          <w:rFonts w:hint="eastAsia" w:ascii="方正仿宋_GBK" w:eastAsia="方正仿宋_GBK"/>
          <w:color w:val="000000" w:themeColor="text1"/>
          <w:szCs w:val="28"/>
          <w:highlight w:val="none"/>
          <w14:textFill>
            <w14:solidFill>
              <w14:schemeClr w14:val="tx1"/>
            </w14:solidFill>
          </w14:textFill>
        </w:rPr>
        <w:t>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（三）修正错误</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若供应商所递交的响应文件或最后报价中的价格出现大写金额和小写金额不一致的错误，以大写金额修正为准。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（四）报价要求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1. </w:t>
      </w:r>
      <w:r>
        <w:rPr>
          <w:rFonts w:hint="eastAsia" w:ascii="方正仿宋_GBK" w:eastAsia="方正仿宋_GBK"/>
          <w:color w:val="000000" w:themeColor="text1"/>
          <w:szCs w:val="28"/>
          <w:highlight w:val="none"/>
          <w14:textFill>
            <w14:solidFill>
              <w14:schemeClr w14:val="tx1"/>
            </w14:solidFill>
          </w14:textFill>
        </w:rPr>
        <w:t>本次报价须为人民币报价。若为进口设备，其投标报价为免税价（免关税及增值税）</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包含（但不限于）：产品价、运输费（含装卸费）、</w:t>
      </w:r>
      <w:r>
        <w:rPr>
          <w:rFonts w:ascii="方正仿宋_GBK" w:eastAsia="方正仿宋_GBK"/>
          <w:color w:val="000000" w:themeColor="text1"/>
          <w:szCs w:val="28"/>
          <w:highlight w:val="none"/>
          <w14:textFill>
            <w14:solidFill>
              <w14:schemeClr w14:val="tx1"/>
            </w14:solidFill>
          </w14:textFill>
        </w:rPr>
        <w:t>0.6%</w:t>
      </w:r>
      <w:r>
        <w:rPr>
          <w:rFonts w:hint="eastAsia" w:ascii="方正仿宋_GBK" w:eastAsia="方正仿宋_GBK"/>
          <w:color w:val="000000" w:themeColor="text1"/>
          <w:szCs w:val="28"/>
          <w:highlight w:val="none"/>
          <w14:textFill>
            <w14:solidFill>
              <w14:schemeClr w14:val="tx1"/>
            </w14:solidFill>
          </w14:textFill>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2. </w:t>
      </w:r>
      <w:r>
        <w:rPr>
          <w:rFonts w:hint="eastAsia" w:ascii="方正仿宋_GBK" w:eastAsia="方正仿宋_GBK"/>
          <w:color w:val="000000" w:themeColor="text1"/>
          <w:szCs w:val="28"/>
          <w:highlight w:val="none"/>
          <w14:textFill>
            <w14:solidFill>
              <w14:schemeClr w14:val="tx1"/>
            </w14:solidFill>
          </w14:textFill>
        </w:rPr>
        <w:t>本次报价须为人民币报价。若为国产设备</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报价包含：产品价、运输费（含装卸费）、保险费、安装调试费、税费、培训费等货到重庆医科大学采购人指定地点的所有费用。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3. </w:t>
      </w:r>
      <w:r>
        <w:rPr>
          <w:rFonts w:hint="eastAsia" w:ascii="方正仿宋_GBK" w:eastAsia="方正仿宋_GBK"/>
          <w:color w:val="000000" w:themeColor="text1"/>
          <w:szCs w:val="28"/>
          <w:highlight w:val="none"/>
          <w14:textFill>
            <w14:solidFill>
              <w14:schemeClr w14:val="tx1"/>
            </w14:solidFill>
          </w14:textFill>
        </w:rPr>
        <w:t>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五</w:t>
      </w:r>
      <w:r>
        <w:rPr>
          <w:rFonts w:hint="eastAsia" w:ascii="方正仿宋_GBK" w:eastAsia="方正仿宋_GBK"/>
          <w:color w:val="000000" w:themeColor="text1"/>
          <w:szCs w:val="28"/>
          <w:highlight w:val="none"/>
          <w14:textFill>
            <w14:solidFill>
              <w14:schemeClr w14:val="tx1"/>
            </w14:solidFill>
          </w14:textFill>
        </w:rPr>
        <w:t>）提交响应文件的份数和签署</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响应文件一式四份，其中正本一份，副本二份，电子文档一份（电子文档内容应与纸质文件正本一致，如不一致以纸质文件正本为准。推荐采用光盘或</w:t>
      </w:r>
      <w:r>
        <w:rPr>
          <w:rFonts w:ascii="方正仿宋_GBK" w:eastAsia="方正仿宋_GBK"/>
          <w:color w:val="000000" w:themeColor="text1"/>
          <w:szCs w:val="28"/>
          <w:highlight w:val="none"/>
          <w14:textFill>
            <w14:solidFill>
              <w14:schemeClr w14:val="tx1"/>
            </w14:solidFill>
          </w14:textFill>
        </w:rPr>
        <w:t>U</w:t>
      </w:r>
      <w:r>
        <w:rPr>
          <w:rFonts w:hint="eastAsia" w:ascii="方正仿宋_GBK" w:eastAsia="方正仿宋_GBK"/>
          <w:color w:val="000000" w:themeColor="text1"/>
          <w:szCs w:val="28"/>
          <w:highlight w:val="none"/>
          <w14:textFill>
            <w14:solidFill>
              <w14:schemeClr w14:val="tx1"/>
            </w14:solidFill>
          </w14:textFill>
        </w:rPr>
        <w:t>盘为电子文档载体）；副本可为正本的复印件，应与正本一致，如出现不一致情况以正本为准。</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在响应文件正本中，竞争性谈判文件第六篇响应文件格式中规定签字、盖章的地方必须按其规定签字、盖章。</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若供应商对响应文件的错处作必要修改，则应在修改处加盖供应商公章或由法定代表人或法定代表人授权代表签字确认。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电报、电话、传真形式的响应文件概不接受。</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六</w:t>
      </w:r>
      <w:r>
        <w:rPr>
          <w:rFonts w:hint="eastAsia" w:ascii="方正仿宋_GBK" w:eastAsia="方正仿宋_GBK"/>
          <w:color w:val="000000" w:themeColor="text1"/>
          <w:szCs w:val="28"/>
          <w:highlight w:val="none"/>
          <w14:textFill>
            <w14:solidFill>
              <w14:schemeClr w14:val="tx1"/>
            </w14:solidFill>
          </w14:textFill>
        </w:rPr>
        <w:t>）响应文件的递交</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响应文件的密封与标记</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1.1</w:t>
      </w:r>
      <w:r>
        <w:rPr>
          <w:rFonts w:hint="eastAsia" w:ascii="方正仿宋_GBK" w:hAnsi="宋体" w:eastAsia="方正仿宋_GBK"/>
          <w:color w:val="000000" w:themeColor="text1"/>
          <w:sz w:val="28"/>
          <w:szCs w:val="28"/>
          <w:highlight w:val="none"/>
          <w14:textFill>
            <w14:solidFill>
              <w14:schemeClr w14:val="tx1"/>
            </w14:solidFill>
          </w14:textFill>
        </w:rPr>
        <w:t>响应文件的正本、副本以及电子文档均应密封送达谈判地点，应在封套上注明项目名称、供应商名称。若正本、副本以及电子文档分别进行密封的，还应在封套上注明“正本”、“副本”、“电子文档”字样。</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1.2</w:t>
      </w:r>
      <w:r>
        <w:rPr>
          <w:rFonts w:hint="eastAsia" w:ascii="方正仿宋_GBK" w:hAnsi="宋体" w:eastAsia="方正仿宋_GBK"/>
          <w:color w:val="000000" w:themeColor="text1"/>
          <w:sz w:val="28"/>
          <w:szCs w:val="28"/>
          <w:highlight w:val="none"/>
          <w14:textFill>
            <w14:solidFill>
              <w14:schemeClr w14:val="tx1"/>
            </w14:solidFill>
          </w14:textFill>
        </w:rPr>
        <w:t>封套的封口处应加盖供应商公章或由法定代表人授权代表签字。</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w:t>
      </w:r>
      <w:r>
        <w:rPr>
          <w:rFonts w:hint="eastAsia" w:ascii="方正仿宋_GBK" w:hAnsi="宋体" w:eastAsia="方正仿宋_GBK"/>
          <w:color w:val="000000" w:themeColor="text1"/>
          <w:sz w:val="28"/>
          <w:szCs w:val="28"/>
          <w:highlight w:val="none"/>
          <w14:textFill>
            <w14:solidFill>
              <w14:schemeClr w14:val="tx1"/>
            </w14:solidFill>
          </w14:textFill>
        </w:rPr>
        <w:t>如果响应文件通过邮寄递交，供应商应将响应文件用内、外两层封套密封。</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2.1</w:t>
      </w:r>
      <w:r>
        <w:rPr>
          <w:rFonts w:hint="eastAsia" w:ascii="方正仿宋_GBK" w:hAnsi="宋体" w:eastAsia="方正仿宋_GBK"/>
          <w:color w:val="000000" w:themeColor="text1"/>
          <w:sz w:val="28"/>
          <w:szCs w:val="28"/>
          <w:highlight w:val="none"/>
          <w14:textFill>
            <w14:solidFill>
              <w14:schemeClr w14:val="tx1"/>
            </w14:solidFill>
          </w14:textFill>
        </w:rPr>
        <w:t>内层封套的封装与标记同</w:t>
      </w:r>
      <w:r>
        <w:rPr>
          <w:rFonts w:ascii="方正仿宋_GBK" w:hAnsi="宋体" w:eastAsia="方正仿宋_GBK"/>
          <w:color w:val="000000" w:themeColor="text1"/>
          <w:sz w:val="28"/>
          <w:szCs w:val="28"/>
          <w:highlight w:val="none"/>
          <w14:textFill>
            <w14:solidFill>
              <w14:schemeClr w14:val="tx1"/>
            </w14:solidFill>
          </w14:textFill>
        </w:rPr>
        <w:t xml:space="preserve"> </w:t>
      </w:r>
      <w:r>
        <w:rPr>
          <w:rFonts w:hint="eastAsia" w:ascii="方正仿宋_GBK" w:hAnsi="宋体" w:eastAsia="方正仿宋_GBK"/>
          <w:color w:val="000000" w:themeColor="text1"/>
          <w:sz w:val="28"/>
          <w:szCs w:val="28"/>
          <w:highlight w:val="none"/>
          <w14:textFill>
            <w14:solidFill>
              <w14:schemeClr w14:val="tx1"/>
            </w14:solidFill>
          </w14:textFill>
        </w:rPr>
        <w:t>“</w:t>
      </w: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”款规定。</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2.2</w:t>
      </w:r>
      <w:r>
        <w:rPr>
          <w:rFonts w:hint="eastAsia" w:ascii="方正仿宋_GBK" w:hAnsi="宋体" w:eastAsia="方正仿宋_GBK"/>
          <w:color w:val="000000" w:themeColor="text1"/>
          <w:sz w:val="28"/>
          <w:szCs w:val="28"/>
          <w:highlight w:val="none"/>
          <w14:textFill>
            <w14:solidFill>
              <w14:schemeClr w14:val="tx1"/>
            </w14:solidFill>
          </w14:textFill>
        </w:rPr>
        <w:t>外层封套装入“</w:t>
      </w: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如果未按上述规定进行密封和标记，采购代理机构对响应文件误投、丢失或提前拆封不负责任。</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七</w:t>
      </w:r>
      <w:r>
        <w:rPr>
          <w:rFonts w:hint="eastAsia" w:ascii="方正仿宋_GBK" w:eastAsia="方正仿宋_GBK"/>
          <w:color w:val="000000" w:themeColor="text1"/>
          <w:szCs w:val="28"/>
          <w:highlight w:val="none"/>
          <w14:textFill>
            <w14:solidFill>
              <w14:schemeClr w14:val="tx1"/>
            </w14:solidFill>
          </w14:textFill>
        </w:rPr>
        <w:t>）响应文件语言：简体中文</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八</w:t>
      </w:r>
      <w:r>
        <w:rPr>
          <w:rFonts w:hint="eastAsia" w:ascii="方正仿宋_GBK" w:eastAsia="方正仿宋_GBK"/>
          <w:color w:val="000000" w:themeColor="text1"/>
          <w:szCs w:val="28"/>
          <w:highlight w:val="none"/>
          <w14:textFill>
            <w14:solidFill>
              <w14:schemeClr w14:val="tx1"/>
            </w14:solidFill>
          </w14:textFill>
        </w:rPr>
        <w:t>）供应商参与人员</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各供应商应当派</w:t>
      </w: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名代表参与谈判，至少</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人应为法定代表人或具有法定代表人授权委托书的授权代表。</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九</w:t>
      </w:r>
      <w:r>
        <w:rPr>
          <w:rFonts w:hint="eastAsia" w:ascii="方正仿宋_GBK" w:eastAsia="方正仿宋_GBK"/>
          <w:color w:val="000000" w:themeColor="text1"/>
          <w:szCs w:val="28"/>
          <w:highlight w:val="none"/>
          <w14:textFill>
            <w14:solidFill>
              <w14:schemeClr w14:val="tx1"/>
            </w14:solidFill>
          </w14:textFill>
        </w:rPr>
        <w:t>）无效谈判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供应商发生以下条款情况之一者，视为无效谈判，其响应文件将被拒绝：</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供应商不符合规定的基本资格条件或特定资格条件的；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供应商未按谈判文件规定购买谈判文件的；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供应商的法定代表人或其授权代表未参加谈判；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供应商未在保证金到账截止时间前提交足额保证金的；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供应商所提交的响应文件不按规定签字、盖章的；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供应商的最后报价超过采购预算或最高限价的；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供应商响应文件内容有与国家现行法律法规相违背的内容，或附有采购人无法接受条件的。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单位负责人为同一人或者存在直接控股、管理关系的不同供应商，参加同一合同项（分包）下政府采购活动的；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9.</w:t>
      </w:r>
      <w:r>
        <w:rPr>
          <w:rFonts w:hint="eastAsia" w:ascii="方正仿宋_GBK" w:eastAsia="方正仿宋_GBK"/>
          <w:color w:val="000000" w:themeColor="text1"/>
          <w:szCs w:val="28"/>
          <w:highlight w:val="none"/>
          <w14:textFill>
            <w14:solidFill>
              <w14:schemeClr w14:val="tx1"/>
            </w14:solidFill>
          </w14:textFill>
        </w:rPr>
        <w:t>为采购项目提供整体设计、规范编制或者项目管理、监理、检测等服务的供应商再参加该采购项目的其他采购活动的；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同一合同项（分包）下的货物，制造商参与谈判的，再委托代理商参与谈判的</w:t>
      </w:r>
      <w:r>
        <w:rPr>
          <w:rFonts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供应商以联合体形式参与谈判的。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供应商如会上不能解答谈判文件的技术问题，视为无效谈判。</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33" w:name="_Toc342913393"/>
      <w:bookmarkStart w:id="34" w:name="_Toc179714298"/>
      <w:bookmarkStart w:id="35" w:name="_Toc102227319"/>
      <w:bookmarkStart w:id="36" w:name="_Toc20478"/>
      <w:r>
        <w:rPr>
          <w:rFonts w:hint="eastAsia" w:ascii="方正仿宋_GBK" w:eastAsia="方正仿宋_GBK"/>
          <w:b w:val="0"/>
          <w:color w:val="000000" w:themeColor="text1"/>
          <w:sz w:val="28"/>
          <w:szCs w:val="28"/>
          <w:highlight w:val="none"/>
          <w14:textFill>
            <w14:solidFill>
              <w14:schemeClr w14:val="tx1"/>
            </w14:solidFill>
          </w14:textFill>
        </w:rPr>
        <w:t>四、谈判程序</w:t>
      </w:r>
      <w:bookmarkEnd w:id="33"/>
      <w:bookmarkEnd w:id="34"/>
      <w:bookmarkEnd w:id="35"/>
      <w:bookmarkEnd w:id="36"/>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（一）谈判按竞争性谈判文件规定的时间和地点进行。供应商须有法定代表人或其授权代表参加并签到。</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r>
        <w:rPr>
          <w:rFonts w:ascii="方正仿宋_GBK" w:eastAsia="方正仿宋_GBK"/>
          <w:color w:val="000000" w:themeColor="text1"/>
          <w:szCs w:val="28"/>
          <w:highlight w:val="none"/>
          <w14:textFill>
            <w14:solidFill>
              <w14:schemeClr w14:val="tx1"/>
            </w14:solidFill>
          </w14:textFill>
        </w:rPr>
        <w:t xml:space="preserve"> </w:t>
      </w:r>
    </w:p>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eastAsia="方正仿宋_GBK" w:cs="宋体"/>
          <w:color w:val="000000" w:themeColor="text1"/>
          <w:kern w:val="0"/>
          <w:szCs w:val="28"/>
          <w:highlight w:val="none"/>
          <w14:textFill>
            <w14:solidFill>
              <w14:schemeClr w14:val="tx1"/>
            </w14:solidFill>
          </w14:textFill>
        </w:rPr>
        <w:t>资格性检查。依据法律法规和竞争性谈判文件的规定，对响应文件中的资格证明、保证金等进行审查，以确定供应商是否具备谈判资格。资格性检查资料表如下：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检查因素</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1</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供</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应</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商</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基</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本</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资</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格</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条</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）具有独立承担民事责任的能力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①供应商法人营业执照（副本）或事业单位法人证书（副本）或个体工商户营业执照或有效的自然人身份证明、组织机构代码证复印件（注</w:t>
            </w: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 xml:space="preserve"> </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2</w:t>
            </w: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具有良好的商业信誉和健全的财务会计制度</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①提供</w:t>
            </w:r>
            <w:r>
              <w:rPr>
                <w:rFonts w:ascii="方正仿宋_GBK" w:hAnsi="仿宋" w:eastAsia="方正仿宋_GBK"/>
                <w:color w:val="000000" w:themeColor="text1"/>
                <w:szCs w:val="28"/>
                <w:highlight w:val="none"/>
                <w14:textFill>
                  <w14:solidFill>
                    <w14:schemeClr w14:val="tx1"/>
                  </w14:solidFill>
                </w14:textFill>
              </w:rPr>
              <w:t>20</w:t>
            </w:r>
            <w:r>
              <w:rPr>
                <w:rFonts w:hint="eastAsia" w:ascii="方正仿宋_GBK" w:hAnsi="仿宋" w:eastAsia="方正仿宋_GBK"/>
                <w:color w:val="000000" w:themeColor="text1"/>
                <w:szCs w:val="28"/>
                <w:highlight w:val="none"/>
                <w14:textFill>
                  <w14:solidFill>
                    <w14:schemeClr w14:val="tx1"/>
                  </w14:solidFill>
                </w14:textFill>
              </w:rPr>
              <w:t>21或</w:t>
            </w:r>
            <w:r>
              <w:rPr>
                <w:rFonts w:ascii="方正仿宋_GBK" w:hAnsi="仿宋" w:eastAsia="方正仿宋_GBK"/>
                <w:color w:val="000000" w:themeColor="text1"/>
                <w:szCs w:val="28"/>
                <w:highlight w:val="none"/>
                <w14:textFill>
                  <w14:solidFill>
                    <w14:schemeClr w14:val="tx1"/>
                  </w14:solidFill>
                </w14:textFill>
              </w:rPr>
              <w:t>202</w:t>
            </w:r>
            <w:r>
              <w:rPr>
                <w:rFonts w:hint="eastAsia" w:ascii="方正仿宋_GBK" w:hAnsi="仿宋"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3</w:t>
            </w:r>
            <w:r>
              <w:rPr>
                <w:rFonts w:hint="eastAsia" w:ascii="方正仿宋_GBK" w:hAnsi="仿宋" w:eastAsia="方正仿宋_GBK" w:cs="仿宋_GB2312"/>
                <w:color w:val="000000" w:themeColor="text1"/>
                <w:szCs w:val="28"/>
                <w:highlight w:val="none"/>
                <w:lang w:val="zh-CN"/>
                <w14:textFill>
                  <w14:solidFill>
                    <w14:schemeClr w14:val="tx1"/>
                  </w14:solidFill>
                </w14:textFill>
              </w:rPr>
              <w:t>）具有履行合同所必需的设备和专业技术能力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4</w:t>
            </w:r>
            <w:r>
              <w:rPr>
                <w:rFonts w:hint="eastAsia" w:ascii="方正仿宋_GBK" w:hAnsi="仿宋" w:eastAsia="方正仿宋_GBK" w:cs="仿宋_GB2312"/>
                <w:color w:val="000000" w:themeColor="text1"/>
                <w:szCs w:val="28"/>
                <w:highlight w:val="none"/>
                <w:lang w:val="zh-CN"/>
                <w14:textFill>
                  <w14:solidFill>
                    <w14:schemeClr w14:val="tx1"/>
                  </w14:solidFill>
                </w14:textFill>
              </w:rPr>
              <w:t>）有依法缴纳税收和社会保障金的良好记录</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①税务登记证（副本）复印件（注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②缴纳社会保障金的证明材料复印件（缴纳社会保障金的证明材料指：社会保险登记证（注</w:t>
            </w:r>
            <w:r>
              <w:rPr>
                <w:rFonts w:ascii="方正仿宋_GBK" w:hAnsi="仿宋" w:eastAsia="方正仿宋_GBK"/>
                <w:color w:val="000000" w:themeColor="text1"/>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）或缴纳社会保险的凭据（专用收据或社会保险缴纳清单）。</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5</w:t>
            </w:r>
            <w:r>
              <w:rPr>
                <w:rFonts w:hint="eastAsia" w:ascii="方正仿宋_GBK" w:hAnsi="仿宋" w:eastAsia="方正仿宋_GBK"/>
                <w:color w:val="000000" w:themeColor="text1"/>
                <w:szCs w:val="28"/>
                <w:highlight w:val="none"/>
                <w14:textFill>
                  <w14:solidFill>
                    <w14:schemeClr w14:val="tx1"/>
                  </w14:solidFill>
                </w14:textFill>
              </w:rPr>
              <w:t>）参加政府采购活动前三年内，在经营活动中没有重大违法记录（注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①供应商提供书面声明（见格式文件）；</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②采购人或采购代理机构将通过</w:t>
            </w:r>
            <w:r>
              <w:rPr>
                <w:rFonts w:ascii="方正仿宋_GBK" w:hAnsi="仿宋" w:eastAsia="方正仿宋_GBK"/>
                <w:color w:val="000000" w:themeColor="text1"/>
                <w:szCs w:val="28"/>
                <w:highlight w:val="none"/>
                <w14:textFill>
                  <w14:solidFill>
                    <w14:schemeClr w14:val="tx1"/>
                  </w14:solidFill>
                </w14:textFill>
              </w:rPr>
              <w:t xml:space="preserve"> </w:t>
            </w:r>
            <w:r>
              <w:rPr>
                <w:rFonts w:hint="eastAsia" w:ascii="方正仿宋_GBK" w:hAnsi="仿宋" w:eastAsia="方正仿宋_GBK"/>
                <w:color w:val="000000" w:themeColor="text1"/>
                <w:szCs w:val="28"/>
                <w:highlight w:val="none"/>
                <w14:textFill>
                  <w14:solidFill>
                    <w14:schemeClr w14:val="tx1"/>
                  </w14:solidFill>
                </w14:textFill>
              </w:rPr>
              <w:t>“信用中国”网站</w:t>
            </w:r>
            <w:r>
              <w:rPr>
                <w:rFonts w:ascii="方正仿宋_GBK" w:hAnsi="仿宋" w:eastAsia="方正仿宋_GBK"/>
                <w:color w:val="000000" w:themeColor="text1"/>
                <w:szCs w:val="28"/>
                <w:highlight w:val="none"/>
                <w14:textFill>
                  <w14:solidFill>
                    <w14:schemeClr w14:val="tx1"/>
                  </w14:solidFill>
                </w14:textFill>
              </w:rPr>
              <w:t>(www.creditchina.gov.cn)</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中国政府采购网</w:t>
            </w:r>
            <w:r>
              <w:rPr>
                <w:rFonts w:ascii="方正仿宋_GBK" w:hAnsi="仿宋" w:eastAsia="方正仿宋_GBK"/>
                <w:color w:val="000000" w:themeColor="text1"/>
                <w:szCs w:val="28"/>
                <w:highlight w:val="none"/>
                <w14:textFill>
                  <w14:solidFill>
                    <w14:schemeClr w14:val="tx1"/>
                  </w14:solidFill>
                </w14:textFill>
              </w:rPr>
              <w:t>"(www.ccgp.gov.cn)</w:t>
            </w:r>
            <w:r>
              <w:rPr>
                <w:rFonts w:hint="eastAsia" w:ascii="方正仿宋_GBK" w:hAnsi="仿宋" w:eastAsia="方正仿宋_GBK"/>
                <w:color w:val="000000" w:themeColor="text1"/>
                <w:szCs w:val="28"/>
                <w:highlight w:val="none"/>
                <w14:textFill>
                  <w14:solidFill>
                    <w14:schemeClr w14:val="tx1"/>
                  </w14:solidFill>
                </w14:textFill>
              </w:rPr>
              <w:t>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6</w:t>
            </w:r>
            <w:r>
              <w:rPr>
                <w:rFonts w:hint="eastAsia" w:ascii="方正仿宋_GBK" w:hAnsi="仿宋" w:eastAsia="方正仿宋_GBK"/>
                <w:color w:val="000000" w:themeColor="text1"/>
                <w:szCs w:val="28"/>
                <w:highlight w:val="none"/>
                <w14:textFill>
                  <w14:solidFill>
                    <w14:schemeClr w14:val="tx1"/>
                  </w14:solidFill>
                </w14:textFill>
              </w:rPr>
              <w:t>）法律、行政法规规定的其他条件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2</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特定资格条件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3</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保证金</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按照竞争性谈判文件要求足额缴纳保证金</w:t>
            </w:r>
          </w:p>
        </w:tc>
      </w:tr>
    </w:tbl>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注</w:t>
      </w: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eastAsia="方正仿宋_GBK" w:cs="宋体"/>
          <w:color w:val="000000" w:themeColor="text1"/>
          <w:kern w:val="0"/>
          <w:szCs w:val="28"/>
          <w:highlight w:val="none"/>
          <w14:textFill>
            <w14:solidFill>
              <w14:schemeClr w14:val="tx1"/>
            </w14:solidFill>
          </w14:textFill>
        </w:rPr>
        <w:t>：</w:t>
      </w:r>
      <w:r>
        <w:rPr>
          <w:rFonts w:hint="eastAsia" w:ascii="方正仿宋_GBK" w:hAnsi="仿宋" w:eastAsia="方正仿宋_GBK" w:cs="宋体"/>
          <w:color w:val="000000" w:themeColor="text1"/>
          <w:kern w:val="0"/>
          <w:szCs w:val="28"/>
          <w:highlight w:val="none"/>
          <w14:textFill>
            <w14:solidFill>
              <w14:schemeClr w14:val="tx1"/>
            </w14:solidFill>
          </w14:textFill>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eastAsia="方正仿宋_GBK" w:cs="宋体"/>
          <w:color w:val="000000" w:themeColor="text1"/>
          <w:kern w:val="0"/>
          <w:szCs w:val="28"/>
          <w:highlight w:val="none"/>
          <w14:textFill>
            <w14:solidFill>
              <w14:schemeClr w14:val="tx1"/>
            </w14:solidFill>
          </w14:textFill>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方正仿宋_GBK" w:eastAsia="方正仿宋_GBK"/>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eastAsia="方正仿宋_GBK" w:cs="宋体"/>
          <w:color w:val="000000" w:themeColor="text1"/>
          <w:kern w:val="0"/>
          <w:szCs w:val="28"/>
          <w:highlight w:val="none"/>
          <w14:textFill>
            <w14:solidFill>
              <w14:schemeClr w14:val="tx1"/>
            </w14:solidFill>
          </w14:textFill>
        </w:rPr>
        <w:t>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color w:val="000000" w:themeColor="text1"/>
          <w:kern w:val="0"/>
          <w:szCs w:val="28"/>
          <w:highlight w:val="none"/>
          <w14:textFill>
            <w14:solidFill>
              <w14:schemeClr w14:val="tx1"/>
            </w14:solidFill>
          </w14:textFill>
        </w:rPr>
        <w:t>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序号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lang w:val="zh-CN"/>
                <w14:textFill>
                  <w14:solidFill>
                    <w14:schemeClr w14:val="tx1"/>
                  </w14:solidFill>
                </w14:textFill>
              </w:rPr>
              <w:t>只能有一个</w:t>
            </w: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文件正、副本数量（含电子文档）符合</w:t>
            </w:r>
            <w:r>
              <w:rPr>
                <w:rFonts w:hint="eastAsia" w:ascii="方正仿宋_GBK" w:eastAsia="方正仿宋_GBK" w:cs="仿宋_GB2312"/>
                <w:color w:val="000000" w:themeColor="text1"/>
                <w:szCs w:val="28"/>
                <w:highlight w:val="none"/>
                <w14:textFill>
                  <w14:solidFill>
                    <w14:schemeClr w14:val="tx1"/>
                  </w14:solidFill>
                </w14:textFill>
              </w:rPr>
              <w:t>竞争性谈判</w:t>
            </w:r>
            <w:r>
              <w:rPr>
                <w:rFonts w:hint="eastAsia" w:ascii="方正仿宋_GBK" w:eastAsia="方正仿宋_GBK" w:cs="仿宋_GB2312"/>
                <w:color w:val="000000" w:themeColor="text1"/>
                <w:szCs w:val="28"/>
                <w:highlight w:val="none"/>
                <w:lang w:val="zh-CN"/>
                <w14:textFill>
                  <w14:solidFill>
                    <w14:schemeClr w14:val="tx1"/>
                  </w14:solidFill>
                </w14:textFill>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竞争性谈判文件的响应程度审查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谈判有效期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满足谈判文件</w:t>
            </w:r>
            <w:r>
              <w:rPr>
                <w:rFonts w:hint="eastAsia" w:ascii="方正仿宋_GBK" w:eastAsia="方正仿宋_GBK" w:cs="仿宋_GB2312"/>
                <w:color w:val="000000" w:themeColor="text1"/>
                <w:szCs w:val="28"/>
                <w:highlight w:val="none"/>
                <w:lang w:val="zh-CN"/>
                <w14:textFill>
                  <w14:solidFill>
                    <w14:schemeClr w14:val="tx1"/>
                  </w14:solidFill>
                </w14:textFill>
              </w:rPr>
              <w:t>规定。</w:t>
            </w:r>
          </w:p>
        </w:tc>
      </w:tr>
    </w:tbl>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（五）在谈判过程中谈判的任何一方不得向他人透露与谈判有关的技术资料、价格或其他信息。</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（七）供应商在谈判时作出的所有书面承诺须由法定代表人或其授权代表签字。</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37" w:name="_Toc24555"/>
      <w:bookmarkStart w:id="38" w:name="_Toc102227320"/>
      <w:bookmarkStart w:id="39" w:name="_Toc342913394"/>
      <w:r>
        <w:rPr>
          <w:rFonts w:hint="eastAsia" w:ascii="方正仿宋_GBK" w:eastAsia="方正仿宋_GBK"/>
          <w:b w:val="0"/>
          <w:color w:val="000000" w:themeColor="text1"/>
          <w:sz w:val="28"/>
          <w:szCs w:val="28"/>
          <w:highlight w:val="none"/>
          <w14:textFill>
            <w14:solidFill>
              <w14:schemeClr w14:val="tx1"/>
            </w14:solidFill>
          </w14:textFill>
        </w:rPr>
        <w:t>五、评审依据</w:t>
      </w:r>
      <w:bookmarkEnd w:id="37"/>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评审的依据为竞争性谈判文件和响应文件（含有效的补充文件）。谈判小组判断响应文件对竞争性谈判文件的响应，仅基于响应文件本身而不靠外部证据。</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0" w:name="_Toc31402"/>
      <w:r>
        <w:rPr>
          <w:rFonts w:hint="eastAsia" w:ascii="方正仿宋_GBK" w:eastAsia="方正仿宋_GBK"/>
          <w:b w:val="0"/>
          <w:color w:val="000000" w:themeColor="text1"/>
          <w:sz w:val="28"/>
          <w:szCs w:val="28"/>
          <w:highlight w:val="none"/>
          <w14:textFill>
            <w14:solidFill>
              <w14:schemeClr w14:val="tx1"/>
            </w14:solidFill>
          </w14:textFill>
        </w:rPr>
        <w:t>六、成交</w:t>
      </w:r>
      <w:bookmarkEnd w:id="38"/>
      <w:r>
        <w:rPr>
          <w:rFonts w:hint="eastAsia" w:ascii="方正仿宋_GBK" w:eastAsia="方正仿宋_GBK"/>
          <w:b w:val="0"/>
          <w:color w:val="000000" w:themeColor="text1"/>
          <w:sz w:val="28"/>
          <w:szCs w:val="28"/>
          <w:highlight w:val="none"/>
          <w14:textFill>
            <w14:solidFill>
              <w14:schemeClr w14:val="tx1"/>
            </w14:solidFill>
          </w14:textFill>
        </w:rPr>
        <w:t>原则</w:t>
      </w:r>
      <w:bookmarkEnd w:id="39"/>
      <w:bookmarkEnd w:id="40"/>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（一）评审办法</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谈判小组将依照本竞争性谈判文件相关规定对质量和服务均能满足竞争性谈判实质性响应要求的供应商所提交的最后报价进行政策性扣减，并依据扣减后的价格按照由低到高的顺序提出</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名以上成交候选人，并编写评审报告。</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若供应商的最后报价经扣减后价格相同，按技术参数（条款）的优劣顺序排列；以上都相同的，按服务条款的优劣顺序排列。</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成交价格</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成交供应商的最后报价</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（二）评审细则</w:t>
      </w:r>
    </w:p>
    <w:p>
      <w:pPr>
        <w:tabs>
          <w:tab w:val="left" w:pos="36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资格符合性检查</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依据法律法规和竞争性谈判文件的规定，对供应商的资格证明、保证金等进行审查，以确定供应商是否具备谈判资格。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对响应文件的有效性、完整性和响应程度检查</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关于政策性扣减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3.1</w:t>
      </w:r>
      <w:r>
        <w:rPr>
          <w:rFonts w:hint="eastAsia" w:ascii="方正仿宋_GBK" w:eastAsia="方正仿宋_GBK"/>
          <w:color w:val="000000" w:themeColor="text1"/>
          <w:szCs w:val="28"/>
          <w:highlight w:val="none"/>
          <w14:textFill>
            <w14:solidFill>
              <w14:schemeClr w14:val="tx1"/>
            </w14:solidFill>
          </w14:textFill>
        </w:rPr>
        <w:t>政策性扣减范围</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供应商符合小型、微型企业或监狱企业条件、残疾人福利性单位的，其最后报价将按相应比例进行扣减。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3.2  </w:t>
      </w:r>
      <w:r>
        <w:rPr>
          <w:rFonts w:hint="eastAsia" w:ascii="方正仿宋_GBK" w:eastAsia="方正仿宋_GBK"/>
          <w:color w:val="000000" w:themeColor="text1"/>
          <w:szCs w:val="28"/>
          <w:highlight w:val="none"/>
          <w14:textFill>
            <w14:solidFill>
              <w14:schemeClr w14:val="tx1"/>
            </w14:solidFill>
          </w14:textFill>
        </w:rPr>
        <w:t>政策性扣减方式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3.2.1</w:t>
      </w:r>
      <w:r>
        <w:rPr>
          <w:rFonts w:hint="eastAsia" w:ascii="方正仿宋_GBK" w:eastAsia="方正仿宋_GBK"/>
          <w:color w:val="000000" w:themeColor="text1"/>
          <w:szCs w:val="28"/>
          <w:highlight w:val="none"/>
          <w14:textFill>
            <w14:solidFill>
              <w14:schemeClr w14:val="tx1"/>
            </w14:solidFill>
          </w14:textFill>
        </w:rPr>
        <w:t>供应商为非联合体参与谈判的，对小型企业给予</w:t>
      </w: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的扣除，微型企业给予</w:t>
      </w: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的扣除（注册资金十五万及以下的微型企业给予</w:t>
      </w:r>
      <w:r>
        <w:rPr>
          <w:rFonts w:ascii="方正仿宋_GBK" w:eastAsia="方正仿宋_GBK"/>
          <w:color w:val="000000" w:themeColor="text1"/>
          <w:szCs w:val="28"/>
          <w:highlight w:val="none"/>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的扣除），以扣除后的报价参与评审。</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3.2.2</w:t>
      </w:r>
      <w:r>
        <w:rPr>
          <w:rFonts w:hint="eastAsia" w:ascii="方正仿宋_GBK" w:eastAsia="方正仿宋_GBK"/>
          <w:color w:val="000000" w:themeColor="text1"/>
          <w:szCs w:val="28"/>
          <w:highlight w:val="none"/>
          <w14:textFill>
            <w14:solidFill>
              <w14:schemeClr w14:val="tx1"/>
            </w14:solidFill>
          </w14:textFill>
        </w:rPr>
        <w:t>供应商为联合体参与谈判的，在联合协议中小型企业、微型企业的协议合同金额占到联合体协议合同总金额</w:t>
      </w:r>
      <w:r>
        <w:rPr>
          <w:rFonts w:ascii="方正仿宋_GBK" w:eastAsia="方正仿宋_GBK"/>
          <w:color w:val="000000" w:themeColor="text1"/>
          <w:szCs w:val="28"/>
          <w:highlight w:val="none"/>
          <w14:textFill>
            <w14:solidFill>
              <w14:schemeClr w14:val="tx1"/>
            </w14:solidFill>
          </w14:textFill>
        </w:rPr>
        <w:t>30</w:t>
      </w:r>
      <w:r>
        <w:rPr>
          <w:rFonts w:hint="eastAsia" w:ascii="方正仿宋_GBK" w:eastAsia="方正仿宋_GBK"/>
          <w:color w:val="000000" w:themeColor="text1"/>
          <w:szCs w:val="28"/>
          <w:highlight w:val="none"/>
          <w14:textFill>
            <w14:solidFill>
              <w14:schemeClr w14:val="tx1"/>
            </w14:solidFill>
          </w14:textFill>
        </w:rPr>
        <w:t>％以上的，与小型企业联合的可给予联合体</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的报价扣除，与微型企业联合的可给予联合体</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的报价扣除。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3.2.3</w:t>
      </w:r>
      <w:r>
        <w:rPr>
          <w:rFonts w:hint="eastAsia" w:ascii="方正仿宋_GBK" w:eastAsia="方正仿宋_GBK"/>
          <w:color w:val="000000" w:themeColor="text1"/>
          <w:szCs w:val="28"/>
          <w:highlight w:val="none"/>
          <w14:textFill>
            <w14:solidFill>
              <w14:schemeClr w14:val="tx1"/>
            </w14:solidFill>
          </w14:textFill>
        </w:rPr>
        <w:t>监狱企业、残疾人福利性单位属于微型企业的，应提供企业所在地的县级以上中小企业主管部门本年度出具的证明文件复印件和微型企业承诺书（详见第六篇</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五、其他“微型企业承诺书”）。未提供以上资料的监狱企业、残疾人福利性单位视同小型企业。</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成交供应商的确定：</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4.1</w:t>
      </w:r>
      <w:r>
        <w:rPr>
          <w:rFonts w:hint="eastAsia" w:ascii="方正仿宋_GBK" w:eastAsia="方正仿宋_GBK"/>
          <w:color w:val="000000" w:themeColor="text1"/>
          <w:szCs w:val="28"/>
          <w:highlight w:val="none"/>
          <w14:textFill>
            <w14:solidFill>
              <w14:schemeClr w14:val="tx1"/>
            </w14:solidFill>
          </w14:textFill>
        </w:rPr>
        <w:t>“第三篇</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谈判项目技术需求”有一条及以上不能满足竞争性谈判文件要求的供应商将失去成为成交供应商的资格。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4.2</w:t>
      </w:r>
      <w:r>
        <w:rPr>
          <w:rFonts w:hint="eastAsia" w:ascii="方正仿宋_GBK" w:eastAsia="方正仿宋_GBK"/>
          <w:color w:val="000000" w:themeColor="text1"/>
          <w:szCs w:val="28"/>
          <w:highlight w:val="none"/>
          <w14:textFill>
            <w14:solidFill>
              <w14:schemeClr w14:val="tx1"/>
            </w14:solidFill>
          </w14:textFill>
        </w:rPr>
        <w:t>“第四篇</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谈判项目服务需求”有一条及以上不能满足竞争性谈判文件要求的供应商将失去成为成交供应商的资格。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4.3</w:t>
      </w:r>
      <w:r>
        <w:rPr>
          <w:rFonts w:hint="eastAsia" w:ascii="方正仿宋_GBK" w:eastAsia="方正仿宋_GBK"/>
          <w:color w:val="000000" w:themeColor="text1"/>
          <w:szCs w:val="28"/>
          <w:highlight w:val="none"/>
          <w14:textFill>
            <w14:solidFill>
              <w14:schemeClr w14:val="tx1"/>
            </w14:solidFill>
          </w14:textFill>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4.4</w:t>
      </w:r>
      <w:r>
        <w:rPr>
          <w:rFonts w:hint="eastAsia" w:ascii="方正仿宋_GBK" w:eastAsia="方正仿宋_GBK"/>
          <w:color w:val="000000" w:themeColor="text1"/>
          <w:szCs w:val="28"/>
          <w:highlight w:val="none"/>
          <w14:textFill>
            <w14:solidFill>
              <w14:schemeClr w14:val="tx1"/>
            </w14:solidFill>
          </w14:textFill>
        </w:rPr>
        <w:t>谈判小组将依照评审办法提出成交候选人。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4.5</w:t>
      </w:r>
      <w:r>
        <w:rPr>
          <w:rFonts w:hint="eastAsia" w:ascii="方正仿宋_GBK" w:eastAsia="方正仿宋_GBK"/>
          <w:color w:val="000000" w:themeColor="text1"/>
          <w:szCs w:val="28"/>
          <w:highlight w:val="none"/>
          <w14:textFill>
            <w14:solidFill>
              <w14:schemeClr w14:val="tx1"/>
            </w14:solidFill>
          </w14:textFill>
        </w:rPr>
        <w:t>采购代理机构应当在评审结束后</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个工作日内将评审报告送采购人确认。采购人应当在收到评审报告后</w:t>
      </w: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w:t>
      </w:r>
      <w:r>
        <w:rPr>
          <w:rFonts w:hint="eastAsia" w:ascii="方正仿宋_GBK" w:eastAsia="方正仿宋_GBK"/>
          <w:color w:val="000000" w:themeColor="text1"/>
          <w:szCs w:val="28"/>
          <w:highlight w:val="none"/>
          <w14:textFill>
            <w14:solidFill>
              <w14:schemeClr w14:val="tx1"/>
            </w14:solidFill>
          </w14:textFill>
        </w:rPr>
        <w:t>成交供应商的变更</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4.6.1</w:t>
      </w:r>
      <w:r>
        <w:rPr>
          <w:rFonts w:hint="eastAsia" w:ascii="方正仿宋_GBK" w:eastAsia="方正仿宋_GBK"/>
          <w:color w:val="000000" w:themeColor="text1"/>
          <w:szCs w:val="28"/>
          <w:highlight w:val="none"/>
          <w14:textFill>
            <w14:solidFill>
              <w14:schemeClr w14:val="tx1"/>
            </w14:solidFill>
          </w14:textFill>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4.6.2</w:t>
      </w:r>
      <w:r>
        <w:rPr>
          <w:rFonts w:hint="eastAsia" w:ascii="方正仿宋_GBK" w:eastAsia="方正仿宋_GBK"/>
          <w:color w:val="000000" w:themeColor="text1"/>
          <w:szCs w:val="28"/>
          <w:highlight w:val="none"/>
          <w14:textFill>
            <w14:solidFill>
              <w14:schemeClr w14:val="tx1"/>
            </w14:solidFill>
          </w14:textFill>
        </w:rPr>
        <w:t>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5.1</w:t>
      </w:r>
      <w:r>
        <w:rPr>
          <w:rFonts w:hint="eastAsia" w:ascii="方正仿宋_GBK" w:eastAsia="方正仿宋_GBK"/>
          <w:color w:val="000000" w:themeColor="text1"/>
          <w:szCs w:val="28"/>
          <w:highlight w:val="none"/>
          <w14:textFill>
            <w14:solidFill>
              <w14:schemeClr w14:val="tx1"/>
            </w14:solidFill>
          </w14:textFill>
        </w:rPr>
        <w:t>因情况变化，不再符合规定的竞争性谈判采购方式适用情形的；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5.2</w:t>
      </w:r>
      <w:r>
        <w:rPr>
          <w:rFonts w:hint="eastAsia" w:ascii="方正仿宋_GBK" w:eastAsia="方正仿宋_GBK"/>
          <w:color w:val="000000" w:themeColor="text1"/>
          <w:szCs w:val="28"/>
          <w:highlight w:val="none"/>
          <w14:textFill>
            <w14:solidFill>
              <w14:schemeClr w14:val="tx1"/>
            </w14:solidFill>
          </w14:textFill>
        </w:rPr>
        <w:t>出现影响采购公正的违法、违规行为的；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5.3</w:t>
      </w:r>
      <w:r>
        <w:rPr>
          <w:rFonts w:hint="eastAsia" w:ascii="方正仿宋_GBK" w:eastAsia="方正仿宋_GBK"/>
          <w:color w:val="000000" w:themeColor="text1"/>
          <w:szCs w:val="28"/>
          <w:highlight w:val="none"/>
          <w14:textFill>
            <w14:solidFill>
              <w14:schemeClr w14:val="tx1"/>
            </w14:solidFill>
          </w14:textFill>
        </w:rPr>
        <w:t>在采购过程中符合竞争要求的供应商或者报价未超过采购预算的供应商不足</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家的，但《政府采购非招标采购方式管理办法》第二十七条第二款规定的情形除外。</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1" w:name="_Toc342913395"/>
      <w:bookmarkStart w:id="42" w:name="_Toc102227321"/>
      <w:bookmarkStart w:id="43" w:name="_Toc18632"/>
      <w:r>
        <w:rPr>
          <w:rFonts w:hint="eastAsia" w:ascii="方正仿宋_GBK" w:eastAsia="方正仿宋_GBK"/>
          <w:b w:val="0"/>
          <w:color w:val="000000" w:themeColor="text1"/>
          <w:sz w:val="28"/>
          <w:szCs w:val="28"/>
          <w:highlight w:val="none"/>
          <w14:textFill>
            <w14:solidFill>
              <w14:schemeClr w14:val="tx1"/>
            </w14:solidFill>
          </w14:textFill>
        </w:rPr>
        <w:t>七、成交通知</w:t>
      </w:r>
      <w:bookmarkEnd w:id="41"/>
      <w:bookmarkEnd w:id="42"/>
      <w:bookmarkEnd w:id="43"/>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（一）成交供应商确定后，采购人将在重庆医科大学校园网上（主页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招投标信息）上发布成交结果公告。</w:t>
      </w:r>
    </w:p>
    <w:p>
      <w:pPr>
        <w:spacing w:line="40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（二）网上成交结果公告将作为签订合同的依据。</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4" w:name="_Toc18828"/>
      <w:r>
        <w:rPr>
          <w:rFonts w:hint="eastAsia" w:ascii="方正仿宋_GBK" w:eastAsia="方正仿宋_GBK"/>
          <w:b w:val="0"/>
          <w:color w:val="000000" w:themeColor="text1"/>
          <w:sz w:val="28"/>
          <w:szCs w:val="28"/>
          <w:highlight w:val="none"/>
          <w14:textFill>
            <w14:solidFill>
              <w14:schemeClr w14:val="tx1"/>
            </w14:solidFill>
          </w14:textFill>
        </w:rPr>
        <w:t>八、关于质疑和投诉</w:t>
      </w:r>
      <w:bookmarkEnd w:id="44"/>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（一）质疑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供应商认为采购文件、采购过程和成交结果使自己的权益收到伤害的，可向采购人或采购代理机构以书面形式提出质疑。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提出质疑的应当是参与所质疑项目采购活动的供应商。</w:t>
      </w:r>
      <w:r>
        <w:rPr>
          <w:rFonts w:ascii="方正仿宋_GBK" w:hAnsi="仿宋" w:eastAsia="方正仿宋_GBK" w:cs="仿宋"/>
          <w:color w:val="000000" w:themeColor="text1"/>
          <w:szCs w:val="28"/>
          <w:highlight w:val="none"/>
          <w14:textFill>
            <w14:solidFill>
              <w14:schemeClr w14:val="tx1"/>
            </w14:solidFill>
          </w14:textFill>
        </w:rPr>
        <w:t xml:space="preserve"> </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质疑时限、内容</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1.1</w:t>
      </w:r>
      <w:r>
        <w:rPr>
          <w:rFonts w:hint="eastAsia" w:ascii="方正仿宋_GBK" w:hAnsi="仿宋" w:eastAsia="方正仿宋_GBK" w:cs="仿宋"/>
          <w:color w:val="000000" w:themeColor="text1"/>
          <w:szCs w:val="28"/>
          <w:highlight w:val="none"/>
          <w14:textFill>
            <w14:solidFill>
              <w14:schemeClr w14:val="tx1"/>
            </w14:solidFill>
          </w14:textFill>
        </w:rPr>
        <w:t>供应商认为采购文件、采购过程、成交结果使自己的权益受到损害的，可以在知道或者应知其权益受到损害之日起</w:t>
      </w: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个工作日内，以书面形式向采购人、采购代理机构提出质疑。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w:t>
      </w:r>
      <w:r>
        <w:rPr>
          <w:rFonts w:hint="eastAsia" w:ascii="方正仿宋_GBK" w:hAnsi="仿宋" w:eastAsia="方正仿宋_GBK" w:cs="仿宋"/>
          <w:color w:val="000000" w:themeColor="text1"/>
          <w:szCs w:val="28"/>
          <w:highlight w:val="none"/>
          <w14:textFill>
            <w14:solidFill>
              <w14:schemeClr w14:val="tx1"/>
            </w14:solidFill>
          </w14:textFill>
        </w:rPr>
        <w:t>供应商提出质疑应当提交质疑函和必要的证明材料，质疑函应当包括下列内容：</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1.2.1</w:t>
      </w:r>
      <w:r>
        <w:rPr>
          <w:rFonts w:hint="eastAsia" w:ascii="方正仿宋_GBK" w:hAnsi="仿宋" w:eastAsia="方正仿宋_GBK" w:cs="仿宋"/>
          <w:color w:val="000000" w:themeColor="text1"/>
          <w:szCs w:val="28"/>
          <w:highlight w:val="none"/>
          <w14:textFill>
            <w14:solidFill>
              <w14:schemeClr w14:val="tx1"/>
            </w14:solidFill>
          </w14:textFill>
        </w:rPr>
        <w:t>供应商的姓名或者名称、地址、邮编、联系人及联系电话；</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1.2.2</w:t>
      </w:r>
      <w:r>
        <w:rPr>
          <w:rFonts w:hint="eastAsia" w:ascii="方正仿宋_GBK" w:hAnsi="仿宋" w:eastAsia="方正仿宋_GBK" w:cs="仿宋"/>
          <w:color w:val="000000" w:themeColor="text1"/>
          <w:szCs w:val="28"/>
          <w:highlight w:val="none"/>
          <w14:textFill>
            <w14:solidFill>
              <w14:schemeClr w14:val="tx1"/>
            </w14:solidFill>
          </w14:textFill>
        </w:rPr>
        <w:t>质疑项目的名称、项目号以及谈判项目编号；</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1.2.3</w:t>
      </w:r>
      <w:r>
        <w:rPr>
          <w:rFonts w:hint="eastAsia" w:ascii="方正仿宋_GBK" w:hAnsi="仿宋" w:eastAsia="方正仿宋_GBK" w:cs="仿宋"/>
          <w:color w:val="000000" w:themeColor="text1"/>
          <w:szCs w:val="28"/>
          <w:highlight w:val="none"/>
          <w14:textFill>
            <w14:solidFill>
              <w14:schemeClr w14:val="tx1"/>
            </w14:solidFill>
          </w14:textFill>
        </w:rPr>
        <w:t>具体、明确的质疑事项和与质疑事项相关的请求；</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1.2.4</w:t>
      </w:r>
      <w:r>
        <w:rPr>
          <w:rFonts w:hint="eastAsia" w:ascii="方正仿宋_GBK" w:hAnsi="仿宋" w:eastAsia="方正仿宋_GBK" w:cs="仿宋"/>
          <w:color w:val="000000" w:themeColor="text1"/>
          <w:szCs w:val="28"/>
          <w:highlight w:val="none"/>
          <w14:textFill>
            <w14:solidFill>
              <w14:schemeClr w14:val="tx1"/>
            </w14:solidFill>
          </w14:textFill>
        </w:rPr>
        <w:t>事实依据；</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1.2.5</w:t>
      </w:r>
      <w:r>
        <w:rPr>
          <w:rFonts w:hint="eastAsia" w:ascii="方正仿宋_GBK" w:hAnsi="仿宋" w:eastAsia="方正仿宋_GBK" w:cs="仿宋"/>
          <w:color w:val="000000" w:themeColor="text1"/>
          <w:szCs w:val="28"/>
          <w:highlight w:val="none"/>
          <w14:textFill>
            <w14:solidFill>
              <w14:schemeClr w14:val="tx1"/>
            </w14:solidFill>
          </w14:textFill>
        </w:rPr>
        <w:t>必要的法律依据；</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1.2.6</w:t>
      </w:r>
      <w:r>
        <w:rPr>
          <w:rFonts w:hint="eastAsia" w:ascii="方正仿宋_GBK" w:hAnsi="仿宋" w:eastAsia="方正仿宋_GBK" w:cs="仿宋"/>
          <w:color w:val="000000" w:themeColor="text1"/>
          <w:szCs w:val="28"/>
          <w:highlight w:val="none"/>
          <w14:textFill>
            <w14:solidFill>
              <w14:schemeClr w14:val="tx1"/>
            </w14:solidFill>
          </w14:textFill>
        </w:rPr>
        <w:t>提出质疑的日期；</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1.2.7</w:t>
      </w:r>
      <w:r>
        <w:rPr>
          <w:rFonts w:hint="eastAsia" w:ascii="方正仿宋_GBK" w:hAnsi="仿宋" w:eastAsia="方正仿宋_GBK" w:cs="仿宋"/>
          <w:color w:val="000000" w:themeColor="text1"/>
          <w:szCs w:val="28"/>
          <w:highlight w:val="none"/>
          <w14:textFill>
            <w14:solidFill>
              <w14:schemeClr w14:val="tx1"/>
            </w14:solidFill>
          </w14:textFill>
        </w:rPr>
        <w:t>营业执照（或事业单位法人证书，或个体工商户营业执照或有效的自然人身份证明、组织机构代码证）复印件；</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1.2.8</w:t>
      </w:r>
      <w:r>
        <w:rPr>
          <w:rFonts w:hint="eastAsia" w:ascii="方正仿宋_GBK" w:hAnsi="仿宋" w:eastAsia="方正仿宋_GBK" w:cs="仿宋"/>
          <w:color w:val="000000" w:themeColor="text1"/>
          <w:szCs w:val="28"/>
          <w:highlight w:val="none"/>
          <w14:textFill>
            <w14:solidFill>
              <w14:schemeClr w14:val="tx1"/>
            </w14:solidFill>
          </w14:textFill>
        </w:rPr>
        <w:t>法定代表人授权委托书原件、法定代表人身份证复印件和其授权代表的身份证复印件（供应商为自然人的提供自然人身份证复印件）；</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1.3</w:t>
      </w:r>
      <w:r>
        <w:rPr>
          <w:rFonts w:hint="eastAsia" w:ascii="方正仿宋_GBK" w:hAnsi="仿宋" w:eastAsia="方正仿宋_GBK" w:cs="仿宋"/>
          <w:color w:val="000000" w:themeColor="text1"/>
          <w:szCs w:val="28"/>
          <w:highlight w:val="none"/>
          <w14:textFill>
            <w14:solidFill>
              <w14:schemeClr w14:val="tx1"/>
            </w14:solidFill>
          </w14:textFill>
        </w:rPr>
        <w:t>供应商为自然人的，质疑函应当由本人签字；供应商为法人或者其他组织的，质疑函应当由法定代表人、主要负责人，或者其授权代表签字或者盖章，并加盖公章。</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2.</w:t>
      </w:r>
      <w:r>
        <w:rPr>
          <w:rFonts w:hint="eastAsia" w:ascii="方正仿宋_GBK" w:hAnsi="仿宋" w:eastAsia="方正仿宋_GBK" w:cs="仿宋"/>
          <w:color w:val="000000" w:themeColor="text1"/>
          <w:szCs w:val="28"/>
          <w:highlight w:val="none"/>
          <w14:textFill>
            <w14:solidFill>
              <w14:schemeClr w14:val="tx1"/>
            </w14:solidFill>
          </w14:textFill>
        </w:rPr>
        <w:t>质疑答复</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采购人、采购代理机构应当在收到供应商的书面质疑后</w:t>
      </w: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个工作日内作出答复，并以书面形式通知质疑供应商和其他有关供应商。</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其他</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3.1</w:t>
      </w:r>
      <w:r>
        <w:rPr>
          <w:rFonts w:hint="eastAsia" w:ascii="方正仿宋_GBK" w:hAnsi="仿宋" w:eastAsia="方正仿宋_GBK" w:cs="仿宋"/>
          <w:color w:val="000000" w:themeColor="text1"/>
          <w:szCs w:val="28"/>
          <w:highlight w:val="none"/>
          <w14:textFill>
            <w14:solidFill>
              <w14:schemeClr w14:val="tx1"/>
            </w14:solidFill>
          </w14:textFill>
        </w:rPr>
        <w:t>供应商应按照《政府采购质疑和投诉办法》（财政部令第</w:t>
      </w:r>
      <w:r>
        <w:rPr>
          <w:rFonts w:ascii="方正仿宋_GBK" w:hAnsi="仿宋" w:eastAsia="方正仿宋_GBK" w:cs="仿宋"/>
          <w:color w:val="000000" w:themeColor="text1"/>
          <w:szCs w:val="28"/>
          <w:highlight w:val="none"/>
          <w14:textFill>
            <w14:solidFill>
              <w14:schemeClr w14:val="tx1"/>
            </w14:solidFill>
          </w14:textFill>
        </w:rPr>
        <w:t>94</w:t>
      </w:r>
      <w:r>
        <w:rPr>
          <w:rFonts w:hint="eastAsia" w:ascii="方正仿宋_GBK" w:hAnsi="仿宋" w:eastAsia="方正仿宋_GBK" w:cs="仿宋"/>
          <w:color w:val="000000" w:themeColor="text1"/>
          <w:szCs w:val="28"/>
          <w:highlight w:val="none"/>
          <w14:textFill>
            <w14:solidFill>
              <w14:schemeClr w14:val="tx1"/>
            </w14:solidFill>
          </w14:textFill>
        </w:rPr>
        <w:t>号）及相关法律法规要求，在法定质疑期内一次性提出针对同一采购程序环节的质疑。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3.2</w:t>
      </w:r>
      <w:r>
        <w:rPr>
          <w:rFonts w:hint="eastAsia" w:ascii="方正仿宋_GBK" w:hAnsi="仿宋" w:eastAsia="方正仿宋_GBK" w:cs="仿宋"/>
          <w:color w:val="000000" w:themeColor="text1"/>
          <w:szCs w:val="28"/>
          <w:highlight w:val="none"/>
          <w14:textFill>
            <w14:solidFill>
              <w14:schemeClr w14:val="tx1"/>
            </w14:solidFill>
          </w14:textFill>
        </w:rPr>
        <w:t>质疑函范本可在财政部门户网站和中国政府采购网下载。</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（二）投诉</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供应商对采购人、采购代理机构的答复不满意，或者采购人、采购代理机构未在规定时间内作出答复的，可以在答复期满后</w:t>
      </w:r>
      <w:r>
        <w:rPr>
          <w:rFonts w:ascii="方正仿宋_GBK" w:hAnsi="仿宋" w:eastAsia="方正仿宋_GBK" w:cs="仿宋"/>
          <w:color w:val="000000" w:themeColor="text1"/>
          <w:szCs w:val="28"/>
          <w:highlight w:val="none"/>
          <w14:textFill>
            <w14:solidFill>
              <w14:schemeClr w14:val="tx1"/>
            </w14:solidFill>
          </w14:textFill>
        </w:rPr>
        <w:t>15</w:t>
      </w:r>
      <w:r>
        <w:rPr>
          <w:rFonts w:hint="eastAsia" w:ascii="方正仿宋_GBK" w:hAnsi="仿宋" w:eastAsia="方正仿宋_GBK" w:cs="仿宋"/>
          <w:color w:val="000000" w:themeColor="text1"/>
          <w:szCs w:val="28"/>
          <w:highlight w:val="none"/>
          <w14:textFill>
            <w14:solidFill>
              <w14:schemeClr w14:val="tx1"/>
            </w14:solidFill>
          </w14:textFill>
        </w:rPr>
        <w:t>个工作日内按照相关法律法规向财政部门提起投诉。</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2.</w:t>
      </w:r>
      <w:r>
        <w:rPr>
          <w:rFonts w:hint="eastAsia" w:ascii="方正仿宋_GBK" w:hAnsi="仿宋" w:eastAsia="方正仿宋_GBK" w:cs="仿宋"/>
          <w:color w:val="000000" w:themeColor="text1"/>
          <w:szCs w:val="28"/>
          <w:highlight w:val="none"/>
          <w14:textFill>
            <w14:solidFill>
              <w14:schemeClr w14:val="tx1"/>
            </w14:solidFill>
          </w14:textFill>
        </w:rPr>
        <w:t>供应商应按照《政府采购质疑和投诉办法》（财政部令第</w:t>
      </w:r>
      <w:r>
        <w:rPr>
          <w:rFonts w:ascii="方正仿宋_GBK" w:hAnsi="仿宋" w:eastAsia="方正仿宋_GBK" w:cs="仿宋"/>
          <w:color w:val="000000" w:themeColor="text1"/>
          <w:szCs w:val="28"/>
          <w:highlight w:val="none"/>
          <w14:textFill>
            <w14:solidFill>
              <w14:schemeClr w14:val="tx1"/>
            </w14:solidFill>
          </w14:textFill>
        </w:rPr>
        <w:t>94</w:t>
      </w:r>
      <w:r>
        <w:rPr>
          <w:rFonts w:hint="eastAsia" w:ascii="方正仿宋_GBK" w:hAnsi="仿宋" w:eastAsia="方正仿宋_GBK" w:cs="仿宋"/>
          <w:color w:val="000000" w:themeColor="text1"/>
          <w:szCs w:val="28"/>
          <w:highlight w:val="none"/>
          <w14:textFill>
            <w14:solidFill>
              <w14:schemeClr w14:val="tx1"/>
            </w14:solidFill>
          </w14:textFill>
        </w:rPr>
        <w:t>号）及相关法律法规要求递交投诉书和必要的证明材料。投诉书范本可在财政部门户网站和中国政府采购网下载。</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4.</w:t>
      </w:r>
      <w:r>
        <w:rPr>
          <w:rFonts w:hint="eastAsia" w:ascii="方正仿宋_GBK" w:hAnsi="仿宋" w:eastAsia="方正仿宋_GBK" w:cs="仿宋"/>
          <w:color w:val="000000" w:themeColor="text1"/>
          <w:szCs w:val="28"/>
          <w:highlight w:val="none"/>
          <w14:textFill>
            <w14:solidFill>
              <w14:schemeClr w14:val="tx1"/>
            </w14:solidFill>
          </w14:textFill>
        </w:rPr>
        <w:t>在确定受理投诉后，财政部门自受理投诉之日起</w:t>
      </w:r>
      <w:r>
        <w:rPr>
          <w:rFonts w:ascii="方正仿宋_GBK" w:hAnsi="仿宋" w:eastAsia="方正仿宋_GBK" w:cs="仿宋"/>
          <w:color w:val="000000" w:themeColor="text1"/>
          <w:szCs w:val="28"/>
          <w:highlight w:val="none"/>
          <w14:textFill>
            <w14:solidFill>
              <w14:schemeClr w14:val="tx1"/>
            </w14:solidFill>
          </w14:textFill>
        </w:rPr>
        <w:t>30</w:t>
      </w:r>
      <w:r>
        <w:rPr>
          <w:rFonts w:hint="eastAsia" w:ascii="方正仿宋_GBK" w:hAnsi="仿宋" w:eastAsia="方正仿宋_GBK" w:cs="仿宋"/>
          <w:color w:val="000000" w:themeColor="text1"/>
          <w:szCs w:val="28"/>
          <w:highlight w:val="none"/>
          <w14:textFill>
            <w14:solidFill>
              <w14:schemeClr w14:val="tx1"/>
            </w14:solidFill>
          </w14:textFill>
        </w:rPr>
        <w:t>个工作日内（需要检验、检测、鉴定、专家评审以及需要投诉人补正材料的，所需时间不计算在投诉处理期限内）对投诉事项做出处理决定。</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5" w:name="_Toc29530"/>
      <w:bookmarkStart w:id="46" w:name="_Toc102227322"/>
      <w:bookmarkStart w:id="47" w:name="_Toc342913396"/>
      <w:r>
        <w:rPr>
          <w:rFonts w:hint="eastAsia" w:ascii="方正仿宋_GBK" w:eastAsia="方正仿宋_GBK"/>
          <w:b w:val="0"/>
          <w:color w:val="000000" w:themeColor="text1"/>
          <w:sz w:val="28"/>
          <w:szCs w:val="28"/>
          <w:highlight w:val="none"/>
          <w14:textFill>
            <w14:solidFill>
              <w14:schemeClr w14:val="tx1"/>
            </w14:solidFill>
          </w14:textFill>
        </w:rPr>
        <w:t>九、签订合同</w:t>
      </w:r>
      <w:bookmarkEnd w:id="45"/>
    </w:p>
    <w:bookmarkEnd w:id="46"/>
    <w:bookmarkEnd w:id="47"/>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r>
        <w:rPr>
          <w:rFonts w:ascii="方正仿宋_GBK" w:hAnsi="宋体" w:eastAsia="方正仿宋_GBK"/>
          <w:color w:val="000000" w:themeColor="text1"/>
          <w:szCs w:val="28"/>
          <w:highlight w:val="none"/>
          <w14:textFill>
            <w14:solidFill>
              <w14:schemeClr w14:val="tx1"/>
            </w14:solidFill>
          </w14:textFill>
        </w:rPr>
        <w:t xml:space="preserve"> </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（二）竞争性谈判文件、供应商的响应文件及澄清文件等，均为签订采购合同的依据。</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（三）合同生效条款由供需双方约定，法律、行政法规规定应当办理批准、登记等手续后生效的合同，依照其规定。</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（四）合同原则上应按照《重庆医科大学经济合同》签订，相关单位要求适用合同通用格式版本的，应按其要求另行签订其他合同。</w:t>
      </w:r>
    </w:p>
    <w:p>
      <w:pPr>
        <w:spacing w:line="560" w:lineRule="exact"/>
        <w:ind w:firstLine="425" w:firstLineChars="152"/>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48" w:name="_Toc535312149"/>
      <w:bookmarkStart w:id="49" w:name="_Toc26961"/>
      <w:bookmarkStart w:id="50" w:name="_Toc12789058"/>
      <w:r>
        <w:rPr>
          <w:rFonts w:hint="eastAsia" w:ascii="黑体" w:hAnsi="黑体"/>
          <w:b w:val="0"/>
          <w:color w:val="000000" w:themeColor="text1"/>
          <w:sz w:val="44"/>
          <w:szCs w:val="44"/>
          <w:highlight w:val="none"/>
          <w14:textFill>
            <w14:solidFill>
              <w14:schemeClr w14:val="tx1"/>
            </w14:solidFill>
          </w14:textFill>
        </w:rPr>
        <w:t>第三篇</w:t>
      </w:r>
      <w:r>
        <w:rPr>
          <w:rFonts w:ascii="黑体" w:hAnsi="黑体"/>
          <w:b w:val="0"/>
          <w:color w:val="000000" w:themeColor="text1"/>
          <w:sz w:val="44"/>
          <w:szCs w:val="44"/>
          <w:highlight w:val="none"/>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谈判项目技术需求</w:t>
      </w:r>
      <w:bookmarkEnd w:id="48"/>
      <w:bookmarkEnd w:id="49"/>
    </w:p>
    <w:p>
      <w:pPr>
        <w:pStyle w:val="4"/>
        <w:numPr>
          <w:ilvl w:val="0"/>
          <w:numId w:val="1"/>
        </w:numPr>
        <w:spacing w:before="0" w:after="0" w:line="560" w:lineRule="exact"/>
        <w:rPr>
          <w:rFonts w:hint="eastAsia" w:ascii="方正仿宋_GBK" w:eastAsia="方正仿宋_GBK"/>
          <w:color w:val="000000" w:themeColor="text1"/>
          <w:sz w:val="28"/>
          <w:szCs w:val="28"/>
          <w:highlight w:val="none"/>
          <w14:textFill>
            <w14:solidFill>
              <w14:schemeClr w14:val="tx1"/>
            </w14:solidFill>
          </w14:textFill>
        </w:rPr>
      </w:pPr>
      <w:bookmarkStart w:id="51" w:name="_Toc1591"/>
      <w:bookmarkStart w:id="52" w:name="_Toc535312150"/>
      <w:r>
        <w:rPr>
          <w:rFonts w:hint="eastAsia" w:ascii="方正仿宋_GBK" w:eastAsia="方正仿宋_GBK"/>
          <w:color w:val="000000" w:themeColor="text1"/>
          <w:sz w:val="28"/>
          <w:szCs w:val="28"/>
          <w:highlight w:val="none"/>
          <w14:textFill>
            <w14:solidFill>
              <w14:schemeClr w14:val="tx1"/>
            </w14:solidFill>
          </w14:textFill>
        </w:rPr>
        <w:t>项目一览表</w:t>
      </w:r>
      <w:bookmarkEnd w:id="51"/>
      <w:bookmarkEnd w:id="52"/>
    </w:p>
    <w:p>
      <w:pPr>
        <w:jc w:val="center"/>
        <w:rPr>
          <w:rFonts w:hint="eastAsia" w:ascii="黑体" w:hAnsi="黑体" w:eastAsia="黑体"/>
          <w:b/>
          <w:color w:val="000000" w:themeColor="text1"/>
          <w:highlight w:val="none"/>
          <w14:textFill>
            <w14:solidFill>
              <w14:schemeClr w14:val="tx1"/>
            </w14:solidFill>
          </w14:textFill>
        </w:rPr>
      </w:pPr>
    </w:p>
    <w:tbl>
      <w:tblPr>
        <w:tblStyle w:val="57"/>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837"/>
        <w:gridCol w:w="184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000000" w:themeColor="text1"/>
                <w:sz w:val="21"/>
                <w:szCs w:val="21"/>
                <w:highlight w:val="none"/>
                <w14:textFill>
                  <w14:solidFill>
                    <w14:schemeClr w14:val="tx1"/>
                  </w14:solidFill>
                </w14:textFill>
              </w:rPr>
            </w:pPr>
            <w:bookmarkStart w:id="53" w:name="_Toc313536013"/>
            <w:bookmarkStart w:id="54" w:name="_Toc535312151"/>
            <w:bookmarkStart w:id="55" w:name="_Toc344475116"/>
            <w:r>
              <w:rPr>
                <w:rFonts w:hint="eastAsia" w:ascii="方正仿宋_GBK" w:hAnsi="宋体" w:eastAsia="方正仿宋_GBK" w:cs="仿宋"/>
                <w:b/>
                <w:bCs/>
                <w:color w:val="000000" w:themeColor="text1"/>
                <w:sz w:val="21"/>
                <w:szCs w:val="21"/>
                <w:highlight w:val="none"/>
                <w14:textFill>
                  <w14:solidFill>
                    <w14:schemeClr w14:val="tx1"/>
                  </w14:solidFill>
                </w14:textFill>
              </w:rPr>
              <w:t>序号</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产品名称（设备名称）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数量/单位</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负20小号冰箱</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家用冰箱</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单开门层析柜</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负20度冰箱</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细菌培养箱</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6</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Ph计</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7</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免疫沉淀用磁力架</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移液枪</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20支</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9</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电动匀浆器</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10</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超声波细胞粉碎机</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11</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电转化仪</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12</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生化培养箱</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13</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超净工作台</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14</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超声波清洗</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15</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免疫沉淀用磁力架</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16</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生物安全柜</w:t>
            </w:r>
          </w:p>
        </w:tc>
        <w:tc>
          <w:tcPr>
            <w:tcW w:w="1848"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1台</w:t>
            </w:r>
          </w:p>
        </w:tc>
        <w:tc>
          <w:tcPr>
            <w:tcW w:w="1692" w:type="dxa"/>
            <w:tcBorders>
              <w:top w:val="nil"/>
              <w:left w:val="nil"/>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bl>
    <w:p>
      <w:pPr>
        <w:pStyle w:val="4"/>
        <w:spacing w:before="0" w:afterLines="50" w:line="560" w:lineRule="exact"/>
        <w:rPr>
          <w:rFonts w:hint="eastAsia" w:ascii="方正仿宋_GBK" w:eastAsia="方正仿宋_GBK"/>
          <w:color w:val="000000" w:themeColor="text1"/>
          <w:sz w:val="28"/>
          <w:szCs w:val="28"/>
          <w:highlight w:val="none"/>
          <w14:textFill>
            <w14:solidFill>
              <w14:schemeClr w14:val="tx1"/>
            </w14:solidFill>
          </w14:textFill>
        </w:rPr>
      </w:pPr>
    </w:p>
    <w:p>
      <w:pPr>
        <w:pStyle w:val="4"/>
        <w:spacing w:before="0" w:afterLines="50" w:line="560" w:lineRule="exact"/>
        <w:rPr>
          <w:rFonts w:ascii="方正仿宋_GBK" w:hAnsi="宋体" w:eastAsia="方正仿宋_GBK"/>
          <w:color w:val="000000" w:themeColor="text1"/>
          <w:szCs w:val="28"/>
          <w:highlight w:val="none"/>
          <w14:textFill>
            <w14:solidFill>
              <w14:schemeClr w14:val="tx1"/>
            </w14:solidFill>
          </w14:textFill>
        </w:rPr>
      </w:pPr>
      <w:bookmarkStart w:id="56" w:name="_Toc26707"/>
      <w:r>
        <w:rPr>
          <w:rFonts w:hint="eastAsia" w:ascii="方正仿宋_GBK" w:eastAsia="方正仿宋_GBK"/>
          <w:color w:val="000000" w:themeColor="text1"/>
          <w:sz w:val="28"/>
          <w:szCs w:val="28"/>
          <w:highlight w:val="none"/>
          <w14:textFill>
            <w14:solidFill>
              <w14:schemeClr w14:val="tx1"/>
            </w14:solidFill>
          </w14:textFill>
        </w:rPr>
        <w:t>二、技术规格及质量要求</w:t>
      </w:r>
      <w:bookmarkEnd w:id="53"/>
      <w:bookmarkEnd w:id="54"/>
      <w:bookmarkEnd w:id="55"/>
      <w:bookmarkEnd w:id="56"/>
    </w:p>
    <w:tbl>
      <w:tblPr>
        <w:tblStyle w:val="57"/>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722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shd w:val="clear" w:color="000000" w:fill="D9D9D9"/>
            <w:noWrap/>
            <w:vAlign w:val="center"/>
          </w:tcPr>
          <w:p>
            <w:pPr>
              <w:widowControl/>
              <w:jc w:val="center"/>
              <w:rPr>
                <w:rFonts w:hint="eastAsia"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序号</w:t>
            </w:r>
          </w:p>
        </w:tc>
        <w:tc>
          <w:tcPr>
            <w:tcW w:w="1134" w:type="dxa"/>
            <w:shd w:val="clear" w:color="000000" w:fill="D9D9D9"/>
            <w:vAlign w:val="center"/>
          </w:tcPr>
          <w:p>
            <w:pPr>
              <w:widowControl/>
              <w:jc w:val="center"/>
              <w:rPr>
                <w:rFonts w:hint="eastAsia"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名称</w:t>
            </w:r>
          </w:p>
        </w:tc>
        <w:tc>
          <w:tcPr>
            <w:tcW w:w="7229" w:type="dxa"/>
            <w:shd w:val="clear" w:color="000000" w:fill="D9D9D9"/>
            <w:noWrap/>
            <w:vAlign w:val="center"/>
          </w:tcPr>
          <w:p>
            <w:pPr>
              <w:widowControl/>
              <w:jc w:val="center"/>
              <w:rPr>
                <w:rFonts w:hint="eastAsia"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参数</w:t>
            </w:r>
          </w:p>
        </w:tc>
        <w:tc>
          <w:tcPr>
            <w:tcW w:w="567" w:type="dxa"/>
            <w:shd w:val="clear" w:color="000000" w:fill="D9D9D9"/>
            <w:noWrap/>
            <w:vAlign w:val="center"/>
          </w:tcPr>
          <w:p>
            <w:pPr>
              <w:widowControl/>
              <w:jc w:val="center"/>
              <w:rPr>
                <w:rFonts w:hint="eastAsia"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数量</w:t>
            </w:r>
          </w:p>
        </w:tc>
        <w:tc>
          <w:tcPr>
            <w:tcW w:w="567" w:type="dxa"/>
            <w:shd w:val="clear" w:color="000000" w:fill="D9D9D9"/>
            <w:noWrap/>
            <w:vAlign w:val="center"/>
          </w:tcPr>
          <w:p>
            <w:pPr>
              <w:widowControl/>
              <w:jc w:val="center"/>
              <w:rPr>
                <w:rFonts w:hint="eastAsia"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1</w:t>
            </w:r>
          </w:p>
        </w:tc>
        <w:tc>
          <w:tcPr>
            <w:tcW w:w="1134" w:type="dxa"/>
            <w:tcBorders>
              <w:top w:val="single" w:color="auto" w:sz="4" w:space="0"/>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负20小号冰箱</w:t>
            </w:r>
          </w:p>
        </w:tc>
        <w:tc>
          <w:tcPr>
            <w:tcW w:w="7229" w:type="dxa"/>
            <w:tcBorders>
              <w:top w:val="single" w:color="auto" w:sz="4" w:space="0"/>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1.样式：立式。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2.容积：≥60L。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3.净重：≤33kg。</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4.额定功率：75W。</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5.耗电量：≤0.84 kW.h/24h。</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6.噪音值：≤50dB。</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7.气候类型：SN/N。</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8.制冷方式：风冷。</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9.箱内温度：2℃～8℃。</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10.工作条件：环境温度10～32℃，电源220V/50Hz。</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11.外部尺寸（宽*深*高）：≤490*441*710（mm）。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12.内部尺寸（宽*深*高）：≥410*315*560（mm）。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13.外部材料：喷涂钢板。</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14.内部材料：喷涂钢板。</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15.门体数量：≥1扇。</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16.门体结构：双层中空保温LOW-E玻璃门。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17.网架：≥2层，浸塑材质。 </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18.底脚：4个调平脚。</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19.冷凝器：丝管式冷凝器。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20.蒸发器：盘管式蒸发器。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21.制冷剂：采用绿色环保制冷剂。</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22.压缩机：国际知名品牌压缩机，数量1个。</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23.风道设计：循环风冷背吹技术，避免因储存物品的阻挡导致通风不畅或温度不均匀。</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24.制冷系统：高效的制冷系统设计，实现更均匀的温度布局，同时保证更小的温度波动，从而实现样本储存温度的稳定。</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25.温度控制：微电脑控制系统，LED数码显示温度数据，可确保精确稳定的运行；精准的电子温度控制及显示，精度达到0.1℃。</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26.显示方式：LED数码显示屏，可显示箱内温度及报警信息。</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27.报警系统：高低温报警、门开报警、传感器故障报警、断电报警。</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28.报警方式：具备声音蜂鸣和灯光闪烁双重报警方式。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29.电器安全：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（1）键盘锁定、密码保护功能，防止随意调整运行参数；</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断电保护：在恢复供电时，所有设备的同时启动会对电网造成较大冲击，从而可能导致断路器跳闸；针对这种情况特别设计的设备延时启动功能可使设备在恢复期间延时数分钟启动，使设备平稳的重新运行；</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（3）宽电压带适用，可在187V～242V范围内正常使用。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30.特色功能：</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（1）标配1个门锁设计，保障存储安全；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（2）LED数码显示屏，便于观察；</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（3）内设LED冷光源照明灯，使箱体内部一目了然；</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（4）2层浸塑网架设计；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（5）标配测试孔，方便安装温度记录仪；</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（6）标配远程报警接口；</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（7）标配测试孔，方便用户选配温度记录仪。</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31.可选配件：温湿度记录仪。</w:t>
            </w:r>
          </w:p>
        </w:tc>
        <w:tc>
          <w:tcPr>
            <w:tcW w:w="567" w:type="dxa"/>
            <w:tcBorders>
              <w:top w:val="single" w:color="auto" w:sz="4" w:space="0"/>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2</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家用冰箱</w:t>
            </w:r>
          </w:p>
        </w:tc>
        <w:tc>
          <w:tcPr>
            <w:tcW w:w="7229" w:type="dxa"/>
            <w:tcBorders>
              <w:top w:val="nil"/>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1.产品类别 对开门冰箱</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2.总容积：≥606L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3.冷藏室容积：≥393L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4.冷冻室容积：≥213L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5.温控方式 ：电脑温控</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6.制冷方式 ：风冷</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7.冷冻能力 ：≥6kg/12h</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8.能效等级 ：1级</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9.额定耗电量 ：0.95度/天</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10.噪声值 ：≤38db</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11.制冷剂 ：R600a</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12.压缩机： 变频</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13.电源性能： 220V/50Hz</w:t>
            </w:r>
          </w:p>
        </w:tc>
        <w:tc>
          <w:tcPr>
            <w:tcW w:w="567"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ascii="方正仿宋_GBK" w:hAnsi="宋体" w:eastAsia="方正仿宋_GBK" w:cs="仿宋"/>
                <w:b/>
                <w:bCs/>
                <w:color w:val="000000" w:themeColor="text1"/>
                <w:sz w:val="21"/>
                <w:szCs w:val="21"/>
                <w:highlight w:val="none"/>
                <w14:textFill>
                  <w14:solidFill>
                    <w14:schemeClr w14:val="tx1"/>
                  </w14:solidFill>
                </w14:textFill>
              </w:rPr>
              <w:t xml:space="preserve">4 </w:t>
            </w:r>
          </w:p>
        </w:tc>
        <w:tc>
          <w:tcPr>
            <w:tcW w:w="567" w:type="dxa"/>
            <w:tcBorders>
              <w:top w:val="nil"/>
              <w:left w:val="nil"/>
              <w:bottom w:val="single" w:color="auto" w:sz="4" w:space="0"/>
              <w:right w:val="single" w:color="auto" w:sz="4" w:space="0"/>
            </w:tcBorders>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3</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单开门层析柜</w:t>
            </w:r>
          </w:p>
        </w:tc>
        <w:tc>
          <w:tcPr>
            <w:tcW w:w="7229" w:type="dxa"/>
            <w:tcBorders>
              <w:top w:val="nil"/>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1.样式：立式。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2.容积：≥316L。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3.净重：≤92.5kg。</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4.额定功率：≤248W。</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5.耗电量：≤2.20kW.h/24h。</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6.噪音值：≤50dB。</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7.气候类型：SN/N。</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8.制冷方式：风冷。</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9.箱内温度：2～8℃。</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10.工作条件：环境温度10～32℃，电源220V/50Hz。</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11.外部尺寸（宽*深*高）：≤640*554*1925（mm）。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12.内部尺寸（宽*深*高）：≥540*425*1380（mm）。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13.外部材料：喷涂钢板。</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14.内部材料：喷涂钢板。</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15.隔热层：无CFC高密度聚氨酯发泡。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16.门体数量：1扇。</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17.门体结构：双层中空钢化玻璃门，中间充惰性气体；带电加热膜，防止表面凝露，展示效果更佳。</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18.网架：5层，可调高度，浸塑材质，带标识条。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19.脚轮：4个脚轮，其中2个万向轮带琐止设计，用户可根据需要移动箱体；带2个调平脚，可固定箱体。</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20.测试孔：1个，方便安装温湿度记录仪。</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21.冷凝器：机舱内置丝管冷凝器。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22.蒸发器：翅片式蒸发器。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23.风机类型：采用罩极风机。</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24.制冷剂：采用绿色环保制冷剂。</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25.压缩机：国际知名品牌压缩机，数量1个。</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26.感温盒：温度传感器置于模拟液中，真实反映物品实际存储温度。</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27.风道设计：循环风冷背吹技术，避免因储存物品的阻挡导致通风不畅或温度不均匀。</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28.制冷系统：高效的制冷系统设计，通过强制风冷循环系统实现更均匀的温度布局，同时保证更小的温度波动，从而实现样本储存温度的稳定；翅片式蒸发器配合独特的循环风冷背吹技术设计，保证箱内无霜。</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29.温度控制：微电脑控制系统，LED数码显示温度数据，可确保精确稳定的运行；精准的电子温度控制及显示，精度达到0.1℃。</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30.显示方式：LED数码显示屏，可显示箱内温度及各种报警信息。</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31.报警系统：高低温报警、传感器故障报警、断电报警、开关门异常报警。</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32.报警方式：具备声音蜂鸣和灯光闪烁的报警方式。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33.电器安全：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（1）备用电池确保断电后报警48小时；</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（2）温控器探头故障安全运行模式；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（3）标配远程报警接口；</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（4）键盘锁定、密码保护功能，防止随意调整运行参数；</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断电保护：在恢复供电时，所有设备的同时启动会对电网造成较大冲击，从而可能导致断路器跳闸；针对这种情况特别设计的设备延时启动功能可使设备在恢复期间延时数分钟启动，使设备平稳的重新运行；</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（6）宽电压带适用，可在187V～242V范围内正常使用。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34.特色功能：</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（1）标配1个暗锁设计，防止开关门异常；</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（2）内设LED冷光源照明灯，使箱体内部一目了然；</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（3）标配1个测试孔，方便用户选配温湿度记录仪；</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（4）可调节的浸塑网架设计。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35.可选配件：温湿度记录仪、热敏打印机、防水插座等。</w:t>
            </w:r>
          </w:p>
        </w:tc>
        <w:tc>
          <w:tcPr>
            <w:tcW w:w="567"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ascii="方正仿宋_GBK" w:hAnsi="宋体" w:eastAsia="方正仿宋_GBK" w:cs="仿宋"/>
                <w:b/>
                <w:bCs/>
                <w:color w:val="000000" w:themeColor="text1"/>
                <w:sz w:val="21"/>
                <w:szCs w:val="21"/>
                <w:highlight w:val="none"/>
                <w14:textFill>
                  <w14:solidFill>
                    <w14:schemeClr w14:val="tx1"/>
                  </w14:solidFill>
                </w14:textFill>
              </w:rPr>
              <w:t xml:space="preserve">2 </w:t>
            </w:r>
          </w:p>
        </w:tc>
        <w:tc>
          <w:tcPr>
            <w:tcW w:w="567" w:type="dxa"/>
            <w:tcBorders>
              <w:top w:val="nil"/>
              <w:left w:val="nil"/>
              <w:bottom w:val="single" w:color="auto" w:sz="4" w:space="0"/>
              <w:right w:val="single" w:color="auto" w:sz="4" w:space="0"/>
            </w:tcBorders>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4</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负</w:t>
            </w:r>
            <w:r>
              <w:rPr>
                <w:rFonts w:ascii="方正仿宋_GBK" w:hAnsi="宋体" w:eastAsia="方正仿宋_GBK" w:cs="仿宋"/>
                <w:b/>
                <w:bCs/>
                <w:color w:val="000000" w:themeColor="text1"/>
                <w:sz w:val="21"/>
                <w:szCs w:val="21"/>
                <w:highlight w:val="none"/>
                <w14:textFill>
                  <w14:solidFill>
                    <w14:schemeClr w14:val="tx1"/>
                  </w14:solidFill>
                </w14:textFill>
              </w:rPr>
              <w:t>20</w:t>
            </w:r>
            <w:r>
              <w:rPr>
                <w:rFonts w:hint="eastAsia" w:ascii="方正仿宋_GBK" w:hAnsi="宋体" w:eastAsia="方正仿宋_GBK" w:cs="仿宋"/>
                <w:b/>
                <w:bCs/>
                <w:color w:val="000000" w:themeColor="text1"/>
                <w:sz w:val="21"/>
                <w:szCs w:val="21"/>
                <w:highlight w:val="none"/>
                <w14:textFill>
                  <w14:solidFill>
                    <w14:schemeClr w14:val="tx1"/>
                  </w14:solidFill>
                </w14:textFill>
              </w:rPr>
              <w:t>度冰箱</w:t>
            </w:r>
          </w:p>
        </w:tc>
        <w:tc>
          <w:tcPr>
            <w:tcW w:w="7229" w:type="dxa"/>
            <w:tcBorders>
              <w:top w:val="nil"/>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1.样式：立式。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2.容积：≥528L。 </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3.净重：≤160kg。</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4.额定功率：≤260W。</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5.耗电量：≤3.4kW.h/24h。</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6.气候类型：SN/N。</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7.制冷方式：直冷。</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8.温度范围：-10～-25℃。</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9.工作条件：环境温度10～32℃，电源220V/50Hz。</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10.外部尺寸（宽*深*高）：900*818*1875（mm）。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11.内部尺寸（宽*深*高）：651*631.5*635（mm）*2(上下部2个独立间室)。</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12.外部材料：喷涂钢板。</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13.内部材料：喷涂钢板。</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14.外门：2扇。</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15.外门隔热层：无CFC高密度聚氨酯发泡。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16.箱体隔热层：无CFC高密度聚氨酯发泡，95mm的保温材料厚度。</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17.内部结构：2个间室，每个间室内部放2个浸塑搁架；每个间室分3层，每层放3个抽屉，每个间室可放9个抽屉。</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18.把手：2个具备泄压功能的铝合金把手。</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19.脚轮：共4个。</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20.检测孔：2个，直径为25mm，方便用户选配温度记录仪。</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21.压缩机：知名品牌压缩机，数量2台。</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22.制冷剂：采用碳氢制冷剂；节能环保，含氟量为零，不破坏臭氧层，不产生温室效应。</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23.制冷系统：采用铜盘管蒸发器，独有的新制冷技术的应用，性能优化的制冷系统，使得产品稳定性更好，降温速度更快。</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24.显示方式：LED数码显示屏，可显示箱内温度及报警信息。</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25.温度控制：采用微电脑控制系统，可确保精确稳定的运行；精准的电子温度控制及显示，精度达到0.1℃。</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26.报警系统：具备高低温报警、环温高报警、门开报警、传感器故障报警、断电报警等报警功能。</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27.报警方式：具备声音蜂鸣和灯光闪烁双重报警方式。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28.电器安全：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（1）键盘锁定、密码保护功能，防止随意调整运行参数；</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断电保护：在恢复供电时，所有设备的同时启动会对电网造成较大冲击，从而可能导致断路器跳闸；针对这种情况特别设计的设备延时启动功能可使设备在恢复期间延时数分钟启动，使设备平稳的重新运行；</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（3）宽电压带适用，可在187～242V范围内正常使用；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29.特色功能：</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（1）箱体设计两个独立的间室，上下间室分别采用独立的制冷系统，双LED数码温控器，可分别对上下间室独立控温；</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（2）上部间室在温度-10～-25℃范围内可调，下部间室在温度-10～-25℃范围内可调；</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（3）标配2个具备泄压功能的铝合金门把手，方便短时间内频繁开关门；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（4）双LED数码显示屏，可分开显示上下部2个间室温度数据；</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（5）每个间室可放9个抽屉，2个间室共可放18个抽屉，方便存取样本；</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（6）箱体背部标配2个检测孔，方便安装温度记录仪检测每个间室温度变化；</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（7）标配USB接口，相关数据可导出PDF和EXCEL格式；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（8）标配TTL接口，可用于计算机串行接口外设连接。</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30.可选配：RS232接口、RS485接口、温度记录仪、热敏打印机、远程报警。</w:t>
            </w:r>
          </w:p>
        </w:tc>
        <w:tc>
          <w:tcPr>
            <w:tcW w:w="567"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r>
              <w:rPr>
                <w:rFonts w:ascii="方正仿宋_GBK" w:hAnsi="宋体" w:eastAsia="方正仿宋_GBK" w:cs="仿宋"/>
                <w:b/>
                <w:bCs/>
                <w:color w:val="000000" w:themeColor="text1"/>
                <w:sz w:val="21"/>
                <w:szCs w:val="21"/>
                <w:highlight w:val="none"/>
                <w14:textFill>
                  <w14:solidFill>
                    <w14:schemeClr w14:val="tx1"/>
                  </w14:solidFill>
                </w14:textFill>
              </w:rPr>
              <w:t xml:space="preserve"> </w:t>
            </w:r>
          </w:p>
        </w:tc>
        <w:tc>
          <w:tcPr>
            <w:tcW w:w="567" w:type="dxa"/>
            <w:tcBorders>
              <w:top w:val="nil"/>
              <w:left w:val="nil"/>
              <w:bottom w:val="single" w:color="auto" w:sz="4" w:space="0"/>
              <w:right w:val="single" w:color="auto" w:sz="4" w:space="0"/>
            </w:tcBorders>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5</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细菌培养箱</w:t>
            </w:r>
          </w:p>
        </w:tc>
        <w:tc>
          <w:tcPr>
            <w:tcW w:w="7229" w:type="dxa"/>
            <w:tcBorders>
              <w:top w:val="nil"/>
              <w:left w:val="nil"/>
              <w:bottom w:val="single" w:color="auto" w:sz="4" w:space="0"/>
              <w:right w:val="single" w:color="auto" w:sz="4" w:space="0"/>
            </w:tcBorders>
            <w:vAlign w:val="bottom"/>
          </w:tcPr>
          <w:p>
            <w:pPr>
              <w:spacing w:after="240"/>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w:t>
            </w:r>
            <w:r>
              <w:rPr>
                <w:rFonts w:hint="eastAsia"/>
                <w:color w:val="000000" w:themeColor="text1"/>
                <w:sz w:val="20"/>
                <w:highlight w:val="none"/>
                <w14:textFill>
                  <w14:solidFill>
                    <w14:schemeClr w14:val="tx1"/>
                  </w14:solidFill>
                </w14:textFill>
              </w:rPr>
              <w:t>、培养生物样品类样品</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w:t>
            </w:r>
            <w:r>
              <w:rPr>
                <w:rFonts w:hint="eastAsia"/>
                <w:color w:val="000000" w:themeColor="text1"/>
                <w:sz w:val="20"/>
                <w:highlight w:val="none"/>
                <w14:textFill>
                  <w14:solidFill>
                    <w14:schemeClr w14:val="tx1"/>
                  </w14:solidFill>
                </w14:textFill>
              </w:rPr>
              <w:t>、方式：自然对流</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w:t>
            </w:r>
            <w:r>
              <w:rPr>
                <w:rFonts w:hint="eastAsia"/>
                <w:color w:val="000000" w:themeColor="text1"/>
                <w:sz w:val="20"/>
                <w:highlight w:val="none"/>
                <w14:textFill>
                  <w14:solidFill>
                    <w14:schemeClr w14:val="tx1"/>
                  </w14:solidFill>
                </w14:textFill>
              </w:rPr>
              <w:t>、性能：使用温度范围：</w:t>
            </w:r>
            <w:r>
              <w:rPr>
                <w:rFonts w:hint="eastAsia"/>
                <w:color w:val="000000" w:themeColor="text1"/>
                <w:sz w:val="22"/>
                <w:szCs w:val="22"/>
                <w:highlight w:val="none"/>
                <w14:textFill>
                  <w14:solidFill>
                    <w14:schemeClr w14:val="tx1"/>
                  </w14:solidFill>
                </w14:textFill>
              </w:rPr>
              <w:t>R+5-65</w:t>
            </w:r>
            <w:r>
              <w:rPr>
                <w:rFonts w:hint="eastAsia"/>
                <w:color w:val="000000" w:themeColor="text1"/>
                <w:sz w:val="20"/>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w:t>
            </w:r>
            <w:r>
              <w:rPr>
                <w:rFonts w:hint="eastAsia"/>
                <w:color w:val="000000" w:themeColor="text1"/>
                <w:sz w:val="20"/>
                <w:highlight w:val="none"/>
                <w14:textFill>
                  <w14:solidFill>
                    <w14:schemeClr w14:val="tx1"/>
                  </w14:solidFill>
                </w14:textFill>
              </w:rPr>
              <w:t>、温度分辨率：</w:t>
            </w:r>
            <w:r>
              <w:rPr>
                <w:rFonts w:hint="eastAsia"/>
                <w:color w:val="000000" w:themeColor="text1"/>
                <w:sz w:val="22"/>
                <w:szCs w:val="22"/>
                <w:highlight w:val="none"/>
                <w14:textFill>
                  <w14:solidFill>
                    <w14:schemeClr w14:val="tx1"/>
                  </w14:solidFill>
                </w14:textFill>
              </w:rPr>
              <w:t>0.1</w:t>
            </w:r>
            <w:r>
              <w:rPr>
                <w:rFonts w:hint="eastAsia"/>
                <w:color w:val="000000" w:themeColor="text1"/>
                <w:sz w:val="20"/>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w:t>
            </w:r>
            <w:r>
              <w:rPr>
                <w:rFonts w:hint="eastAsia"/>
                <w:color w:val="000000" w:themeColor="text1"/>
                <w:sz w:val="20"/>
                <w:highlight w:val="none"/>
                <w14:textFill>
                  <w14:solidFill>
                    <w14:schemeClr w14:val="tx1"/>
                  </w14:solidFill>
                </w14:textFill>
              </w:rPr>
              <w:t>、温度波动度：</w:t>
            </w:r>
            <w:r>
              <w:rPr>
                <w:rFonts w:hint="eastAsia"/>
                <w:color w:val="000000" w:themeColor="text1"/>
                <w:sz w:val="22"/>
                <w:szCs w:val="22"/>
                <w:highlight w:val="none"/>
                <w14:textFill>
                  <w14:solidFill>
                    <w14:schemeClr w14:val="tx1"/>
                  </w14:solidFill>
                </w14:textFill>
              </w:rPr>
              <w:t>±0.5</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w:t>
            </w:r>
            <w:r>
              <w:rPr>
                <w:rFonts w:hint="eastAsia"/>
                <w:color w:val="000000" w:themeColor="text1"/>
                <w:sz w:val="20"/>
                <w:highlight w:val="none"/>
                <w14:textFill>
                  <w14:solidFill>
                    <w14:schemeClr w14:val="tx1"/>
                  </w14:solidFill>
                </w14:textFill>
              </w:rPr>
              <w:t>、温度分布精度：</w:t>
            </w:r>
            <w:r>
              <w:rPr>
                <w:rFonts w:hint="eastAsia"/>
                <w:color w:val="000000" w:themeColor="text1"/>
                <w:sz w:val="22"/>
                <w:szCs w:val="22"/>
                <w:highlight w:val="none"/>
                <w14:textFill>
                  <w14:solidFill>
                    <w14:schemeClr w14:val="tx1"/>
                  </w14:solidFill>
                </w14:textFill>
              </w:rPr>
              <w:t>±1</w:t>
            </w:r>
            <w:r>
              <w:rPr>
                <w:rFonts w:hint="eastAsia"/>
                <w:color w:val="000000" w:themeColor="text1"/>
                <w:sz w:val="20"/>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w:t>
            </w:r>
            <w:r>
              <w:rPr>
                <w:rFonts w:hint="eastAsia"/>
                <w:color w:val="000000" w:themeColor="text1"/>
                <w:sz w:val="20"/>
                <w:highlight w:val="none"/>
                <w14:textFill>
                  <w14:solidFill>
                    <w14:schemeClr w14:val="tx1"/>
                  </w14:solidFill>
                </w14:textFill>
              </w:rPr>
              <w:t>、构成：内装：镜面不锈钢</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0"/>
                <w:highlight w:val="none"/>
                <w14:textFill>
                  <w14:solidFill>
                    <w14:schemeClr w14:val="tx1"/>
                  </w14:solidFill>
                </w14:textFill>
              </w:rPr>
              <w:t>外装：冷轧钢板，表面耐药品涂装</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9</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0"/>
                <w:highlight w:val="none"/>
                <w14:textFill>
                  <w14:solidFill>
                    <w14:schemeClr w14:val="tx1"/>
                  </w14:solidFill>
                </w14:textFill>
              </w:rPr>
              <w:t>断热材：橡塑海绵</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w:t>
            </w:r>
            <w:r>
              <w:rPr>
                <w:rFonts w:hint="eastAsia"/>
                <w:color w:val="000000" w:themeColor="text1"/>
                <w:sz w:val="20"/>
                <w:highlight w:val="none"/>
                <w14:textFill>
                  <w14:solidFill>
                    <w14:schemeClr w14:val="tx1"/>
                  </w14:solidFill>
                </w14:textFill>
              </w:rPr>
              <w:t>、加热器：加热管</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0"/>
                <w:highlight w:val="none"/>
                <w14:textFill>
                  <w14:solidFill>
                    <w14:schemeClr w14:val="tx1"/>
                  </w14:solidFill>
                </w14:textFill>
              </w:rPr>
              <w:t>额定功率：≤</w:t>
            </w:r>
            <w:r>
              <w:rPr>
                <w:rFonts w:hint="eastAsia"/>
                <w:color w:val="000000" w:themeColor="text1"/>
                <w:sz w:val="22"/>
                <w:szCs w:val="22"/>
                <w:highlight w:val="none"/>
                <w14:textFill>
                  <w14:solidFill>
                    <w14:schemeClr w14:val="tx1"/>
                  </w14:solidFill>
                </w14:textFill>
              </w:rPr>
              <w:t>0.5kw</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12</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0"/>
                <w:highlight w:val="none"/>
                <w14:textFill>
                  <w14:solidFill>
                    <w14:schemeClr w14:val="tx1"/>
                  </w14:solidFill>
                </w14:textFill>
              </w:rPr>
              <w:t>排气口</w:t>
            </w:r>
            <w:r>
              <w:rPr>
                <w:rFonts w:hint="eastAsia"/>
                <w:color w:val="000000" w:themeColor="text1"/>
                <w:sz w:val="22"/>
                <w:szCs w:val="22"/>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t>内径≥</w:t>
            </w:r>
            <w:r>
              <w:rPr>
                <w:rFonts w:hint="eastAsia"/>
                <w:color w:val="000000" w:themeColor="text1"/>
                <w:sz w:val="22"/>
                <w:szCs w:val="22"/>
                <w:highlight w:val="none"/>
                <w14:textFill>
                  <w14:solidFill>
                    <w14:schemeClr w14:val="tx1"/>
                  </w14:solidFill>
                </w14:textFill>
              </w:rPr>
              <w:t>28mm*1</w:t>
            </w:r>
            <w:r>
              <w:rPr>
                <w:rFonts w:hint="eastAsia"/>
                <w:color w:val="000000" w:themeColor="text1"/>
                <w:sz w:val="20"/>
                <w:highlight w:val="none"/>
                <w14:textFill>
                  <w14:solidFill>
                    <w14:schemeClr w14:val="tx1"/>
                  </w14:solidFill>
                </w14:textFill>
              </w:rPr>
              <w:t>，顶部</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13</w:t>
            </w:r>
            <w:r>
              <w:rPr>
                <w:rFonts w:hint="eastAsia"/>
                <w:color w:val="000000" w:themeColor="text1"/>
                <w:sz w:val="20"/>
                <w:highlight w:val="none"/>
                <w14:textFill>
                  <w14:solidFill>
                    <w14:schemeClr w14:val="tx1"/>
                  </w14:solidFill>
                </w14:textFill>
              </w:rPr>
              <w:t>、控制器：温度控制方式：</w:t>
            </w:r>
            <w:r>
              <w:rPr>
                <w:rFonts w:hint="eastAsia"/>
                <w:color w:val="000000" w:themeColor="text1"/>
                <w:sz w:val="22"/>
                <w:szCs w:val="22"/>
                <w:highlight w:val="none"/>
                <w14:textFill>
                  <w14:solidFill>
                    <w14:schemeClr w14:val="tx1"/>
                  </w14:solidFill>
                </w14:textFill>
              </w:rPr>
              <w:t>PID</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14</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0"/>
                <w:highlight w:val="none"/>
                <w14:textFill>
                  <w14:solidFill>
                    <w14:schemeClr w14:val="tx1"/>
                  </w14:solidFill>
                </w14:textFill>
              </w:rPr>
              <w:t>温度设定方式：轻触四按键设定</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15</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0"/>
                <w:highlight w:val="none"/>
                <w14:textFill>
                  <w14:solidFill>
                    <w14:schemeClr w14:val="tx1"/>
                  </w14:solidFill>
                </w14:textFill>
              </w:rPr>
              <w:t>温度表示方式：测定温度显示：液晶上位显示；设定温度显示：</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0"/>
                <w:highlight w:val="none"/>
                <w14:textFill>
                  <w14:solidFill>
                    <w14:schemeClr w14:val="tx1"/>
                  </w14:solidFill>
                </w14:textFill>
              </w:rPr>
              <w:t>液晶下位显示</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16</w:t>
            </w:r>
            <w:r>
              <w:rPr>
                <w:rFonts w:hint="eastAsia"/>
                <w:color w:val="000000" w:themeColor="text1"/>
                <w:sz w:val="20"/>
                <w:highlight w:val="none"/>
                <w14:textFill>
                  <w14:solidFill>
                    <w14:schemeClr w14:val="tx1"/>
                  </w14:solidFill>
                </w14:textFill>
              </w:rPr>
              <w:t>、定时器：</w:t>
            </w:r>
            <w:r>
              <w:rPr>
                <w:rFonts w:hint="eastAsia"/>
                <w:color w:val="000000" w:themeColor="text1"/>
                <w:sz w:val="22"/>
                <w:szCs w:val="22"/>
                <w:highlight w:val="none"/>
                <w14:textFill>
                  <w14:solidFill>
                    <w14:schemeClr w14:val="tx1"/>
                  </w14:solidFill>
                </w14:textFill>
              </w:rPr>
              <w:t>0-9999</w:t>
            </w:r>
            <w:r>
              <w:rPr>
                <w:rFonts w:hint="eastAsia"/>
                <w:color w:val="000000" w:themeColor="text1"/>
                <w:sz w:val="20"/>
                <w:highlight w:val="none"/>
                <w14:textFill>
                  <w14:solidFill>
                    <w14:schemeClr w14:val="tx1"/>
                  </w14:solidFill>
                </w14:textFill>
              </w:rPr>
              <w:t>分钟（或小时）</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17</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0"/>
                <w:highlight w:val="none"/>
                <w14:textFill>
                  <w14:solidFill>
                    <w14:schemeClr w14:val="tx1"/>
                  </w14:solidFill>
                </w14:textFill>
              </w:rPr>
              <w:t>运行功能：定值运行、定时运行、自动停止</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18</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0"/>
                <w:highlight w:val="none"/>
                <w14:textFill>
                  <w14:solidFill>
                    <w14:schemeClr w14:val="tx1"/>
                  </w14:solidFill>
                </w14:textFill>
              </w:rPr>
              <w:t>附加功能：偏差修正、菜单按键锁定、停电记忆</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19</w:t>
            </w:r>
            <w:r>
              <w:rPr>
                <w:rFonts w:hint="eastAsia"/>
                <w:color w:val="000000" w:themeColor="text1"/>
                <w:sz w:val="20"/>
                <w:highlight w:val="none"/>
                <w14:textFill>
                  <w14:solidFill>
                    <w14:schemeClr w14:val="tx1"/>
                  </w14:solidFill>
                </w14:textFill>
              </w:rPr>
              <w:t>、传感器：</w:t>
            </w:r>
            <w:r>
              <w:rPr>
                <w:rFonts w:hint="eastAsia"/>
                <w:color w:val="000000" w:themeColor="text1"/>
                <w:sz w:val="22"/>
                <w:szCs w:val="22"/>
                <w:highlight w:val="none"/>
                <w14:textFill>
                  <w14:solidFill>
                    <w14:schemeClr w14:val="tx1"/>
                  </w14:solidFill>
                </w14:textFill>
              </w:rPr>
              <w:t>PT100</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20</w:t>
            </w:r>
            <w:r>
              <w:rPr>
                <w:rFonts w:hint="eastAsia"/>
                <w:color w:val="000000" w:themeColor="text1"/>
                <w:sz w:val="20"/>
                <w:highlight w:val="none"/>
                <w14:textFill>
                  <w14:solidFill>
                    <w14:schemeClr w14:val="tx1"/>
                  </w14:solidFill>
                </w14:textFill>
              </w:rPr>
              <w:t>、安全装置：超温报警，过升防止器</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21</w:t>
            </w:r>
            <w:r>
              <w:rPr>
                <w:rFonts w:hint="eastAsia"/>
                <w:color w:val="000000" w:themeColor="text1"/>
                <w:sz w:val="20"/>
                <w:highlight w:val="none"/>
                <w14:textFill>
                  <w14:solidFill>
                    <w14:schemeClr w14:val="tx1"/>
                  </w14:solidFill>
                </w14:textFill>
              </w:rPr>
              <w:t>、规格：</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0"/>
                <w:highlight w:val="none"/>
                <w14:textFill>
                  <w14:solidFill>
                    <w14:schemeClr w14:val="tx1"/>
                  </w14:solidFill>
                </w14:textFill>
              </w:rPr>
              <w:t>内尺寸（宽</w:t>
            </w:r>
            <w:r>
              <w:rPr>
                <w:rFonts w:hint="eastAsia"/>
                <w:color w:val="000000" w:themeColor="text1"/>
                <w:sz w:val="22"/>
                <w:szCs w:val="22"/>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t>深</w:t>
            </w:r>
            <w:r>
              <w:rPr>
                <w:rFonts w:hint="eastAsia"/>
                <w:color w:val="000000" w:themeColor="text1"/>
                <w:sz w:val="22"/>
                <w:szCs w:val="22"/>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t>高）：</w:t>
            </w:r>
            <w:r>
              <w:rPr>
                <w:rFonts w:hint="eastAsia"/>
                <w:color w:val="000000" w:themeColor="text1"/>
                <w:sz w:val="22"/>
                <w:szCs w:val="22"/>
                <w:highlight w:val="none"/>
                <w14:textFill>
                  <w14:solidFill>
                    <w14:schemeClr w14:val="tx1"/>
                  </w14:solidFill>
                </w14:textFill>
              </w:rPr>
              <w:t>500*450*550</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22</w:t>
            </w:r>
            <w:r>
              <w:rPr>
                <w:rFonts w:hint="eastAsia"/>
                <w:color w:val="000000" w:themeColor="text1"/>
                <w:sz w:val="20"/>
                <w:highlight w:val="none"/>
                <w14:textFill>
                  <w14:solidFill>
                    <w14:schemeClr w14:val="tx1"/>
                  </w14:solidFill>
                </w14:textFill>
              </w:rPr>
              <w:t>、内容积：≥</w:t>
            </w:r>
            <w:r>
              <w:rPr>
                <w:rFonts w:hint="eastAsia"/>
                <w:color w:val="000000" w:themeColor="text1"/>
                <w:sz w:val="22"/>
                <w:szCs w:val="22"/>
                <w:highlight w:val="none"/>
                <w14:textFill>
                  <w14:solidFill>
                    <w14:schemeClr w14:val="tx1"/>
                  </w14:solidFill>
                </w14:textFill>
              </w:rPr>
              <w:t>124L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25</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 xml:space="preserve"> </w:t>
            </w:r>
            <w:r>
              <w:rPr>
                <w:rFonts w:hint="eastAsia"/>
                <w:color w:val="000000" w:themeColor="text1"/>
                <w:sz w:val="20"/>
                <w:highlight w:val="none"/>
                <w14:textFill>
                  <w14:solidFill>
                    <w14:schemeClr w14:val="tx1"/>
                  </w14:solidFill>
                </w14:textFill>
              </w:rPr>
              <w:t>隔板承重：≥</w:t>
            </w:r>
            <w:r>
              <w:rPr>
                <w:rFonts w:hint="eastAsia"/>
                <w:color w:val="000000" w:themeColor="text1"/>
                <w:sz w:val="22"/>
                <w:szCs w:val="22"/>
                <w:highlight w:val="none"/>
                <w14:textFill>
                  <w14:solidFill>
                    <w14:schemeClr w14:val="tx1"/>
                  </w14:solidFill>
                </w14:textFill>
              </w:rPr>
              <w:t>5kg</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26</w:t>
            </w:r>
            <w:r>
              <w:rPr>
                <w:rFonts w:hint="eastAsia"/>
                <w:color w:val="000000" w:themeColor="text1"/>
                <w:sz w:val="20"/>
                <w:highlight w:val="none"/>
                <w14:textFill>
                  <w14:solidFill>
                    <w14:schemeClr w14:val="tx1"/>
                  </w14:solidFill>
                </w14:textFill>
              </w:rPr>
              <w:t>、隔板层数：≥</w:t>
            </w:r>
            <w:r>
              <w:rPr>
                <w:rFonts w:hint="eastAsia"/>
                <w:color w:val="000000" w:themeColor="text1"/>
                <w:sz w:val="22"/>
                <w:szCs w:val="22"/>
                <w:highlight w:val="none"/>
                <w14:textFill>
                  <w14:solidFill>
                    <w14:schemeClr w14:val="tx1"/>
                  </w14:solidFill>
                </w14:textFill>
              </w:rPr>
              <w:t>13</w:t>
            </w:r>
            <w:r>
              <w:rPr>
                <w:rFonts w:hint="eastAsia"/>
                <w:color w:val="000000" w:themeColor="text1"/>
                <w:sz w:val="20"/>
                <w:highlight w:val="none"/>
                <w14:textFill>
                  <w14:solidFill>
                    <w14:schemeClr w14:val="tx1"/>
                  </w14:solidFill>
                </w14:textFill>
              </w:rPr>
              <w:t>层</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27</w:t>
            </w:r>
            <w:r>
              <w:rPr>
                <w:rFonts w:hint="eastAsia"/>
                <w:color w:val="000000" w:themeColor="text1"/>
                <w:sz w:val="20"/>
                <w:highlight w:val="none"/>
                <w14:textFill>
                  <w14:solidFill>
                    <w14:schemeClr w14:val="tx1"/>
                  </w14:solidFill>
                </w14:textFill>
              </w:rPr>
              <w:t>、隔板间距：≥</w:t>
            </w:r>
            <w:r>
              <w:rPr>
                <w:rFonts w:hint="eastAsia"/>
                <w:color w:val="000000" w:themeColor="text1"/>
                <w:sz w:val="22"/>
                <w:szCs w:val="22"/>
                <w:highlight w:val="none"/>
                <w14:textFill>
                  <w14:solidFill>
                    <w14:schemeClr w14:val="tx1"/>
                  </w14:solidFill>
                </w14:textFill>
              </w:rPr>
              <w:t>35 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28</w:t>
            </w:r>
            <w:r>
              <w:rPr>
                <w:rFonts w:hint="eastAsia"/>
                <w:color w:val="000000" w:themeColor="text1"/>
                <w:sz w:val="20"/>
                <w:highlight w:val="none"/>
                <w14:textFill>
                  <w14:solidFill>
                    <w14:schemeClr w14:val="tx1"/>
                  </w14:solidFill>
                </w14:textFill>
              </w:rPr>
              <w:t>、电源（</w:t>
            </w:r>
            <w:r>
              <w:rPr>
                <w:rFonts w:hint="eastAsia"/>
                <w:color w:val="000000" w:themeColor="text1"/>
                <w:sz w:val="22"/>
                <w:szCs w:val="22"/>
                <w:highlight w:val="none"/>
                <w14:textFill>
                  <w14:solidFill>
                    <w14:schemeClr w14:val="tx1"/>
                  </w14:solidFill>
                </w14:textFill>
              </w:rPr>
              <w:t>50/60Hz</w:t>
            </w:r>
            <w:r>
              <w:rPr>
                <w:rFonts w:hint="eastAsia"/>
                <w:color w:val="000000" w:themeColor="text1"/>
                <w:sz w:val="20"/>
                <w:highlight w:val="none"/>
                <w14:textFill>
                  <w14:solidFill>
                    <w14:schemeClr w14:val="tx1"/>
                  </w14:solidFill>
                </w14:textFill>
              </w:rPr>
              <w:t>）额定电流：</w:t>
            </w:r>
            <w:r>
              <w:rPr>
                <w:rFonts w:hint="eastAsia"/>
                <w:color w:val="000000" w:themeColor="text1"/>
                <w:sz w:val="22"/>
                <w:szCs w:val="22"/>
                <w:highlight w:val="none"/>
                <w14:textFill>
                  <w14:solidFill>
                    <w14:schemeClr w14:val="tx1"/>
                  </w14:solidFill>
                </w14:textFill>
              </w:rPr>
              <w:t>AC220/2.3A</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29</w:t>
            </w:r>
            <w:r>
              <w:rPr>
                <w:rFonts w:hint="eastAsia"/>
                <w:color w:val="000000" w:themeColor="text1"/>
                <w:sz w:val="20"/>
                <w:highlight w:val="none"/>
                <w14:textFill>
                  <w14:solidFill>
                    <w14:schemeClr w14:val="tx1"/>
                  </w14:solidFill>
                </w14:textFill>
              </w:rPr>
              <w:t>、净重</w:t>
            </w:r>
            <w:r>
              <w:rPr>
                <w:rFonts w:hint="eastAsia"/>
                <w:color w:val="000000" w:themeColor="text1"/>
                <w:sz w:val="22"/>
                <w:szCs w:val="22"/>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t>毛重</w:t>
            </w:r>
            <w:r>
              <w:rPr>
                <w:rFonts w:hint="eastAsia"/>
                <w:color w:val="000000" w:themeColor="text1"/>
                <w:sz w:val="22"/>
                <w:szCs w:val="22"/>
                <w:highlight w:val="none"/>
                <w14:textFill>
                  <w14:solidFill>
                    <w14:schemeClr w14:val="tx1"/>
                  </w14:solidFill>
                </w14:textFill>
              </w:rPr>
              <w:t>kg</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49/53</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30</w:t>
            </w:r>
            <w:r>
              <w:rPr>
                <w:rFonts w:hint="eastAsia"/>
                <w:color w:val="000000" w:themeColor="text1"/>
                <w:sz w:val="20"/>
                <w:highlight w:val="none"/>
                <w14:textFill>
                  <w14:solidFill>
                    <w14:schemeClr w14:val="tx1"/>
                  </w14:solidFill>
                </w14:textFill>
              </w:rPr>
              <w:t>、附属品：隔板：≥</w:t>
            </w:r>
            <w:r>
              <w:rPr>
                <w:rFonts w:hint="eastAsia"/>
                <w:color w:val="000000" w:themeColor="text1"/>
                <w:sz w:val="22"/>
                <w:szCs w:val="22"/>
                <w:highlight w:val="none"/>
                <w14:textFill>
                  <w14:solidFill>
                    <w14:schemeClr w14:val="tx1"/>
                  </w14:solidFill>
                </w14:textFill>
              </w:rPr>
              <w:t>2</w:t>
            </w:r>
            <w:r>
              <w:rPr>
                <w:rFonts w:hint="eastAsia"/>
                <w:color w:val="000000" w:themeColor="text1"/>
                <w:sz w:val="20"/>
                <w:highlight w:val="none"/>
                <w14:textFill>
                  <w14:solidFill>
                    <w14:schemeClr w14:val="tx1"/>
                  </w14:solidFill>
                </w14:textFill>
              </w:rPr>
              <w:t>件</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31</w:t>
            </w:r>
            <w:r>
              <w:rPr>
                <w:rFonts w:hint="eastAsia"/>
                <w:color w:val="000000" w:themeColor="text1"/>
                <w:sz w:val="20"/>
                <w:highlight w:val="none"/>
                <w14:textFill>
                  <w14:solidFill>
                    <w14:schemeClr w14:val="tx1"/>
                  </w14:solidFill>
                </w14:textFill>
              </w:rPr>
              <w:t>、隔板架：≥</w:t>
            </w:r>
            <w:r>
              <w:rPr>
                <w:rFonts w:hint="eastAsia"/>
                <w:color w:val="000000" w:themeColor="text1"/>
                <w:sz w:val="22"/>
                <w:szCs w:val="22"/>
                <w:highlight w:val="none"/>
                <w14:textFill>
                  <w14:solidFill>
                    <w14:schemeClr w14:val="tx1"/>
                  </w14:solidFill>
                </w14:textFill>
              </w:rPr>
              <w:t>4</w:t>
            </w:r>
            <w:r>
              <w:rPr>
                <w:rFonts w:hint="eastAsia"/>
                <w:color w:val="000000" w:themeColor="text1"/>
                <w:sz w:val="20"/>
                <w:highlight w:val="none"/>
                <w14:textFill>
                  <w14:solidFill>
                    <w14:schemeClr w14:val="tx1"/>
                  </w14:solidFill>
                </w14:textFill>
              </w:rPr>
              <w:t>件</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32</w:t>
            </w:r>
            <w:r>
              <w:rPr>
                <w:rFonts w:hint="eastAsia"/>
                <w:color w:val="000000" w:themeColor="text1"/>
                <w:sz w:val="20"/>
                <w:highlight w:val="none"/>
                <w14:textFill>
                  <w14:solidFill>
                    <w14:schemeClr w14:val="tx1"/>
                  </w14:solidFill>
                </w14:textFill>
              </w:rPr>
              <w:t>、标准配置：杀菌、照明、过升防止、</w:t>
            </w:r>
            <w:r>
              <w:rPr>
                <w:rFonts w:hint="eastAsia"/>
                <w:color w:val="000000" w:themeColor="text1"/>
                <w:sz w:val="22"/>
                <w:szCs w:val="22"/>
                <w:highlight w:val="none"/>
                <w14:textFill>
                  <w14:solidFill>
                    <w14:schemeClr w14:val="tx1"/>
                  </w14:solidFill>
                </w14:textFill>
              </w:rPr>
              <w:t>485</w:t>
            </w:r>
            <w:r>
              <w:rPr>
                <w:rFonts w:hint="eastAsia"/>
                <w:color w:val="000000" w:themeColor="text1"/>
                <w:sz w:val="20"/>
                <w:highlight w:val="none"/>
                <w14:textFill>
                  <w14:solidFill>
                    <w14:schemeClr w14:val="tx1"/>
                  </w14:solidFill>
                </w14:textFill>
              </w:rPr>
              <w:t>接口，充气接口</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33</w:t>
            </w:r>
            <w:r>
              <w:rPr>
                <w:rFonts w:hint="eastAsia"/>
                <w:color w:val="000000" w:themeColor="text1"/>
                <w:sz w:val="20"/>
                <w:highlight w:val="none"/>
                <w14:textFill>
                  <w14:solidFill>
                    <w14:schemeClr w14:val="tx1"/>
                  </w14:solidFill>
                </w14:textFill>
              </w:rPr>
              <w:t>、可增加配置：隔板、</w:t>
            </w:r>
            <w:r>
              <w:rPr>
                <w:rFonts w:hint="eastAsia"/>
                <w:color w:val="000000" w:themeColor="text1"/>
                <w:sz w:val="22"/>
                <w:szCs w:val="22"/>
                <w:highlight w:val="none"/>
                <w14:textFill>
                  <w14:solidFill>
                    <w14:schemeClr w14:val="tx1"/>
                  </w14:solidFill>
                </w14:textFill>
              </w:rPr>
              <w:t>USB</w:t>
            </w:r>
            <w:r>
              <w:rPr>
                <w:rFonts w:hint="eastAsia"/>
                <w:color w:val="000000" w:themeColor="text1"/>
                <w:sz w:val="20"/>
                <w:highlight w:val="none"/>
                <w14:textFill>
                  <w14:solidFill>
                    <w14:schemeClr w14:val="tx1"/>
                  </w14:solidFill>
                </w14:textFill>
              </w:rPr>
              <w:t>接口、打印机、记录仪、外部通讯、远程控制、程序控温仪、无线短信报警</w:t>
            </w:r>
          </w:p>
        </w:tc>
        <w:tc>
          <w:tcPr>
            <w:tcW w:w="567"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r>
              <w:rPr>
                <w:rFonts w:ascii="方正仿宋_GBK" w:hAnsi="宋体" w:eastAsia="方正仿宋_GBK" w:cs="仿宋"/>
                <w:b/>
                <w:bCs/>
                <w:color w:val="000000" w:themeColor="text1"/>
                <w:sz w:val="21"/>
                <w:szCs w:val="21"/>
                <w:highlight w:val="none"/>
                <w14:textFill>
                  <w14:solidFill>
                    <w14:schemeClr w14:val="tx1"/>
                  </w14:solidFill>
                </w14:textFill>
              </w:rPr>
              <w:t xml:space="preserve"> </w:t>
            </w:r>
          </w:p>
        </w:tc>
        <w:tc>
          <w:tcPr>
            <w:tcW w:w="567" w:type="dxa"/>
            <w:tcBorders>
              <w:top w:val="nil"/>
              <w:left w:val="nil"/>
              <w:bottom w:val="single" w:color="auto" w:sz="4" w:space="0"/>
              <w:right w:val="single" w:color="auto" w:sz="4" w:space="0"/>
            </w:tcBorders>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6</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Ph计</w:t>
            </w:r>
          </w:p>
        </w:tc>
        <w:tc>
          <w:tcPr>
            <w:tcW w:w="7229" w:type="dxa"/>
            <w:tcBorders>
              <w:top w:val="nil"/>
              <w:left w:val="nil"/>
              <w:bottom w:val="single" w:color="auto" w:sz="4" w:space="0"/>
              <w:right w:val="single" w:color="auto" w:sz="4" w:space="0"/>
            </w:tcBorders>
            <w:vAlign w:val="bottom"/>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w:t>
            </w:r>
            <w:r>
              <w:rPr>
                <w:rFonts w:hint="eastAsia"/>
                <w:color w:val="000000" w:themeColor="text1"/>
                <w:sz w:val="20"/>
                <w:highlight w:val="none"/>
                <w14:textFill>
                  <w14:solidFill>
                    <w14:schemeClr w14:val="tx1"/>
                  </w14:solidFill>
                </w14:textFill>
              </w:rPr>
              <w:t>仪器级别：</w:t>
            </w:r>
            <w:r>
              <w:rPr>
                <w:rFonts w:hint="eastAsia"/>
                <w:color w:val="000000" w:themeColor="text1"/>
                <w:sz w:val="22"/>
                <w:szCs w:val="22"/>
                <w:highlight w:val="none"/>
                <w14:textFill>
                  <w14:solidFill>
                    <w14:schemeClr w14:val="tx1"/>
                  </w14:solidFill>
                </w14:textFill>
              </w:rPr>
              <w:t xml:space="preserve"> 0.01</w:t>
            </w:r>
            <w:r>
              <w:rPr>
                <w:rFonts w:hint="eastAsia"/>
                <w:color w:val="000000" w:themeColor="text1"/>
                <w:sz w:val="20"/>
                <w:highlight w:val="none"/>
                <w14:textFill>
                  <w14:solidFill>
                    <w14:schemeClr w14:val="tx1"/>
                  </w14:solidFill>
                </w14:textFill>
              </w:rPr>
              <w:t>级</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w:t>
            </w:r>
            <w:r>
              <w:rPr>
                <w:rFonts w:hint="eastAsia"/>
                <w:color w:val="000000" w:themeColor="text1"/>
                <w:sz w:val="20"/>
                <w:highlight w:val="none"/>
                <w14:textFill>
                  <w14:solidFill>
                    <w14:schemeClr w14:val="tx1"/>
                  </w14:solidFill>
                </w14:textFill>
              </w:rPr>
              <w:t>测量参数：</w:t>
            </w:r>
            <w:r>
              <w:rPr>
                <w:rFonts w:hint="eastAsia"/>
                <w:color w:val="000000" w:themeColor="text1"/>
                <w:sz w:val="22"/>
                <w:szCs w:val="22"/>
                <w:highlight w:val="none"/>
                <w14:textFill>
                  <w14:solidFill>
                    <w14:schemeClr w14:val="tx1"/>
                  </w14:solidFill>
                </w14:textFill>
              </w:rPr>
              <w:t>pH</w:t>
            </w:r>
            <w:r>
              <w:rPr>
                <w:rFonts w:hint="eastAsia"/>
                <w:color w:val="000000" w:themeColor="text1"/>
                <w:sz w:val="20"/>
                <w:highlight w:val="none"/>
                <w14:textFill>
                  <w14:solidFill>
                    <w14:schemeClr w14:val="tx1"/>
                  </w14:solidFill>
                </w14:textFill>
              </w:rPr>
              <w:t>值、</w:t>
            </w:r>
            <w:r>
              <w:rPr>
                <w:rFonts w:hint="eastAsia"/>
                <w:color w:val="000000" w:themeColor="text1"/>
                <w:sz w:val="22"/>
                <w:szCs w:val="22"/>
                <w:highlight w:val="none"/>
                <w14:textFill>
                  <w14:solidFill>
                    <w14:schemeClr w14:val="tx1"/>
                  </w14:solidFill>
                </w14:textFill>
              </w:rPr>
              <w:t>mV</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ORP</w:t>
            </w:r>
            <w:r>
              <w:rPr>
                <w:rFonts w:hint="eastAsia"/>
                <w:color w:val="000000" w:themeColor="text1"/>
                <w:sz w:val="20"/>
                <w:highlight w:val="none"/>
                <w14:textFill>
                  <w14:solidFill>
                    <w14:schemeClr w14:val="tx1"/>
                  </w14:solidFill>
                </w14:textFill>
              </w:rPr>
              <w:t>）、温度值</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w:t>
            </w:r>
            <w:r>
              <w:rPr>
                <w:rFonts w:hint="eastAsia"/>
                <w:color w:val="000000" w:themeColor="text1"/>
                <w:sz w:val="20"/>
                <w:highlight w:val="none"/>
                <w14:textFill>
                  <w14:solidFill>
                    <w14:schemeClr w14:val="tx1"/>
                  </w14:solidFill>
                </w14:textFill>
              </w:rPr>
              <w:t>测量范围：</w:t>
            </w:r>
            <w:r>
              <w:rPr>
                <w:rFonts w:hint="eastAsia"/>
                <w:color w:val="000000" w:themeColor="text1"/>
                <w:sz w:val="22"/>
                <w:szCs w:val="22"/>
                <w:highlight w:val="none"/>
                <w14:textFill>
                  <w14:solidFill>
                    <w14:schemeClr w14:val="tx1"/>
                  </w14:solidFill>
                </w14:textFill>
              </w:rPr>
              <w:t xml:space="preserve">pH </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0.00</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14.00</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pH,</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          mV </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-1999</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1999</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mV</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w:t>
            </w:r>
            <w:r>
              <w:rPr>
                <w:rFonts w:hint="eastAsia"/>
                <w:color w:val="000000" w:themeColor="text1"/>
                <w:sz w:val="20"/>
                <w:highlight w:val="none"/>
                <w14:textFill>
                  <w14:solidFill>
                    <w14:schemeClr w14:val="tx1"/>
                  </w14:solidFill>
                </w14:textFill>
              </w:rPr>
              <w:t>温度（</w:t>
            </w:r>
            <w:r>
              <w:rPr>
                <w:rFonts w:hint="eastAsia"/>
                <w:color w:val="000000" w:themeColor="text1"/>
                <w:sz w:val="22"/>
                <w:szCs w:val="22"/>
                <w:highlight w:val="none"/>
                <w14:textFill>
                  <w14:solidFill>
                    <w14:schemeClr w14:val="tx1"/>
                  </w14:solidFill>
                </w14:textFill>
              </w:rPr>
              <w:t>0.0</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99.9</w:t>
            </w:r>
            <w:r>
              <w:rPr>
                <w:rFonts w:hint="eastAsia"/>
                <w:color w:val="000000" w:themeColor="text1"/>
                <w:sz w:val="20"/>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w:t>
            </w:r>
            <w:r>
              <w:rPr>
                <w:rFonts w:hint="eastAsia"/>
                <w:color w:val="000000" w:themeColor="text1"/>
                <w:sz w:val="20"/>
                <w:highlight w:val="none"/>
                <w14:textFill>
                  <w14:solidFill>
                    <w14:schemeClr w14:val="tx1"/>
                  </w14:solidFill>
                </w14:textFill>
              </w:rPr>
              <w:t>分辨率：</w:t>
            </w:r>
            <w:r>
              <w:rPr>
                <w:rFonts w:hint="eastAsia"/>
                <w:color w:val="000000" w:themeColor="text1"/>
                <w:sz w:val="22"/>
                <w:szCs w:val="22"/>
                <w:highlight w:val="none"/>
                <w14:textFill>
                  <w14:solidFill>
                    <w14:schemeClr w14:val="tx1"/>
                  </w14:solidFill>
                </w14:textFill>
              </w:rPr>
              <w:t>pH 0.01pH</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        mV 1mV</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w:t>
            </w:r>
            <w:r>
              <w:rPr>
                <w:rFonts w:hint="eastAsia"/>
                <w:color w:val="000000" w:themeColor="text1"/>
                <w:sz w:val="20"/>
                <w:highlight w:val="none"/>
                <w14:textFill>
                  <w14:solidFill>
                    <w14:schemeClr w14:val="tx1"/>
                  </w14:solidFill>
                </w14:textFill>
              </w:rPr>
              <w:t>温度</w:t>
            </w:r>
            <w:r>
              <w:rPr>
                <w:rFonts w:hint="eastAsia"/>
                <w:color w:val="000000" w:themeColor="text1"/>
                <w:sz w:val="22"/>
                <w:szCs w:val="22"/>
                <w:highlight w:val="none"/>
                <w14:textFill>
                  <w14:solidFill>
                    <w14:schemeClr w14:val="tx1"/>
                  </w14:solidFill>
                </w14:textFill>
              </w:rPr>
              <w:t xml:space="preserve"> 0.1</w:t>
            </w:r>
            <w:r>
              <w:rPr>
                <w:rFonts w:hint="eastAsia"/>
                <w:color w:val="000000" w:themeColor="text1"/>
                <w:sz w:val="20"/>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w:t>
            </w:r>
            <w:r>
              <w:rPr>
                <w:rFonts w:hint="eastAsia"/>
                <w:color w:val="000000" w:themeColor="text1"/>
                <w:sz w:val="20"/>
                <w:highlight w:val="none"/>
                <w14:textFill>
                  <w14:solidFill>
                    <w14:schemeClr w14:val="tx1"/>
                  </w14:solidFill>
                </w14:textFill>
              </w:rPr>
              <w:t>基本误差：</w:t>
            </w:r>
            <w:r>
              <w:rPr>
                <w:rFonts w:hint="eastAsia"/>
                <w:color w:val="000000" w:themeColor="text1"/>
                <w:sz w:val="22"/>
                <w:szCs w:val="22"/>
                <w:highlight w:val="none"/>
                <w14:textFill>
                  <w14:solidFill>
                    <w14:schemeClr w14:val="tx1"/>
                  </w14:solidFill>
                </w14:textFill>
              </w:rPr>
              <w:t>pH ±0.01pH</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          mV  ±0.1%FS</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w:t>
            </w:r>
            <w:r>
              <w:rPr>
                <w:rFonts w:hint="eastAsia"/>
                <w:color w:val="000000" w:themeColor="text1"/>
                <w:sz w:val="20"/>
                <w:highlight w:val="none"/>
                <w14:textFill>
                  <w14:solidFill>
                    <w14:schemeClr w14:val="tx1"/>
                  </w14:solidFill>
                </w14:textFill>
              </w:rPr>
              <w:t>温度</w:t>
            </w:r>
            <w:r>
              <w:rPr>
                <w:rFonts w:hint="eastAsia"/>
                <w:color w:val="000000" w:themeColor="text1"/>
                <w:sz w:val="22"/>
                <w:szCs w:val="22"/>
                <w:highlight w:val="none"/>
                <w14:textFill>
                  <w14:solidFill>
                    <w14:schemeClr w14:val="tx1"/>
                  </w14:solidFill>
                </w14:textFill>
              </w:rPr>
              <w:t xml:space="preserve"> ±0.3</w:t>
            </w:r>
            <w:r>
              <w:rPr>
                <w:rFonts w:hint="eastAsia"/>
                <w:color w:val="000000" w:themeColor="text1"/>
                <w:sz w:val="20"/>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9.</w:t>
            </w:r>
            <w:r>
              <w:rPr>
                <w:rFonts w:hint="eastAsia"/>
                <w:color w:val="000000" w:themeColor="text1"/>
                <w:sz w:val="20"/>
                <w:highlight w:val="none"/>
                <w14:textFill>
                  <w14:solidFill>
                    <w14:schemeClr w14:val="tx1"/>
                  </w14:solidFill>
                </w14:textFill>
              </w:rPr>
              <w:t>稳定性：（</w:t>
            </w:r>
            <w:r>
              <w:rPr>
                <w:rFonts w:hint="eastAsia"/>
                <w:color w:val="000000" w:themeColor="text1"/>
                <w:sz w:val="22"/>
                <w:szCs w:val="22"/>
                <w:highlight w:val="none"/>
                <w14:textFill>
                  <w14:solidFill>
                    <w14:schemeClr w14:val="tx1"/>
                  </w14:solidFill>
                </w14:textFill>
              </w:rPr>
              <w:t>0.01pH±1</w:t>
            </w:r>
            <w:r>
              <w:rPr>
                <w:rFonts w:hint="eastAsia"/>
                <w:color w:val="000000" w:themeColor="text1"/>
                <w:sz w:val="20"/>
                <w:highlight w:val="none"/>
                <w14:textFill>
                  <w14:solidFill>
                    <w14:schemeClr w14:val="tx1"/>
                  </w14:solidFill>
                </w14:textFill>
              </w:rPr>
              <w:t>个字）</w:t>
            </w:r>
            <w:r>
              <w:rPr>
                <w:rFonts w:hint="eastAsia"/>
                <w:color w:val="000000" w:themeColor="text1"/>
                <w:sz w:val="22"/>
                <w:szCs w:val="22"/>
                <w:highlight w:val="none"/>
                <w14:textFill>
                  <w14:solidFill>
                    <w14:schemeClr w14:val="tx1"/>
                  </w14:solidFill>
                </w14:textFill>
              </w:rPr>
              <w:t>/3h</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w:t>
            </w:r>
            <w:r>
              <w:rPr>
                <w:rFonts w:hint="eastAsia"/>
                <w:color w:val="000000" w:themeColor="text1"/>
                <w:sz w:val="20"/>
                <w:highlight w:val="none"/>
                <w14:textFill>
                  <w14:solidFill>
                    <w14:schemeClr w14:val="tx1"/>
                  </w14:solidFill>
                </w14:textFill>
              </w:rPr>
              <w:t>温度补偿：自动</w:t>
            </w:r>
            <w:r>
              <w:rPr>
                <w:rFonts w:hint="eastAsia"/>
                <w:color w:val="000000" w:themeColor="text1"/>
                <w:sz w:val="22"/>
                <w:szCs w:val="22"/>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t>手动（</w:t>
            </w:r>
            <w:r>
              <w:rPr>
                <w:rFonts w:hint="eastAsia"/>
                <w:color w:val="000000" w:themeColor="text1"/>
                <w:sz w:val="22"/>
                <w:szCs w:val="22"/>
                <w:highlight w:val="none"/>
                <w14:textFill>
                  <w14:solidFill>
                    <w14:schemeClr w14:val="tx1"/>
                  </w14:solidFill>
                </w14:textFill>
              </w:rPr>
              <w:t>0.0</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99.9</w:t>
            </w:r>
            <w:r>
              <w:rPr>
                <w:rFonts w:hint="eastAsia"/>
                <w:color w:val="000000" w:themeColor="text1"/>
                <w:sz w:val="20"/>
                <w:highlight w:val="none"/>
                <w14:textFill>
                  <w14:solidFill>
                    <w14:schemeClr w14:val="tx1"/>
                  </w14:solidFill>
                </w14:textFill>
              </w:rPr>
              <w:t>）℃</w:t>
            </w:r>
            <w:r>
              <w:rPr>
                <w:rFonts w:hint="eastAsia"/>
                <w:color w:val="000000" w:themeColor="text1"/>
                <w:sz w:val="20"/>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w:t>
            </w:r>
            <w:r>
              <w:rPr>
                <w:rFonts w:hint="eastAsia"/>
                <w:color w:val="000000" w:themeColor="text1"/>
                <w:sz w:val="20"/>
                <w:highlight w:val="none"/>
                <w14:textFill>
                  <w14:solidFill>
                    <w14:schemeClr w14:val="tx1"/>
                  </w14:solidFill>
                </w14:textFill>
              </w:rPr>
              <w:t>电源：</w:t>
            </w:r>
            <w:r>
              <w:rPr>
                <w:rFonts w:hint="eastAsia"/>
                <w:color w:val="000000" w:themeColor="text1"/>
                <w:sz w:val="22"/>
                <w:szCs w:val="22"/>
                <w:highlight w:val="none"/>
                <w14:textFill>
                  <w14:solidFill>
                    <w14:schemeClr w14:val="tx1"/>
                  </w14:solidFill>
                </w14:textFill>
              </w:rPr>
              <w:t xml:space="preserve">AC </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220±22</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V</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 xml:space="preserve">50±1 </w:t>
            </w:r>
            <w:r>
              <w:rPr>
                <w:rFonts w:hint="eastAsia"/>
                <w:color w:val="000000" w:themeColor="text1"/>
                <w:sz w:val="20"/>
                <w:highlight w:val="none"/>
                <w14:textFill>
                  <w14:solidFill>
                    <w14:schemeClr w14:val="tx1"/>
                  </w14:solidFill>
                </w14:textFill>
              </w:rPr>
              <w:t>）</w:t>
            </w:r>
            <w:r>
              <w:rPr>
                <w:rFonts w:hint="eastAsia"/>
                <w:color w:val="000000" w:themeColor="text1"/>
                <w:sz w:val="22"/>
                <w:szCs w:val="22"/>
                <w:highlight w:val="none"/>
                <w14:textFill>
                  <w14:solidFill>
                    <w14:schemeClr w14:val="tx1"/>
                  </w14:solidFill>
                </w14:textFill>
              </w:rPr>
              <w:t>Hz</w:t>
            </w:r>
          </w:p>
        </w:tc>
        <w:tc>
          <w:tcPr>
            <w:tcW w:w="567" w:type="dxa"/>
            <w:tcBorders>
              <w:top w:val="nil"/>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7</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免疫沉淀用磁力架</w:t>
            </w:r>
          </w:p>
        </w:tc>
        <w:tc>
          <w:tcPr>
            <w:tcW w:w="7229" w:type="dxa"/>
            <w:tcBorders>
              <w:top w:val="nil"/>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1.规格（mm）：≥150×50×50</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2.孔径：≥10.7 mm   适用于1.5ml或2.0ml离心管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3.最优工作体积：10-2000ul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 4.符合大部分国产离心管。</w:t>
            </w:r>
          </w:p>
        </w:tc>
        <w:tc>
          <w:tcPr>
            <w:tcW w:w="567"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8</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移液枪</w:t>
            </w:r>
          </w:p>
        </w:tc>
        <w:tc>
          <w:tcPr>
            <w:tcW w:w="7229" w:type="dxa"/>
            <w:tcBorders>
              <w:top w:val="nil"/>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1.卓越人体工程学设计，重量轻，仅为76-80g</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2.显著减少手、手臂和肩膀用力，避免手部重复性劳损（RSI）。</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3.可整支高温高压灭菌和紫外线灭菌，操作更安全。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4.伸缩式弹性吸嘴设计，确保吸头装配的气密性和移液均一性。</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5.密度调节窗口，适用于甘油、氯化铯等不同密度的液体，通用性更广泛。</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6.四位数字放大体积显示，位置合理，便于移液时观察。</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7.采用高科技材质，坚固耐用，耐高温抗腐蚀。</w:t>
            </w:r>
          </w:p>
        </w:tc>
        <w:tc>
          <w:tcPr>
            <w:tcW w:w="567" w:type="dxa"/>
            <w:tcBorders>
              <w:top w:val="nil"/>
              <w:left w:val="nil"/>
              <w:bottom w:val="single" w:color="auto" w:sz="4" w:space="0"/>
              <w:right w:val="single" w:color="auto" w:sz="4" w:space="0"/>
            </w:tcBorders>
            <w:noWrap/>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20</w:t>
            </w:r>
          </w:p>
        </w:tc>
        <w:tc>
          <w:tcPr>
            <w:tcW w:w="567" w:type="dxa"/>
            <w:tcBorders>
              <w:top w:val="nil"/>
              <w:left w:val="nil"/>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9</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电动匀浆器</w:t>
            </w:r>
          </w:p>
        </w:tc>
        <w:tc>
          <w:tcPr>
            <w:tcW w:w="7229" w:type="dxa"/>
            <w:tcBorders>
              <w:top w:val="nil"/>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1.转速范围：5000-30000rpm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2.处理量 ：0.2-80ml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3.标准工作头： HR-10G</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4.电源 ：12V DC可充电式锂电池 </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5.充电器 ：输入电压 220-240V，50-60Hz</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6.转速显示： 刻度</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7.包装 ：铝合金手提箱</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8.接触物料材质：SS316L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9.转速控制可调 ：6档位</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10.处理粘度 ：≥100mpas</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11.轴套材质 ：PTFE</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12.选配工作头配置 ：HR-6G HR-8G HR-6GSTHR-8GST HR-10GST</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13.工序类型 ：微量分批处理</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14.允许环境温度、湿度： 5-40℃、80%</w:t>
            </w:r>
          </w:p>
        </w:tc>
        <w:tc>
          <w:tcPr>
            <w:tcW w:w="567" w:type="dxa"/>
            <w:tcBorders>
              <w:top w:val="nil"/>
              <w:left w:val="nil"/>
              <w:bottom w:val="single" w:color="auto" w:sz="4" w:space="0"/>
              <w:right w:val="single" w:color="auto" w:sz="4" w:space="0"/>
            </w:tcBorders>
            <w:noWrap/>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9"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10</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超声波细胞粉碎机</w:t>
            </w:r>
          </w:p>
        </w:tc>
        <w:tc>
          <w:tcPr>
            <w:tcW w:w="7229" w:type="dxa"/>
            <w:tcBorders>
              <w:top w:val="nil"/>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1、频率: 20-25 KHz</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2、显示方式: 7英寸TFT触摸屏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3、功率: ≥1000 W（20W-1000W步进调节）</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4、随机变幅杆: 6 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5、可选配变幅杆: 2，3 ，10,15 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6、破碎容量: 0.5-600 ml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7、占空比: 0.1-99.9 %</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8、温度报警: 0～99.9℃</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9、报警: 时间，过载，温度</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10、配备智能升降隔音箱装置采用钣金、喷塑、ABS材质，模具化设计；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11、TC4换能器，钛合金变幅杆；</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12、定时：1-999 min</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13、存储数据：≥20组</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14、工作模式：间隙/连续</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15、电源: 220/110V  50Hz/60Hz</w:t>
            </w:r>
          </w:p>
        </w:tc>
        <w:tc>
          <w:tcPr>
            <w:tcW w:w="567" w:type="dxa"/>
            <w:tcBorders>
              <w:top w:val="nil"/>
              <w:left w:val="nil"/>
              <w:bottom w:val="single" w:color="auto" w:sz="4" w:space="0"/>
              <w:right w:val="single" w:color="auto" w:sz="4" w:space="0"/>
            </w:tcBorders>
            <w:noWrap/>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11</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电转化仪</w:t>
            </w:r>
          </w:p>
        </w:tc>
        <w:tc>
          <w:tcPr>
            <w:tcW w:w="7229" w:type="dxa"/>
            <w:tcBorders>
              <w:top w:val="nil"/>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1.能对哺乳动物细胞，特别是原代细胞和悬浮细胞，如神经细胞，干细胞，淋巴细胞等难转染细胞进行快速、高效率的转染，转染过程为非病毒介导，不依赖细胞分裂直接将外源基因导入细胞核；</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2.输出为复合波形，相对于方波及指数波可以在确保转染效率的同时，提高细胞存活率。</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3.针对不同的细胞类型，内存优化好的转染程序（参数），无需用户优化参数；</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4.具备针对≥700多种细胞类型的特异转染程序，随着生产商细胞数据库的不断增加，转染程序也不断升级，并提供转染程序免费升级服务；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5.可将DNA、RNA、oligonucleotides、PNA、肽类或蛋白等各种外源底物转入细胞内。</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 有实验数据支持：外源基因可直接入核。转染速度快，最快转染GFP 2小时后即可观察到蛋白的表达情况；；</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7.转染细胞数量：2 x 105-2x 107/样品</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8. 针对不同的细胞类型，可提供不同的配套试剂盒，包括细胞系转染试剂盒和原代细胞转染试剂盒【试剂盒含有细胞特异性转染液以及阳性对照质粒】 </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9.针对于一些不常见细胞系和原代细胞，均可提供转染条件快速优化试剂盒用于快速筛选确定最佳转染条件；</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10．配有硬件安全装置，通过国际安全标准认证，可自动检测电弧形成，自动终止并重新启动程序。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11.配置清单：主机 1台，说明书一份</w:t>
            </w:r>
          </w:p>
        </w:tc>
        <w:tc>
          <w:tcPr>
            <w:tcW w:w="567" w:type="dxa"/>
            <w:tcBorders>
              <w:top w:val="nil"/>
              <w:left w:val="nil"/>
              <w:bottom w:val="single" w:color="auto" w:sz="4" w:space="0"/>
              <w:right w:val="single" w:color="auto" w:sz="4" w:space="0"/>
            </w:tcBorders>
            <w:noWrap/>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5"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12</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生化培养箱</w:t>
            </w:r>
          </w:p>
        </w:tc>
        <w:tc>
          <w:tcPr>
            <w:tcW w:w="7229" w:type="dxa"/>
            <w:tcBorders>
              <w:top w:val="nil"/>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1、功能：对生化生物样品进行培养</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2、方式：强制对流</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3、性能：使用温度范围：无加湿：0~65℃；有加湿：10~65℃</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4、温度分辨率：0.1℃</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5、温度波动度：±0.5℃    </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6、温度分布精度：±0.8℃(测试点37℃）</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7、控湿范围:35%~90%RH</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8、湿度波动度:±3%</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9、湿度分布精度:±3%</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10、工作环境：室温+5~35℃</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11、构成：内装：镜面不锈钢板</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12、外装：冷轧钢板，表面耐药品涂装</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13、断热材：橡塑海绵</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14、加热器：不锈钢加热管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15、加热功率：≥800w</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16、加湿功率：≥400W</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17、压缩机功率：≥125W</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18、最大功率：≥1400W</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19、压缩机：风冷密闭压缩机</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20、制冷剂：R134A</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21、除霜构造：双蒸发器无感切换（无冰冻现象）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22、控湿方式：自动控制，隐藏式热加湿</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23、引线孔：内径52mm一个</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24、外置电源：外置五孔插座1个</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25、上水方式：自动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26、控制器：温湿度控制方式：30段程序控制</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27、温湿度设定方式：轻触六按键，液晶显示；</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28、温湿度表示方式：大屏彩印液晶显示控制器               </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29、定时器：0~99.9h*30（带定时等待功能）</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30、运行功能：定值运行、定时运行、自动停止/预约开始、程序运行</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31、程序模式：标配 </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32、附加功能：偏差修正、菜单按键锁定、停电补偿、停电记忆、定值机械式限温开关</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33、传感器：PT100、进口霍尼韦尔湿度传感器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34、安全装置：过升报警、过载保护；</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35、规格： 内尺寸（宽*深*高）：≥500*405*750</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36、外尺寸（宽*深*高）：≤668*720*1410</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37、外包装尺寸（宽*深*高）：≤814*844*1528</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38、内容积：≥150L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39、隔板承重：≥15kg</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40、隔板层数：≥15层</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41、隔板间距：≥35mm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42、电源（50/60Hz）额定电流：AC220/6.3A</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43、净重/毛重kg：≤120/159</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44、附属品：隔板：≥2件</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45、隔板架：≥4件</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46、可增加配置：隔板、RS485接口、打印机、记录仪、外部通讯、远程控制、无线短信报警、U盘数据储存。 </w:t>
            </w:r>
          </w:p>
        </w:tc>
        <w:tc>
          <w:tcPr>
            <w:tcW w:w="567" w:type="dxa"/>
            <w:tcBorders>
              <w:top w:val="nil"/>
              <w:left w:val="nil"/>
              <w:bottom w:val="single" w:color="auto" w:sz="4" w:space="0"/>
              <w:right w:val="single" w:color="auto" w:sz="4" w:space="0"/>
            </w:tcBorders>
            <w:noWrap/>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13</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超净工作台</w:t>
            </w:r>
          </w:p>
        </w:tc>
        <w:tc>
          <w:tcPr>
            <w:tcW w:w="7229" w:type="dxa"/>
            <w:tcBorders>
              <w:top w:val="nil"/>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 xml:space="preserve"> 1.操作面需采用10°倾角设计，减轻操作者压迫感。工作区两侧大玻璃窗，内外通透，美观大方，使用舒适。万向轴承脚轮挪动轻便。</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2.垂直层流设计，整机带洁净风循环，滑动前窗和台面接触位置须有吸入风口， 整体304不锈钢台面；减轻操作者吹拂感同时科学延长过滤器寿命。</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3.整体采用全钢、框架结构形式，内壁、内顶板无缝隙、无螺丝，没有藏菌死角，外表面无铅无毒，绿色环保。</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4.具备6段风机调压调速器配合LED条段指示器，操控简洁方便。</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5.采用超薄型无隔板HEPA过滤器，整机小几何尺度设计更易狭小空间使用。</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6.须重力平衡式滑动前窗，当出现故障时也不会扎伤操作者手臂，升降平稳可随意定位，可杜绝长期使用的卡顿松动等问题。</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7.粗效过滤器可更换，延长高效过滤器寿命。</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8.工作区尺寸（mm）宽×深×高: ≥920×680×700  </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9.外形尺寸（mm）宽×深×高:≤ 1100×750×1950 </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10.内部配置：</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荧光灯规格数量 20W×1  紫外灯规格数量 20W×1</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11.光 照 度（lux）: ≥400</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12.洁净等级 :100级（@≥0.5μm 美联邦209E）</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13.过滤效率 :工作区内每1升空气中直径≥0.5μm的尘埃粒子≤3.5个/升</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14.平均风速（m/s）: ≥0.25~0.60</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15.噪    音:（dBA） ≤62</w:t>
            </w:r>
          </w:p>
        </w:tc>
        <w:tc>
          <w:tcPr>
            <w:tcW w:w="567" w:type="dxa"/>
            <w:tcBorders>
              <w:top w:val="nil"/>
              <w:left w:val="nil"/>
              <w:bottom w:val="single" w:color="auto" w:sz="4" w:space="0"/>
              <w:right w:val="single" w:color="auto" w:sz="4" w:space="0"/>
            </w:tcBorders>
            <w:noWrap/>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14</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超声波清洗</w:t>
            </w:r>
          </w:p>
        </w:tc>
        <w:tc>
          <w:tcPr>
            <w:tcW w:w="7229" w:type="dxa"/>
            <w:tcBorders>
              <w:top w:val="nil"/>
              <w:left w:val="nil"/>
              <w:bottom w:val="single" w:color="auto" w:sz="4" w:space="0"/>
              <w:right w:val="single" w:color="auto" w:sz="4" w:space="0"/>
            </w:tcBorders>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1.容量：≥38L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2.内槽尺寸：≥500*300*250mm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3.超声波功率：0-720W可调</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4.温度设置：RT-80</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5.时间设置：0-99小时/常开模式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6.超声波频率：40KHz</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7.加热功率：≥1000W</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8.电压：110/220V</w:t>
            </w:r>
          </w:p>
        </w:tc>
        <w:tc>
          <w:tcPr>
            <w:tcW w:w="567" w:type="dxa"/>
            <w:tcBorders>
              <w:top w:val="nil"/>
              <w:left w:val="nil"/>
              <w:bottom w:val="single" w:color="auto" w:sz="4" w:space="0"/>
              <w:right w:val="single" w:color="auto" w:sz="4" w:space="0"/>
            </w:tcBorders>
            <w:noWrap/>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15</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免疫沉淀用磁力架</w:t>
            </w:r>
          </w:p>
        </w:tc>
        <w:tc>
          <w:tcPr>
            <w:tcW w:w="7229" w:type="dxa"/>
            <w:tcBorders>
              <w:top w:val="nil"/>
              <w:left w:val="nil"/>
              <w:bottom w:val="single" w:color="auto" w:sz="4" w:space="0"/>
              <w:right w:val="single" w:color="auto" w:sz="4" w:space="0"/>
            </w:tcBorders>
            <w:noWrap/>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1.规格（mm）：≥150×50×50</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2.孔径：≥10.7 mm   适用于1.5ml或2.0ml离心管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3.最优工作体积：10-2000ul</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 xml:space="preserve"> 4.符合大部分国产离心管。</w:t>
            </w:r>
          </w:p>
        </w:tc>
        <w:tc>
          <w:tcPr>
            <w:tcW w:w="567" w:type="dxa"/>
            <w:tcBorders>
              <w:top w:val="nil"/>
              <w:left w:val="nil"/>
              <w:bottom w:val="single" w:color="auto" w:sz="4" w:space="0"/>
              <w:right w:val="single" w:color="auto" w:sz="4" w:space="0"/>
            </w:tcBorders>
            <w:noWrap/>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16</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生物安全柜</w:t>
            </w:r>
          </w:p>
        </w:tc>
        <w:tc>
          <w:tcPr>
            <w:tcW w:w="7229" w:type="dxa"/>
            <w:tcBorders>
              <w:top w:val="nil"/>
              <w:left w:val="nil"/>
              <w:bottom w:val="single" w:color="auto" w:sz="4" w:space="0"/>
              <w:right w:val="single" w:color="auto" w:sz="4" w:space="0"/>
            </w:tcBorders>
            <w:noWrap/>
            <w:vAlign w:val="center"/>
          </w:tcPr>
          <w:p>
            <w:pPr>
              <w:rPr>
                <w:rFonts w:ascii="宋体" w:hAnsi="宋体" w:cs="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1.气流模式：30%外排</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2.过滤器：采用ULPA Filter技术，对0.1-0.2um的尘埃粒子过滤效率不低于99.9995%以上。</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3.风速：流入气流平均风速：＞0.55m/s      下降气流平均风速： 0.25 -0.55m/s</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4.噪音：≤62dB（A）</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5.振动半峰值：≤4μm( rms)</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6.光照度：≥1000Lux</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*7.工作区尺寸（长*宽*高）：≥1220×600×680mm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8.前窗：使用光学透视清晰、清洁和消毒时不对其产生负面影响的防爆裂钢化玻璃、强化玻璃制作，玻璃厚度≥5mm。</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9.柜体结构：四面双层结构，操作区三面侧壁板一体成型结构，所有工作室内表面和集液槽均使用304#不锈钢，台面吸入口搁手位须具有符合人体工程学及增强空气动力的斜面圆弧设计，可以在不使用搁手架的情况下提供较高的舒适度，同时不遮挡吸入口，增强吸入风量。</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10.报警保护系统：安全柜前窗开启高度超过设定的高度时，安全柜下降气流流速和流入气流流速波动超过其标称值20%时，联锁系统启动中文语音及光电警告，且能根据不同情况发出不同中文语音警告，让使用者能第一时间接收并分辨警告类型，做出相应安全举措。</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11.操作口高度：前窗采用配重平衡方式，200mm工作高度，超过安全位置±5mm具有高精度限位声、光、中文语音同时报警提示。</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12.显示：彩色液晶显示器，能同时显示全面的信息，至少须要具备 吸入风速、下降风速过滤器寿命、风机、杀菌、照明及时间的同时显示。具有预约杀菌与杀菌定时功能，具有照明灯、杀菌灯、风机累计运行时间纪录，标配遥控器遥控控制风机、照明灯、杀菌灯、前视窗升降功能。</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13.前视窗定位：须具备手动、电动二合一升降前窗，可随意定位，配备脚踏遥控控制器，能有效防止手动接触玻璃门造成的二次污染，杜绝误操作，在保障实验人员的安全同时玻璃门配置手动开合托手，也可以在停电状态下手动进行开合，操作自由轻松。</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14.实验操作：10°倾角操作面，减轻操作者压迫感，具有坐姿可观察压差表、可调安全门高度、可控制柜内电源等设计。</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15.简便的可维护性：内胆、集水盘均采用304#不锈钢材料，内胆一次成型，R15圆弧处理。</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16.双重安全监控警告：警告系统不但具备电子信号侦测报警系统，也同时具备坐姿可观察的机械压差表实时监控，给予实验人员双重保障。</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17.风机：采用超微压差风速传感器，变频控制技术，高精度全自动调节气流的流速，科学延长过滤器寿命。</w:t>
            </w:r>
            <w:r>
              <w:rPr>
                <w:rFonts w:hint="eastAsia"/>
                <w:color w:val="000000" w:themeColor="text1"/>
                <w:sz w:val="22"/>
                <w:szCs w:val="22"/>
                <w:highlight w:val="none"/>
                <w14:textFill>
                  <w14:solidFill>
                    <w14:schemeClr w14:val="tx1"/>
                  </w14:solidFill>
                </w14:textFill>
              </w:rPr>
              <w:br w:type="textWrapping"/>
            </w:r>
            <w:r>
              <w:rPr>
                <w:rFonts w:hint="eastAsia"/>
                <w:color w:val="000000" w:themeColor="text1"/>
                <w:sz w:val="22"/>
                <w:szCs w:val="22"/>
                <w:highlight w:val="none"/>
                <w14:textFill>
                  <w14:solidFill>
                    <w14:schemeClr w14:val="tx1"/>
                  </w14:solidFill>
                </w14:textFill>
              </w:rPr>
              <w:t>18.具有断电恢复功能，可以记录上次关机前的系统状态，在重新上电后，安全柜可以按上次纪录的运行状态继 续运转。</w:t>
            </w:r>
          </w:p>
        </w:tc>
        <w:tc>
          <w:tcPr>
            <w:tcW w:w="567" w:type="dxa"/>
            <w:tcBorders>
              <w:top w:val="nil"/>
              <w:left w:val="nil"/>
              <w:bottom w:val="single" w:color="auto" w:sz="4" w:space="0"/>
              <w:right w:val="single" w:color="auto" w:sz="4" w:space="0"/>
            </w:tcBorders>
            <w:noWrap/>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noWrap/>
            <w:vAlign w:val="center"/>
          </w:tcPr>
          <w:p>
            <w:pPr>
              <w:widowControl/>
              <w:jc w:val="center"/>
              <w:rPr>
                <w:rFonts w:hint="eastAsia"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台</w:t>
            </w:r>
          </w:p>
        </w:tc>
      </w:tr>
    </w:tbl>
    <w:p>
      <w:pPr>
        <w:tabs>
          <w:tab w:val="left" w:pos="720"/>
        </w:tabs>
        <w:rPr>
          <w:rFonts w:ascii="黑体" w:hAnsi="黑体"/>
          <w:b/>
          <w:color w:val="000000" w:themeColor="text1"/>
          <w:sz w:val="44"/>
          <w:szCs w:val="44"/>
          <w:highlight w:val="none"/>
          <w14:textFill>
            <w14:solidFill>
              <w14:schemeClr w14:val="tx1"/>
            </w14:solidFill>
          </w14:textFill>
        </w:rPr>
      </w:pPr>
    </w:p>
    <w:p>
      <w:pPr>
        <w:tabs>
          <w:tab w:val="left" w:pos="720"/>
        </w:tabs>
        <w:rPr>
          <w:rFonts w:hint="eastAsia" w:ascii="黑体" w:hAnsi="黑体"/>
          <w:b/>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rPr>
          <w:rFonts w:hint="eastAsia" w:ascii="黑体" w:hAnsi="黑体"/>
          <w:b w:val="0"/>
          <w:color w:val="000000" w:themeColor="text1"/>
          <w:sz w:val="44"/>
          <w:szCs w:val="44"/>
          <w:highlight w:val="none"/>
          <w14:textFill>
            <w14:solidFill>
              <w14:schemeClr w14:val="tx1"/>
            </w14:solidFill>
          </w14:textFill>
        </w:rPr>
      </w:pPr>
      <w:r>
        <w:rPr>
          <w:rFonts w:hint="eastAsia" w:ascii="黑体" w:hAnsi="黑体"/>
          <w:b w:val="0"/>
          <w:color w:val="000000" w:themeColor="text1"/>
          <w:sz w:val="44"/>
          <w:szCs w:val="44"/>
          <w:highlight w:val="none"/>
          <w14:textFill>
            <w14:solidFill>
              <w14:schemeClr w14:val="tx1"/>
            </w14:solidFill>
          </w14:textFill>
        </w:rPr>
        <w:br w:type="page"/>
      </w: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bookmarkStart w:id="57" w:name="_Toc14343"/>
      <w:r>
        <w:rPr>
          <w:rFonts w:hint="eastAsia" w:ascii="黑体" w:hAnsi="黑体"/>
          <w:b w:val="0"/>
          <w:color w:val="000000" w:themeColor="text1"/>
          <w:sz w:val="44"/>
          <w:szCs w:val="44"/>
          <w:highlight w:val="none"/>
          <w14:textFill>
            <w14:solidFill>
              <w14:schemeClr w14:val="tx1"/>
            </w14:solidFill>
          </w14:textFill>
        </w:rPr>
        <w:t>第四篇</w:t>
      </w:r>
      <w:r>
        <w:rPr>
          <w:rFonts w:ascii="黑体" w:hAnsi="黑体"/>
          <w:b w:val="0"/>
          <w:color w:val="000000" w:themeColor="text1"/>
          <w:sz w:val="44"/>
          <w:szCs w:val="44"/>
          <w:highlight w:val="none"/>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谈判项目服务需求</w:t>
      </w:r>
      <w:bookmarkEnd w:id="57"/>
    </w:p>
    <w:bookmarkEnd w:id="50"/>
    <w:p>
      <w:pPr>
        <w:jc w:val="center"/>
        <w:rPr>
          <w:color w:val="000000" w:themeColor="text1"/>
          <w:highlight w:val="none"/>
          <w14:textFill>
            <w14:solidFill>
              <w14:schemeClr w14:val="tx1"/>
            </w14:solidFill>
          </w14:textFill>
        </w:rPr>
      </w:pPr>
    </w:p>
    <w:p>
      <w:pPr>
        <w:pStyle w:val="4"/>
        <w:spacing w:before="0" w:after="0" w:line="560" w:lineRule="exact"/>
        <w:ind w:firstLine="560" w:firstLineChars="200"/>
        <w:rPr>
          <w:rFonts w:ascii="方正仿宋_GBK" w:hAnsi="宋体" w:eastAsia="方正仿宋_GBK"/>
          <w:b w:val="0"/>
          <w:color w:val="000000" w:themeColor="text1"/>
          <w:sz w:val="28"/>
          <w:szCs w:val="28"/>
          <w:highlight w:val="none"/>
          <w14:textFill>
            <w14:solidFill>
              <w14:schemeClr w14:val="tx1"/>
            </w14:solidFill>
          </w14:textFill>
        </w:rPr>
      </w:pPr>
      <w:bookmarkStart w:id="58" w:name="_Toc17796"/>
      <w:bookmarkStart w:id="59" w:name="_Toc344475120"/>
      <w:bookmarkStart w:id="60" w:name="_Toc535312153"/>
      <w:bookmarkStart w:id="61" w:name="_Toc11641055"/>
      <w:bookmarkStart w:id="62" w:name="_Toc12789059"/>
      <w:r>
        <w:rPr>
          <w:rFonts w:hint="eastAsia" w:ascii="方正仿宋_GBK" w:hAnsi="宋体" w:eastAsia="方正仿宋_GBK"/>
          <w:b w:val="0"/>
          <w:color w:val="000000" w:themeColor="text1"/>
          <w:sz w:val="28"/>
          <w:szCs w:val="28"/>
          <w:highlight w:val="none"/>
          <w14:textFill>
            <w14:solidFill>
              <w14:schemeClr w14:val="tx1"/>
            </w14:solidFill>
          </w14:textFill>
        </w:rPr>
        <w:t>一、交货时间、地点及验收方式</w:t>
      </w:r>
      <w:bookmarkEnd w:id="58"/>
      <w:bookmarkEnd w:id="59"/>
      <w:bookmarkEnd w:id="60"/>
    </w:p>
    <w:p>
      <w:pPr>
        <w:pStyle w:val="33"/>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（一）交货时间</w:t>
      </w:r>
    </w:p>
    <w:p>
      <w:pPr>
        <w:pStyle w:val="33"/>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中标人应在发布中标通知后</w:t>
      </w:r>
      <w:r>
        <w:rPr>
          <w:rFonts w:ascii="方正仿宋_GBK" w:hAnsi="宋体" w:eastAsia="方正仿宋_GBK"/>
          <w:color w:val="000000" w:themeColor="text1"/>
          <w:szCs w:val="28"/>
          <w:highlight w:val="none"/>
          <w14:textFill>
            <w14:solidFill>
              <w14:schemeClr w14:val="tx1"/>
            </w14:solidFill>
          </w14:textFill>
        </w:rPr>
        <w:t>30</w:t>
      </w:r>
      <w:r>
        <w:rPr>
          <w:rFonts w:hint="eastAsia" w:ascii="方正仿宋_GBK" w:hAnsi="宋体" w:eastAsia="方正仿宋_GBK"/>
          <w:color w:val="000000" w:themeColor="text1"/>
          <w:szCs w:val="28"/>
          <w:highlight w:val="none"/>
          <w14:textFill>
            <w14:solidFill>
              <w14:schemeClr w14:val="tx1"/>
            </w14:solidFill>
          </w14:textFill>
        </w:rPr>
        <w:t>个日历日内交货</w:t>
      </w:r>
      <w:r>
        <w:rPr>
          <w:rFonts w:hint="eastAsia" w:ascii="方正仿宋_GBK" w:hAnsi="宋体" w:eastAsia="方正仿宋_GBK"/>
          <w:color w:val="000000" w:themeColor="text1"/>
          <w:szCs w:val="28"/>
          <w:highlight w:val="none"/>
          <w14:textFill>
            <w14:solidFill>
              <w14:schemeClr w14:val="tx1"/>
            </w14:solidFill>
          </w14:textFill>
        </w:rPr>
        <w:t>，并完成安装调试。</w:t>
      </w:r>
    </w:p>
    <w:p>
      <w:pPr>
        <w:pStyle w:val="33"/>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（二）交货地点</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交货地点：重庆医科大学，采购人指定地点。</w:t>
      </w:r>
    </w:p>
    <w:p>
      <w:pPr>
        <w:pStyle w:val="33"/>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（三）验收方式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货物到达现场后，供应商应经采购人或其指定验收单位清点品名、规格、数量；检查外观，作出验收记录，双方签字确认。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供应商应保证货物到达用户所在地完好无损，如有缺漏、损坏，由供应商负责调换、补齐或赔偿。</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供应商应提供完备的技术资料、装箱单和合格证等，并派遣专业技术人员进行现场安装调试。验收合格条件如下：</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3.1</w:t>
      </w:r>
      <w:r>
        <w:rPr>
          <w:rFonts w:hint="eastAsia" w:ascii="方正仿宋_GBK" w:eastAsia="方正仿宋_GBK"/>
          <w:color w:val="000000" w:themeColor="text1"/>
          <w:szCs w:val="28"/>
          <w:highlight w:val="none"/>
          <w14:textFill>
            <w14:solidFill>
              <w14:schemeClr w14:val="tx1"/>
            </w14:solidFill>
          </w14:textFill>
        </w:rPr>
        <w:t>设备品种、规格、数量、技术参数以及商品品牌、制造商等与采购合同一致，性能指标达到规定的标准。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w:t>
      </w:r>
      <w:r>
        <w:rPr>
          <w:rFonts w:hint="eastAsia" w:ascii="方正仿宋_GBK" w:eastAsia="方正仿宋_GBK"/>
          <w:color w:val="000000" w:themeColor="text1"/>
          <w:szCs w:val="28"/>
          <w:highlight w:val="none"/>
          <w14:textFill>
            <w14:solidFill>
              <w14:schemeClr w14:val="tx1"/>
            </w14:solidFill>
          </w14:textFill>
        </w:rPr>
        <w:t>货物技术资料、装箱单、合格证等资料齐全。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3.3</w:t>
      </w:r>
      <w:r>
        <w:rPr>
          <w:rFonts w:hint="eastAsia" w:ascii="方正仿宋_GBK" w:eastAsia="方正仿宋_GBK"/>
          <w:color w:val="000000" w:themeColor="text1"/>
          <w:szCs w:val="28"/>
          <w:highlight w:val="none"/>
          <w14:textFill>
            <w14:solidFill>
              <w14:schemeClr w14:val="tx1"/>
            </w14:solidFill>
          </w14:textFill>
        </w:rPr>
        <w:t>在规定时间内完成交货并验收，并经采购人确认。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供应商提供的货物未达到竞争性谈判规定要求，且对采购人造成损失的，由供应商承担一切责任，并赔偿所造成的损失。</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大型或者复杂的政府采购产品项目，采购人可邀请国家认可的质量检测机构参加验收工作。</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采购人需要制造商对成交供应商交付的产品（包括质量、技术参数等）进行确认的，制造商应予以配合，并出具书面意见。</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产品包装材料归采购人所有。</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3" w:name="_Toc344475121"/>
      <w:bookmarkStart w:id="64" w:name="_Toc19250"/>
      <w:r>
        <w:rPr>
          <w:rFonts w:hint="eastAsia" w:ascii="方正仿宋_GBK" w:eastAsia="方正仿宋_GBK"/>
          <w:b w:val="0"/>
          <w:color w:val="000000" w:themeColor="text1"/>
          <w:sz w:val="28"/>
          <w:szCs w:val="28"/>
          <w:highlight w:val="none"/>
          <w14:textFill>
            <w14:solidFill>
              <w14:schemeClr w14:val="tx1"/>
            </w14:solidFill>
          </w14:textFill>
        </w:rPr>
        <w:t>二、质量保证及售后服务</w:t>
      </w:r>
      <w:bookmarkEnd w:id="63"/>
      <w:bookmarkEnd w:id="64"/>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（一）产品质量保证期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自合同签订之日起，提供</w:t>
      </w:r>
      <w:r>
        <w:rPr>
          <w:rFonts w:hint="eastAsia" w:ascii="方正仿宋_GBK" w:eastAsia="方正仿宋_GBK"/>
          <w:color w:val="000000" w:themeColor="text1"/>
          <w:szCs w:val="28"/>
          <w:highlight w:val="none"/>
          <w14:textFill>
            <w14:solidFill>
              <w14:schemeClr w14:val="tx1"/>
            </w14:solidFill>
          </w14:textFill>
        </w:rPr>
        <w:t>壹</w:t>
      </w:r>
      <w:r>
        <w:rPr>
          <w:rFonts w:hint="eastAsia" w:ascii="方正仿宋_GBK" w:eastAsia="方正仿宋_GBK"/>
          <w:color w:val="000000" w:themeColor="text1"/>
          <w:szCs w:val="28"/>
          <w:highlight w:val="none"/>
          <w14:textFill>
            <w14:solidFill>
              <w14:schemeClr w14:val="tx1"/>
            </w14:solidFill>
          </w14:textFill>
        </w:rPr>
        <w:t>年的质保期。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采购货物属于国家规定“三包”范围的，其产品质量保证期不得低于“三包”规定。</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供应商的质量保证期承诺优于国家“三包”规定的，按供应商实际承诺执行。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采购货物由产品制造商（指产品生产制造商以下同）负责标准售后服务，应当在响应文件中予以明确说明，并提供相关文件。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（二）售后服务内容</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供应商和制造商在质量保证期内应当为采购人提供以下技术支持服务：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质量保证期内服务要求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电话咨询</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成交供应商和制造商应当为用户提供技术援助电话，解答用户在使用中遇到的问题，及时为用户提出解决问题的建议。</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现场响应</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用户遇到使用及技术问题，电话咨询不能解决的，成交供应商或制造商应在接到电话后，</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小时响应，</w:t>
      </w:r>
      <w:r>
        <w:rPr>
          <w:rFonts w:ascii="方正仿宋_GBK" w:hAnsi="宋体" w:eastAsia="方正仿宋_GBK"/>
          <w:color w:val="000000" w:themeColor="text1"/>
          <w:szCs w:val="28"/>
          <w:highlight w:val="none"/>
          <w14:textFill>
            <w14:solidFill>
              <w14:schemeClr w14:val="tx1"/>
            </w14:solidFill>
          </w14:textFill>
        </w:rPr>
        <w:t>12</w:t>
      </w:r>
      <w:r>
        <w:rPr>
          <w:rFonts w:hint="eastAsia" w:ascii="方正仿宋_GBK" w:hAnsi="宋体" w:eastAsia="方正仿宋_GBK"/>
          <w:color w:val="000000" w:themeColor="text1"/>
          <w:szCs w:val="28"/>
          <w:highlight w:val="none"/>
          <w14:textFill>
            <w14:solidFill>
              <w14:schemeClr w14:val="tx1"/>
            </w14:solidFill>
          </w14:textFill>
        </w:rPr>
        <w:t>小时内到位，重大紧急情况</w:t>
      </w:r>
      <w:r>
        <w:rPr>
          <w:rFonts w:ascii="方正仿宋_GBK" w:hAnsi="宋体" w:eastAsia="方正仿宋_GBK"/>
          <w:color w:val="000000" w:themeColor="text1"/>
          <w:szCs w:val="28"/>
          <w:highlight w:val="none"/>
          <w14:textFill>
            <w14:solidFill>
              <w14:schemeClr w14:val="tx1"/>
            </w14:solidFill>
          </w14:textFill>
        </w:rPr>
        <w:t>3</w:t>
      </w:r>
      <w:r>
        <w:rPr>
          <w:rFonts w:hint="eastAsia" w:ascii="方正仿宋_GBK" w:hAnsi="宋体" w:eastAsia="方正仿宋_GBK"/>
          <w:color w:val="000000" w:themeColor="text1"/>
          <w:szCs w:val="28"/>
          <w:highlight w:val="none"/>
          <w14:textFill>
            <w14:solidFill>
              <w14:schemeClr w14:val="tx1"/>
            </w14:solidFill>
          </w14:textFill>
        </w:rPr>
        <w:t>小时内应到位，及时提供技术支持，保障设备正常运行。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1.3</w:t>
      </w:r>
      <w:r>
        <w:rPr>
          <w:rFonts w:hint="eastAsia" w:ascii="方正仿宋_GBK" w:eastAsia="方正仿宋_GBK"/>
          <w:color w:val="000000" w:themeColor="text1"/>
          <w:szCs w:val="28"/>
          <w:highlight w:val="none"/>
          <w14:textFill>
            <w14:solidFill>
              <w14:schemeClr w14:val="tx1"/>
            </w14:solidFill>
          </w14:textFill>
        </w:rPr>
        <w:t>技术升级</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质保期外服务要求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2.1</w:t>
      </w:r>
      <w:r>
        <w:rPr>
          <w:rFonts w:hint="eastAsia" w:ascii="方正仿宋_GBK" w:eastAsia="方正仿宋_GBK"/>
          <w:color w:val="000000" w:themeColor="text1"/>
          <w:szCs w:val="28"/>
          <w:highlight w:val="none"/>
          <w14:textFill>
            <w14:solidFill>
              <w14:schemeClr w14:val="tx1"/>
            </w14:solidFill>
          </w14:textFill>
        </w:rPr>
        <w:t>质量保证期过后，成交供应商和制造商应同样提供免费电话咨询服务，并应承诺提供产品上门维护服务。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2.2</w:t>
      </w:r>
      <w:r>
        <w:rPr>
          <w:rFonts w:hint="eastAsia" w:ascii="方正仿宋_GBK" w:eastAsia="方正仿宋_GBK"/>
          <w:color w:val="000000" w:themeColor="text1"/>
          <w:szCs w:val="28"/>
          <w:highlight w:val="none"/>
          <w14:textFill>
            <w14:solidFill>
              <w14:schemeClr w14:val="tx1"/>
            </w14:solidFill>
          </w14:textFill>
        </w:rPr>
        <w:t>质量保证期过后，采购人需要继续由原成交供应商和制造商提供售后服务的，成交供应商和制造商应以优惠价格提供售后服务。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（三）故障响应时间要求</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供应商接到使用方产品出现问题的通知后，</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小时响应，</w:t>
      </w:r>
      <w:r>
        <w:rPr>
          <w:rFonts w:ascii="方正仿宋_GBK" w:hAnsi="宋体" w:eastAsia="方正仿宋_GBK"/>
          <w:color w:val="000000" w:themeColor="text1"/>
          <w:szCs w:val="28"/>
          <w:highlight w:val="none"/>
          <w14:textFill>
            <w14:solidFill>
              <w14:schemeClr w14:val="tx1"/>
            </w14:solidFill>
          </w14:textFill>
        </w:rPr>
        <w:t>12</w:t>
      </w:r>
      <w:r>
        <w:rPr>
          <w:rFonts w:hint="eastAsia" w:ascii="方正仿宋_GBK" w:hAnsi="宋体" w:eastAsia="方正仿宋_GBK"/>
          <w:color w:val="000000" w:themeColor="text1"/>
          <w:szCs w:val="28"/>
          <w:highlight w:val="none"/>
          <w14:textFill>
            <w14:solidFill>
              <w14:schemeClr w14:val="tx1"/>
            </w14:solidFill>
          </w14:textFill>
        </w:rPr>
        <w:t>小时内到位，重大紧急情况</w:t>
      </w:r>
      <w:r>
        <w:rPr>
          <w:rFonts w:ascii="方正仿宋_GBK" w:hAnsi="宋体" w:eastAsia="方正仿宋_GBK"/>
          <w:color w:val="000000" w:themeColor="text1"/>
          <w:szCs w:val="28"/>
          <w:highlight w:val="none"/>
          <w14:textFill>
            <w14:solidFill>
              <w14:schemeClr w14:val="tx1"/>
            </w14:solidFill>
          </w14:textFill>
        </w:rPr>
        <w:t>3</w:t>
      </w:r>
      <w:r>
        <w:rPr>
          <w:rFonts w:hint="eastAsia" w:ascii="方正仿宋_GBK" w:hAnsi="宋体" w:eastAsia="方正仿宋_GBK"/>
          <w:color w:val="000000" w:themeColor="text1"/>
          <w:szCs w:val="28"/>
          <w:highlight w:val="none"/>
          <w14:textFill>
            <w14:solidFill>
              <w14:schemeClr w14:val="tx1"/>
            </w14:solidFill>
          </w14:textFill>
        </w:rPr>
        <w:t>小时内应到位，及时排除故障，保障设备安全运行。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（四）维修配件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成交供应商或制造商应提供备品备件，保证用户应急所需。使用的维修零配件应为原厂配件，未经用户同意不得使用非原厂配件。</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5" w:name="_Toc995"/>
      <w:bookmarkStart w:id="66" w:name="_Toc344475122"/>
      <w:r>
        <w:rPr>
          <w:rFonts w:hint="eastAsia" w:ascii="方正仿宋_GBK" w:eastAsia="方正仿宋_GBK"/>
          <w:b w:val="0"/>
          <w:color w:val="000000" w:themeColor="text1"/>
          <w:sz w:val="28"/>
          <w:szCs w:val="28"/>
          <w:highlight w:val="none"/>
          <w14:textFill>
            <w14:solidFill>
              <w14:schemeClr w14:val="tx1"/>
            </w14:solidFill>
          </w14:textFill>
        </w:rPr>
        <w:t>三、报价要求</w:t>
      </w:r>
      <w:bookmarkEnd w:id="65"/>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谈判报价</w:t>
      </w:r>
      <w:r>
        <w:rPr>
          <w:rFonts w:hint="eastAsia" w:ascii="方正仿宋_GBK" w:eastAsia="方正仿宋_GBK" w:cs="宋体"/>
          <w:color w:val="000000" w:themeColor="text1"/>
          <w:kern w:val="0"/>
          <w:szCs w:val="28"/>
          <w:highlight w:val="none"/>
          <w14:textFill>
            <w14:solidFill>
              <w14:schemeClr w14:val="tx1"/>
            </w14:solidFill>
          </w14:textFill>
        </w:rPr>
        <w:t>须为人民币报价</w:t>
      </w:r>
      <w:r>
        <w:rPr>
          <w:rFonts w:hint="eastAsia" w:ascii="方正仿宋_GBK" w:eastAsia="方正仿宋_GBK"/>
          <w:color w:val="000000" w:themeColor="text1"/>
          <w:szCs w:val="28"/>
          <w:highlight w:val="none"/>
          <w14:textFill>
            <w14:solidFill>
              <w14:schemeClr w14:val="tx1"/>
            </w14:solidFill>
          </w14:textFill>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四、付款方式</w:t>
      </w:r>
      <w:bookmarkEnd w:id="66"/>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bookmarkStart w:id="67" w:name="_Toc344475123"/>
      <w:r>
        <w:rPr>
          <w:rFonts w:hint="eastAsia" w:ascii="方正仿宋_GBK" w:eastAsia="方正仿宋_GBK"/>
          <w:color w:val="000000" w:themeColor="text1"/>
          <w:szCs w:val="28"/>
          <w:highlight w:val="none"/>
          <w14:textFill>
            <w14:solidFill>
              <w14:schemeClr w14:val="tx1"/>
            </w14:solidFill>
          </w14:textFill>
        </w:rPr>
        <w:t>（一）合同签订前，中标人向采购人缴纳合同金额</w:t>
      </w: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的履约保证金；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（二）中标人按合同约定交货，经验收合格后，采购人出具项目验收报告；</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（三）中标人向采购人开具发票，采购人以转账方式向中标人支付合同全款。</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（四）履约保证金在质保期届满后，无廉政、无质量及售后服务问题时，无息退还。</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8" w:name="_Toc16401"/>
      <w:r>
        <w:rPr>
          <w:rFonts w:hint="eastAsia" w:ascii="方正仿宋_GBK" w:eastAsia="方正仿宋_GBK"/>
          <w:b w:val="0"/>
          <w:color w:val="000000" w:themeColor="text1"/>
          <w:sz w:val="28"/>
          <w:szCs w:val="28"/>
          <w:highlight w:val="none"/>
          <w14:textFill>
            <w14:solidFill>
              <w14:schemeClr w14:val="tx1"/>
            </w14:solidFill>
          </w14:textFill>
        </w:rPr>
        <w:t>五、知识产权</w:t>
      </w:r>
      <w:bookmarkEnd w:id="67"/>
      <w:bookmarkEnd w:id="68"/>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注：（若涉及软件开发等服务类项目知识产权的，知识产权归采购人所有）。</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9" w:name="_Toc344475124"/>
      <w:bookmarkStart w:id="70" w:name="_Toc20084"/>
      <w:r>
        <w:rPr>
          <w:rFonts w:hint="eastAsia" w:ascii="方正仿宋_GBK" w:eastAsia="方正仿宋_GBK"/>
          <w:b w:val="0"/>
          <w:color w:val="000000" w:themeColor="text1"/>
          <w:sz w:val="28"/>
          <w:szCs w:val="28"/>
          <w:highlight w:val="none"/>
          <w14:textFill>
            <w14:solidFill>
              <w14:schemeClr w14:val="tx1"/>
            </w14:solidFill>
          </w14:textFill>
        </w:rPr>
        <w:t>六、培训</w:t>
      </w:r>
      <w:bookmarkEnd w:id="69"/>
      <w:bookmarkEnd w:id="70"/>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成交供应商须提供对设备的操作培训，使相关使用人员能够正常操作相关设备。</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71" w:name="_Toc14714"/>
      <w:r>
        <w:rPr>
          <w:rFonts w:hint="eastAsia" w:ascii="方正仿宋_GBK" w:eastAsia="方正仿宋_GBK"/>
          <w:b w:val="0"/>
          <w:color w:val="000000" w:themeColor="text1"/>
          <w:sz w:val="28"/>
          <w:szCs w:val="28"/>
          <w:highlight w:val="none"/>
          <w14:textFill>
            <w14:solidFill>
              <w14:schemeClr w14:val="tx1"/>
            </w14:solidFill>
          </w14:textFill>
        </w:rPr>
        <w:t>七、</w:t>
      </w:r>
      <w:bookmarkStart w:id="72" w:name="_Toc344475125"/>
      <w:r>
        <w:rPr>
          <w:rFonts w:hint="eastAsia" w:ascii="方正仿宋_GBK" w:eastAsia="方正仿宋_GBK"/>
          <w:b w:val="0"/>
          <w:color w:val="000000" w:themeColor="text1"/>
          <w:sz w:val="28"/>
          <w:szCs w:val="28"/>
          <w:highlight w:val="none"/>
          <w14:textFill>
            <w14:solidFill>
              <w14:schemeClr w14:val="tx1"/>
            </w14:solidFill>
          </w14:textFill>
        </w:rPr>
        <w:t>其他</w:t>
      </w:r>
      <w:bookmarkEnd w:id="71"/>
    </w:p>
    <w:bookmarkEnd w:id="72"/>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（一）供应商必须在响应文件中对以上条款和服务承诺明确列出，承诺内容必须达到本篇及竞争性谈判其他条款的要求。</w:t>
      </w:r>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（二）其他未尽事宜由供需双方在采购合同中详细约定。</w:t>
      </w: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r>
        <w:rPr>
          <w:rFonts w:ascii="方正仿宋_GBK" w:hAnsi="宋体" w:eastAsia="方正仿宋_GBK"/>
          <w:b w:val="0"/>
          <w:color w:val="000000" w:themeColor="text1"/>
          <w:sz w:val="28"/>
          <w:szCs w:val="28"/>
          <w:highlight w:val="none"/>
          <w14:textFill>
            <w14:solidFill>
              <w14:schemeClr w14:val="tx1"/>
            </w14:solidFill>
          </w14:textFill>
        </w:rPr>
        <w:br w:type="page"/>
      </w:r>
      <w:bookmarkStart w:id="73" w:name="_Toc22793"/>
      <w:r>
        <w:rPr>
          <w:rFonts w:hint="eastAsia" w:ascii="黑体" w:hAnsi="黑体"/>
          <w:b w:val="0"/>
          <w:color w:val="000000" w:themeColor="text1"/>
          <w:sz w:val="44"/>
          <w:szCs w:val="44"/>
          <w:highlight w:val="none"/>
          <w14:textFill>
            <w14:solidFill>
              <w14:schemeClr w14:val="tx1"/>
            </w14:solidFill>
          </w14:textFill>
        </w:rPr>
        <w:t>第五篇</w:t>
      </w:r>
      <w:r>
        <w:rPr>
          <w:rFonts w:ascii="黑体" w:hAnsi="黑体"/>
          <w:b w:val="0"/>
          <w:color w:val="000000" w:themeColor="text1"/>
          <w:sz w:val="44"/>
          <w:szCs w:val="44"/>
          <w:highlight w:val="none"/>
          <w14:textFill>
            <w14:solidFill>
              <w14:schemeClr w14:val="tx1"/>
            </w14:solidFill>
          </w14:textFill>
        </w:rPr>
        <w:t xml:space="preserve">  </w:t>
      </w:r>
      <w:bookmarkEnd w:id="61"/>
      <w:bookmarkEnd w:id="62"/>
      <w:r>
        <w:rPr>
          <w:rFonts w:hint="eastAsia" w:ascii="黑体" w:hAnsi="黑体"/>
          <w:b w:val="0"/>
          <w:color w:val="000000" w:themeColor="text1"/>
          <w:sz w:val="44"/>
          <w:szCs w:val="44"/>
          <w:highlight w:val="none"/>
          <w14:textFill>
            <w14:solidFill>
              <w14:schemeClr w14:val="tx1"/>
            </w14:solidFill>
          </w14:textFill>
        </w:rPr>
        <w:t>合同草案条款</w:t>
      </w:r>
      <w:bookmarkEnd w:id="73"/>
    </w:p>
    <w:p>
      <w:pPr>
        <w:snapToGrid w:val="0"/>
        <w:spacing w:line="560" w:lineRule="exact"/>
        <w:ind w:firstLine="420" w:firstLineChars="150"/>
        <w:rPr>
          <w:rFonts w:ascii="方正仿宋_GBK" w:eastAsia="方正仿宋_GBK"/>
          <w:bCs/>
          <w:color w:val="000000" w:themeColor="text1"/>
          <w:szCs w:val="28"/>
          <w:highlight w:val="none"/>
          <w14:textFill>
            <w14:solidFill>
              <w14:schemeClr w14:val="tx1"/>
            </w14:solidFill>
          </w14:textFill>
        </w:rPr>
      </w:pP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一、定义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（二）乙方（供方）即成交供应商，是指成交后提供合同货物和服务的自然人、法人及其他组织。</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（三）合同是指由甲乙双方按照竞争性谈判文件和响应文件的实质性内容，通过协商一致达成的书面协议。</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（四）合同价格指以成交价格为依据，在供方全面履行合同义务后，需方（或财政部门）应支付给供方的金额。</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（五）技术资料是指合同货物及其相关的设计、制造、监造、检验、验收等文件（包括图纸、各种文字说明、标准）。</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二、货物内容</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合同包括以下内容：货物名称、型号规格、技术参数、数量（单位）等内容。</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三、合同价格</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（一）合同价格即合同总价。</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（三）合同货物单价为不变价。</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四、转包或分包</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（一）本合同范围的货物，应由乙方直接供应，不得转让他人供应；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（二）非经甲方书面同意，乙方不得将本合同范围的货物全部或部分分包给他人供应；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（三）如有转让和未经甲方同意的分包行为，甲方有权解除合同，没收履约保证金并追究乙方的违约责任。</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五、质量保证及售后服务</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（一）乙方应按竞争性谈判文件规定的货物性能、技术要求、质量标准向甲方提供未经使用的全新产品。</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1.</w:t>
      </w:r>
      <w:r>
        <w:rPr>
          <w:rFonts w:hint="eastAsia" w:ascii="方正仿宋_GBK" w:eastAsia="方正仿宋_GBK"/>
          <w:bCs/>
          <w:color w:val="000000" w:themeColor="text1"/>
          <w:szCs w:val="28"/>
          <w:highlight w:val="none"/>
          <w14:textFill>
            <w14:solidFill>
              <w14:schemeClr w14:val="tx1"/>
            </w14:solidFill>
          </w14:textFill>
        </w:rPr>
        <w:t>更换：由乙方承担所发生的全部费用。</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2.</w:t>
      </w:r>
      <w:r>
        <w:rPr>
          <w:rFonts w:hint="eastAsia" w:ascii="方正仿宋_GBK" w:eastAsia="方正仿宋_GBK"/>
          <w:bCs/>
          <w:color w:val="000000" w:themeColor="text1"/>
          <w:szCs w:val="28"/>
          <w:highlight w:val="none"/>
          <w14:textFill>
            <w14:solidFill>
              <w14:schemeClr w14:val="tx1"/>
            </w14:solidFill>
          </w14:textFill>
        </w:rPr>
        <w:t>贬值处理：由甲乙双方合议定价。</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3.</w:t>
      </w:r>
      <w:r>
        <w:rPr>
          <w:rFonts w:hint="eastAsia" w:ascii="方正仿宋_GBK" w:eastAsia="方正仿宋_GBK"/>
          <w:bCs/>
          <w:color w:val="000000" w:themeColor="text1"/>
          <w:szCs w:val="28"/>
          <w:highlight w:val="none"/>
          <w14:textFill>
            <w14:solidFill>
              <w14:schemeClr w14:val="tx1"/>
            </w14:solidFill>
          </w14:textFill>
        </w:rPr>
        <w:t>退货处理：乙方应退还甲方支付的合同款，同时应承担该货物的直接费用（运输、保险、检验、货款利息及银行手续费等）。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（三）如在使用过程中发生质量问题，乙方应同本项目“第四篇</w:t>
      </w:r>
      <w:r>
        <w:rPr>
          <w:rFonts w:ascii="方正仿宋_GBK" w:eastAsia="方正仿宋_GBK"/>
          <w:bCs/>
          <w:color w:val="000000" w:themeColor="text1"/>
          <w:szCs w:val="28"/>
          <w:highlight w:val="none"/>
          <w14:textFill>
            <w14:solidFill>
              <w14:schemeClr w14:val="tx1"/>
            </w14:solidFill>
          </w14:textFill>
        </w:rPr>
        <w:t xml:space="preserve"> </w:t>
      </w:r>
      <w:r>
        <w:rPr>
          <w:rFonts w:hint="eastAsia" w:ascii="方正仿宋_GBK" w:eastAsia="方正仿宋_GBK"/>
          <w:bCs/>
          <w:color w:val="000000" w:themeColor="text1"/>
          <w:szCs w:val="28"/>
          <w:highlight w:val="none"/>
          <w14:textFill>
            <w14:solidFill>
              <w14:schemeClr w14:val="tx1"/>
            </w14:solidFill>
          </w14:textFill>
        </w:rPr>
        <w:t>谈判项目服务需求”对质量保证及售后服务内容的约定。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（四）在质保期内，乙方应对货物出现的质量及安全问题负责处理解决并承担一切费用。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六、付款</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（一）本合同使用货币币制如未作特别说明均为人民币。</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（二）付款方式：银行转账、现金支票。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（三）付款方法：同本项目“第四篇</w:t>
      </w:r>
      <w:r>
        <w:rPr>
          <w:rFonts w:ascii="方正仿宋_GBK" w:eastAsia="方正仿宋_GBK"/>
          <w:bCs/>
          <w:color w:val="000000" w:themeColor="text1"/>
          <w:szCs w:val="28"/>
          <w:highlight w:val="none"/>
          <w14:textFill>
            <w14:solidFill>
              <w14:schemeClr w14:val="tx1"/>
            </w14:solidFill>
          </w14:textFill>
        </w:rPr>
        <w:t xml:space="preserve"> </w:t>
      </w:r>
      <w:r>
        <w:rPr>
          <w:rFonts w:hint="eastAsia" w:ascii="方正仿宋_GBK" w:eastAsia="方正仿宋_GBK"/>
          <w:bCs/>
          <w:color w:val="000000" w:themeColor="text1"/>
          <w:szCs w:val="28"/>
          <w:highlight w:val="none"/>
          <w14:textFill>
            <w14:solidFill>
              <w14:schemeClr w14:val="tx1"/>
            </w14:solidFill>
          </w14:textFill>
        </w:rPr>
        <w:t>谈判项目服务需求”中关于付款方式的约定。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七、检查验收</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（一）供方应随货物提供合格证和质量证明文件，如是国外进口的货物还须提供入关证明。</w:t>
      </w:r>
    </w:p>
    <w:p>
      <w:pPr>
        <w:snapToGrid w:val="0"/>
        <w:spacing w:line="560" w:lineRule="exact"/>
        <w:ind w:firstLine="420" w:firstLineChars="150"/>
        <w:rPr>
          <w:rFonts w:ascii="方正仿宋_GBK" w:eastAsia="方正仿宋_GBK"/>
          <w:bCs/>
          <w:color w:val="000000" w:themeColor="text1"/>
          <w:szCs w:val="28"/>
          <w:highlight w:val="none"/>
          <w14:textFill>
            <w14:solidFill>
              <w14:schemeClr w14:val="tx1"/>
            </w14:solidFill>
          </w14:textFill>
        </w:rPr>
      </w:pP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（二）货物验收</w:t>
      </w:r>
    </w:p>
    <w:p>
      <w:pPr>
        <w:adjustRightInd w:val="0"/>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（三）货物验收报告应由需方、供方经办人签字，并加盖双方公章，以此作为支付凭据。</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八、索赔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（二）根据货物的疵劣和受损程度以及需方遭受损失的金额，经双方同意降低货物价格。</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九、知识产权</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（二）若涉及软件开发等服务类项目知识产权的，知识产权归采购人所有。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十、合同争议的解决</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（一）当事人友好协商达成一致</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（二）在</w:t>
      </w:r>
      <w:r>
        <w:rPr>
          <w:rFonts w:ascii="方正仿宋_GBK" w:eastAsia="方正仿宋_GBK"/>
          <w:bCs/>
          <w:color w:val="000000" w:themeColor="text1"/>
          <w:szCs w:val="28"/>
          <w:highlight w:val="none"/>
          <w14:textFill>
            <w14:solidFill>
              <w14:schemeClr w14:val="tx1"/>
            </w14:solidFill>
          </w14:textFill>
        </w:rPr>
        <w:t>60</w:t>
      </w:r>
      <w:r>
        <w:rPr>
          <w:rFonts w:hint="eastAsia" w:ascii="方正仿宋_GBK" w:eastAsia="方正仿宋_GBK"/>
          <w:bCs/>
          <w:color w:val="000000" w:themeColor="text1"/>
          <w:szCs w:val="28"/>
          <w:highlight w:val="none"/>
          <w14:textFill>
            <w14:solidFill>
              <w14:schemeClr w14:val="tx1"/>
            </w14:solidFill>
          </w14:textFill>
        </w:rPr>
        <w:t>天内当事人协商不能达成协议的，可提请采购人当地仲裁机构仲裁。</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十一、违约责任</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按《中华人民共和国民法典》、《中华人民共和国政府采购法》有关条款，或由供需双方约定。</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十二、合同生效及其它</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（一）合同生效及其效力应符合《中华人民共和国民法典》有关规定。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（二）合同应经当事人法定代表人或委托代理人签字，加盖双方合同专用章或公章。</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（三）合同所包括附件，是合同不可分割的一部分，具有同等法法律效力。</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（四）合同需提供担保的，按《中华人民共和国担保法》规定执行。</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（五）本合同条件未尽事宜依照《中华人民共和国民法典》，由供需双方共同协商确定。</w:t>
      </w:r>
    </w:p>
    <w:p>
      <w:pPr>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sectPr>
          <w:footerReference r:id="rId14" w:type="default"/>
          <w:pgSz w:w="11907" w:h="16840"/>
          <w:pgMar w:top="1134" w:right="1191" w:bottom="1134" w:left="1304" w:header="964" w:footer="992" w:gutter="0"/>
          <w:pgNumType w:fmt="numberInDash"/>
          <w:cols w:space="720" w:num="1"/>
          <w:docGrid w:linePitch="312" w:charSpace="0"/>
        </w:sectPr>
      </w:pPr>
    </w:p>
    <w:p>
      <w:pPr>
        <w:spacing w:line="560" w:lineRule="exact"/>
        <w:rPr>
          <w:rFonts w:ascii="方正仿宋_GBK" w:eastAsia="方正仿宋_GBK"/>
          <w:color w:val="000000" w:themeColor="text1"/>
          <w:szCs w:val="28"/>
          <w:highlight w:val="none"/>
          <w14:textFill>
            <w14:solidFill>
              <w14:schemeClr w14:val="tx1"/>
            </w14:solidFill>
          </w14:textFill>
        </w:rPr>
      </w:pPr>
      <w:bookmarkStart w:id="74" w:name="_Toc148265480"/>
      <w:bookmarkStart w:id="75" w:name="_Toc303945820"/>
      <w:r>
        <w:rPr>
          <w:rFonts w:hint="eastAsia" w:ascii="方正仿宋_GBK" w:eastAsia="方正仿宋_GBK"/>
          <w:color w:val="000000" w:themeColor="text1"/>
          <w:szCs w:val="28"/>
          <w:highlight w:val="none"/>
          <w14:textFill>
            <w14:solidFill>
              <w14:schemeClr w14:val="tx1"/>
            </w14:solidFill>
          </w14:textFill>
        </w:rPr>
        <w:t>附页：合同格式</w:t>
      </w:r>
      <w:bookmarkEnd w:id="74"/>
      <w:bookmarkEnd w:id="75"/>
    </w:p>
    <w:p>
      <w:pPr>
        <w:tabs>
          <w:tab w:val="left" w:pos="9000"/>
        </w:tabs>
        <w:spacing w:line="560" w:lineRule="exact"/>
        <w:jc w:val="center"/>
        <w:rPr>
          <w:rFonts w:ascii="方正仿宋_GBK" w:eastAsia="方正仿宋_GBK"/>
          <w:color w:val="000000" w:themeColor="text1"/>
          <w:szCs w:val="28"/>
          <w:highlight w:val="none"/>
          <w14:textFill>
            <w14:solidFill>
              <w14:schemeClr w14:val="tx1"/>
            </w14:solidFill>
          </w14:textFill>
        </w:rPr>
      </w:pPr>
    </w:p>
    <w:p>
      <w:pPr>
        <w:spacing w:line="560" w:lineRule="exact"/>
        <w:jc w:val="center"/>
        <w:rPr>
          <w:rFonts w:hint="eastAsia" w:ascii="方正仿宋_GBK" w:hAnsi="宋体" w:eastAsia="方正仿宋_GBK"/>
          <w:color w:val="000000" w:themeColor="text1"/>
          <w:sz w:val="32"/>
          <w:szCs w:val="32"/>
          <w:highlight w:val="none"/>
          <w:u w:val="single"/>
          <w14:textFill>
            <w14:solidFill>
              <w14:schemeClr w14:val="tx1"/>
            </w14:solidFill>
          </w14:textFill>
        </w:rPr>
      </w:pPr>
      <w:r>
        <w:rPr>
          <w:rFonts w:ascii="方正仿宋_GBK" w:hAnsi="宋体" w:eastAsia="方正仿宋_GBK"/>
          <w:color w:val="000000" w:themeColor="text1"/>
          <w:szCs w:val="28"/>
          <w:highlight w:val="none"/>
          <w14:textFill>
            <w14:solidFill>
              <w14:schemeClr w14:val="tx1"/>
            </w14:solidFill>
          </w14:textFill>
        </w:rPr>
        <w:t xml:space="preserve"> </w:t>
      </w:r>
      <w:r>
        <w:rPr>
          <w:rFonts w:ascii="方正仿宋_GBK" w:hAnsi="宋体" w:eastAsia="方正仿宋_GBK"/>
          <w:color w:val="000000" w:themeColor="text1"/>
          <w:sz w:val="32"/>
          <w:szCs w:val="32"/>
          <w:highlight w:val="none"/>
          <w14:textFill>
            <w14:solidFill>
              <w14:schemeClr w14:val="tx1"/>
            </w14:solidFill>
          </w14:textFill>
        </w:rPr>
        <w:t xml:space="preserve"> </w:t>
      </w:r>
      <w:bookmarkStart w:id="76" w:name="_Toc12789072"/>
      <w:r>
        <w:rPr>
          <w:rFonts w:hint="eastAsia" w:ascii="方正仿宋_GBK" w:hAnsi="宋体" w:eastAsia="方正仿宋_GBK"/>
          <w:color w:val="000000" w:themeColor="text1"/>
          <w:sz w:val="32"/>
          <w:szCs w:val="32"/>
          <w:highlight w:val="none"/>
          <w14:textFill>
            <w14:solidFill>
              <w14:schemeClr w14:val="tx1"/>
            </w14:solidFill>
          </w14:textFill>
        </w:rPr>
        <w:t>合同编号：</w:t>
      </w:r>
      <w:r>
        <w:rPr>
          <w:rFonts w:hint="eastAsia" w:ascii="方正仿宋_GBK" w:hAnsi="宋体" w:eastAsia="方正仿宋_GBK"/>
          <w:color w:val="000000" w:themeColor="text1"/>
          <w:sz w:val="32"/>
          <w:szCs w:val="32"/>
          <w:highlight w:val="none"/>
          <w:u w:val="single"/>
          <w14:textFill>
            <w14:solidFill>
              <w14:schemeClr w14:val="tx1"/>
            </w14:solidFill>
          </w14:textFill>
        </w:rPr>
        <w:t xml:space="preserve">         </w:t>
      </w:r>
    </w:p>
    <w:p>
      <w:pPr>
        <w:spacing w:line="560" w:lineRule="exact"/>
        <w:jc w:val="center"/>
        <w:rPr>
          <w:rFonts w:hint="eastAsia" w:ascii="方正仿宋_GBK" w:hAnsi="宋体" w:eastAsia="方正仿宋_GBK"/>
          <w:color w:val="000000" w:themeColor="text1"/>
          <w:sz w:val="32"/>
          <w:szCs w:val="32"/>
          <w:highlight w:val="none"/>
          <w14:textFill>
            <w14:solidFill>
              <w14:schemeClr w14:val="tx1"/>
            </w14:solidFill>
          </w14:textFill>
        </w:rPr>
      </w:pPr>
      <w:r>
        <w:rPr>
          <w:rFonts w:hint="eastAsia" w:ascii="方正仿宋_GBK" w:hAnsi="宋体" w:eastAsia="方正仿宋_GBK"/>
          <w:color w:val="000000" w:themeColor="text1"/>
          <w:sz w:val="32"/>
          <w:szCs w:val="32"/>
          <w:highlight w:val="none"/>
          <w14:textFill>
            <w14:solidFill>
              <w14:schemeClr w14:val="tx1"/>
            </w14:solidFill>
          </w14:textFill>
        </w:rPr>
        <w:t xml:space="preserve">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宋体" w:eastAsia="方正仿宋_GBK"/>
          <w:color w:val="000000" w:themeColor="text1"/>
          <w:sz w:val="32"/>
          <w:szCs w:val="32"/>
          <w:highlight w:val="none"/>
          <w14:textFill>
            <w14:solidFill>
              <w14:schemeClr w14:val="tx1"/>
            </w14:solidFill>
          </w14:textFill>
        </w:rPr>
        <w:t xml:space="preserve">正本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副本</w:t>
      </w:r>
    </w:p>
    <w:p>
      <w:pPr>
        <w:spacing w:line="560" w:lineRule="exact"/>
        <w:rPr>
          <w:rFonts w:hint="eastAsia" w:ascii="方正仿宋_GBK" w:hAnsi="宋体" w:eastAsia="方正仿宋_GBK"/>
          <w:color w:val="000000" w:themeColor="text1"/>
          <w:szCs w:val="28"/>
          <w:highlight w:val="none"/>
          <w14:textFill>
            <w14:solidFill>
              <w14:schemeClr w14:val="tx1"/>
            </w14:solidFill>
          </w14:textFill>
        </w:rPr>
      </w:pPr>
    </w:p>
    <w:p>
      <w:pPr>
        <w:spacing w:line="560" w:lineRule="exact"/>
        <w:rPr>
          <w:rFonts w:hint="eastAsia" w:ascii="方正仿宋_GBK" w:hAnsi="宋体" w:eastAsia="方正仿宋_GBK"/>
          <w:color w:val="000000" w:themeColor="text1"/>
          <w:szCs w:val="28"/>
          <w:highlight w:val="none"/>
          <w14:textFill>
            <w14:solidFill>
              <w14:schemeClr w14:val="tx1"/>
            </w14:solidFill>
          </w14:textFill>
        </w:rPr>
      </w:pPr>
    </w:p>
    <w:p>
      <w:pPr>
        <w:spacing w:line="900" w:lineRule="exact"/>
        <w:jc w:val="center"/>
        <w:rPr>
          <w:rFonts w:hint="eastAsia" w:ascii="方正小标宋简体" w:hAnsi="楷体" w:eastAsia="方正小标宋简体"/>
          <w:color w:val="000000" w:themeColor="text1"/>
          <w:sz w:val="72"/>
          <w:szCs w:val="72"/>
          <w:highlight w:val="none"/>
          <w14:textFill>
            <w14:solidFill>
              <w14:schemeClr w14:val="tx1"/>
            </w14:solidFill>
          </w14:textFill>
        </w:rPr>
      </w:pPr>
      <w:r>
        <w:rPr>
          <w:rFonts w:hint="eastAsia" w:ascii="方正小标宋简体" w:hAnsi="楷体" w:eastAsia="方正小标宋简体"/>
          <w:color w:val="000000" w:themeColor="text1"/>
          <w:sz w:val="72"/>
          <w:szCs w:val="72"/>
          <w:highlight w:val="none"/>
          <w14:textFill>
            <w14:solidFill>
              <w14:schemeClr w14:val="tx1"/>
            </w14:solidFill>
          </w14:textFill>
        </w:rPr>
        <w:t>重庆医科大学经济合同</w:t>
      </w:r>
    </w:p>
    <w:p>
      <w:pPr>
        <w:spacing w:line="640" w:lineRule="exact"/>
        <w:jc w:val="center"/>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（采购类）</w:t>
      </w:r>
    </w:p>
    <w:p>
      <w:pPr>
        <w:spacing w:line="640" w:lineRule="exact"/>
        <w:rPr>
          <w:rFonts w:hint="eastAsia" w:ascii="方正仿宋_GBK" w:hAnsi="楷体" w:eastAsia="方正仿宋_GBK"/>
          <w:color w:val="000000" w:themeColor="text1"/>
          <w:szCs w:val="28"/>
          <w:highlight w:val="none"/>
          <w14:textFill>
            <w14:solidFill>
              <w14:schemeClr w14:val="tx1"/>
            </w14:solidFill>
          </w14:textFill>
        </w:rPr>
      </w:pPr>
    </w:p>
    <w:p>
      <w:pPr>
        <w:spacing w:line="640" w:lineRule="exact"/>
        <w:rPr>
          <w:rFonts w:hint="eastAsia" w:ascii="方正仿宋_GBK" w:hAnsi="楷体" w:eastAsia="方正仿宋_GBK"/>
          <w:color w:val="000000" w:themeColor="text1"/>
          <w:szCs w:val="28"/>
          <w:highlight w:val="none"/>
          <w14:textFill>
            <w14:solidFill>
              <w14:schemeClr w14:val="tx1"/>
            </w14:solidFill>
          </w14:textFill>
        </w:rPr>
      </w:pPr>
    </w:p>
    <w:p>
      <w:pPr>
        <w:spacing w:line="640" w:lineRule="exact"/>
        <w:ind w:firstLine="640" w:firstLineChars="200"/>
        <w:rPr>
          <w:rFonts w:hint="eastAsia"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 xml:space="preserve">合同类型：■买卖合同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建设工程合同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物业服务合同</w:t>
      </w:r>
    </w:p>
    <w:p>
      <w:pPr>
        <w:spacing w:line="640" w:lineRule="exact"/>
        <w:ind w:firstLine="2240" w:firstLineChars="7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委托合同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租赁合同 </w:t>
      </w:r>
      <w:r>
        <w:rPr>
          <w:rFonts w:ascii="方正仿宋_GBK" w:hAnsi="楷体" w:eastAsia="方正仿宋_GBK"/>
          <w:color w:val="000000" w:themeColor="text1"/>
          <w:sz w:val="32"/>
          <w:szCs w:val="32"/>
          <w:highlight w:val="none"/>
          <w14:textFill>
            <w14:solidFill>
              <w14:schemeClr w14:val="tx1"/>
            </w14:solidFill>
          </w14:textFill>
        </w:rPr>
        <w:t xml:space="preserve">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运输合同 </w:t>
      </w:r>
    </w:p>
    <w:p>
      <w:pPr>
        <w:spacing w:line="640" w:lineRule="exact"/>
        <w:ind w:firstLine="2240" w:firstLineChars="700"/>
        <w:rPr>
          <w:rFonts w:hint="eastAsia" w:ascii="方正仿宋_GBK" w:hAnsi="楷体" w:eastAsia="方正仿宋_GBK"/>
          <w:color w:val="000000" w:themeColor="text1"/>
          <w:sz w:val="32"/>
          <w:szCs w:val="32"/>
          <w:highlight w:val="none"/>
          <w:u w:val="singl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其它典型合同 </w:t>
      </w:r>
      <w:r>
        <w:rPr>
          <w:rFonts w:hint="eastAsia" w:ascii="方正仿宋_GBK" w:hAnsi="楷体" w:eastAsia="方正仿宋_GBK"/>
          <w:color w:val="000000" w:themeColor="text1"/>
          <w:sz w:val="32"/>
          <w:szCs w:val="32"/>
          <w:highlight w:val="none"/>
          <w:u w:val="single"/>
          <w14:textFill>
            <w14:solidFill>
              <w14:schemeClr w14:val="tx1"/>
            </w14:solidFill>
          </w14:textFill>
        </w:rPr>
        <w:t xml:space="preserve">             </w:t>
      </w:r>
      <w:r>
        <w:rPr>
          <w:rFonts w:ascii="方正仿宋_GBK" w:hAnsi="楷体" w:eastAsia="方正仿宋_GBK"/>
          <w:color w:val="000000" w:themeColor="text1"/>
          <w:sz w:val="32"/>
          <w:szCs w:val="32"/>
          <w:highlight w:val="none"/>
          <w:u w:val="single"/>
          <w14:textFill>
            <w14:solidFill>
              <w14:schemeClr w14:val="tx1"/>
            </w14:solidFill>
          </w14:textFill>
        </w:rPr>
        <w:t xml:space="preserve">            </w:t>
      </w:r>
    </w:p>
    <w:p>
      <w:pPr>
        <w:spacing w:line="640" w:lineRule="exact"/>
        <w:rPr>
          <w:rFonts w:hint="eastAsia"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 xml:space="preserve">    项目名称：</w:t>
      </w:r>
      <w:r>
        <w:rPr>
          <w:rFonts w:hint="eastAsia" w:ascii="方正仿宋_GBK" w:hAnsi="楷体" w:eastAsia="方正仿宋_GBK"/>
          <w:color w:val="000000" w:themeColor="text1"/>
          <w:sz w:val="32"/>
          <w:szCs w:val="32"/>
          <w:highlight w:val="none"/>
          <w:u w:val="single"/>
          <w14:textFill>
            <w14:solidFill>
              <w14:schemeClr w14:val="tx1"/>
            </w14:solidFill>
          </w14:textFill>
        </w:rPr>
        <w:t xml:space="preserve">                                    </w:t>
      </w:r>
    </w:p>
    <w:p>
      <w:pPr>
        <w:spacing w:line="640" w:lineRule="exact"/>
        <w:rPr>
          <w:rFonts w:hint="eastAsia"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 xml:space="preserve">              </w:t>
      </w:r>
      <w:r>
        <w:rPr>
          <w:rFonts w:hint="eastAsia" w:ascii="方正仿宋_GBK" w:hAnsi="楷体" w:eastAsia="方正仿宋_GBK"/>
          <w:color w:val="000000" w:themeColor="text1"/>
          <w:sz w:val="32"/>
          <w:szCs w:val="32"/>
          <w:highlight w:val="none"/>
          <w:u w:val="single"/>
          <w14:textFill>
            <w14:solidFill>
              <w14:schemeClr w14:val="tx1"/>
            </w14:solidFill>
          </w14:textFill>
        </w:rPr>
        <w:t xml:space="preserve">                                    </w:t>
      </w:r>
    </w:p>
    <w:p>
      <w:pPr>
        <w:spacing w:line="640" w:lineRule="exact"/>
        <w:ind w:firstLine="640" w:firstLineChars="200"/>
        <w:rPr>
          <w:rFonts w:hint="eastAsia"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合同甲方：重庆医科大学</w:t>
      </w:r>
    </w:p>
    <w:p>
      <w:pPr>
        <w:spacing w:line="640" w:lineRule="exact"/>
        <w:ind w:firstLine="640" w:firstLineChars="200"/>
        <w:rPr>
          <w:rFonts w:hint="eastAsia"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合同乙方：</w:t>
      </w:r>
      <w:r>
        <w:rPr>
          <w:rFonts w:hint="eastAsia" w:ascii="方正仿宋_GBK" w:hAnsi="楷体" w:eastAsia="方正仿宋_GBK"/>
          <w:color w:val="000000" w:themeColor="text1"/>
          <w:sz w:val="32"/>
          <w:szCs w:val="32"/>
          <w:highlight w:val="none"/>
          <w:u w:val="single"/>
          <w14:textFill>
            <w14:solidFill>
              <w14:schemeClr w14:val="tx1"/>
            </w14:solidFill>
          </w14:textFill>
        </w:rPr>
        <w:t xml:space="preserve">                    </w:t>
      </w:r>
    </w:p>
    <w:p>
      <w:pPr>
        <w:spacing w:line="640" w:lineRule="exact"/>
        <w:ind w:firstLine="640" w:firstLineChars="200"/>
        <w:rPr>
          <w:rFonts w:hint="eastAsia"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合同金额：人民币</w:t>
      </w:r>
      <w:r>
        <w:rPr>
          <w:rFonts w:hint="eastAsia" w:ascii="方正仿宋_GBK" w:hAnsi="楷体" w:eastAsia="方正仿宋_GBK"/>
          <w:color w:val="000000" w:themeColor="text1"/>
          <w:sz w:val="32"/>
          <w:szCs w:val="32"/>
          <w:highlight w:val="none"/>
          <w:u w:val="single"/>
          <w14:textFill>
            <w14:solidFill>
              <w14:schemeClr w14:val="tx1"/>
            </w14:solidFill>
          </w14:textFill>
        </w:rPr>
        <w:t xml:space="preserve">              </w:t>
      </w:r>
      <w:r>
        <w:rPr>
          <w:rFonts w:hint="eastAsia" w:ascii="方正仿宋_GBK" w:hAnsi="楷体" w:eastAsia="方正仿宋_GBK"/>
          <w:color w:val="000000" w:themeColor="text1"/>
          <w:sz w:val="32"/>
          <w:szCs w:val="32"/>
          <w:highlight w:val="none"/>
          <w14:textFill>
            <w14:solidFill>
              <w14:schemeClr w14:val="tx1"/>
            </w14:solidFill>
          </w14:textFill>
        </w:rPr>
        <w:t>元</w:t>
      </w:r>
    </w:p>
    <w:p>
      <w:pPr>
        <w:spacing w:line="640" w:lineRule="exact"/>
        <w:ind w:firstLine="640" w:firstLineChars="200"/>
        <w:rPr>
          <w:rFonts w:hint="eastAsia"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经费项目：</w:t>
      </w:r>
      <w:r>
        <w:rPr>
          <w:rFonts w:hint="eastAsia" w:ascii="方正仿宋_GBK" w:hAnsi="楷体" w:eastAsia="方正仿宋_GBK"/>
          <w:color w:val="000000" w:themeColor="text1"/>
          <w:sz w:val="32"/>
          <w:szCs w:val="32"/>
          <w:highlight w:val="none"/>
          <w:u w:val="single"/>
          <w14:textFill>
            <w14:solidFill>
              <w14:schemeClr w14:val="tx1"/>
            </w14:solidFill>
          </w14:textFill>
        </w:rPr>
        <w:t xml:space="preserve">                    </w:t>
      </w:r>
    </w:p>
    <w:p>
      <w:pPr>
        <w:spacing w:line="640" w:lineRule="exact"/>
        <w:rPr>
          <w:rFonts w:hint="eastAsia" w:ascii="方正仿宋_GBK" w:hAnsi="楷体" w:eastAsia="方正仿宋_GBK"/>
          <w:color w:val="000000" w:themeColor="text1"/>
          <w:sz w:val="32"/>
          <w:szCs w:val="32"/>
          <w:highlight w:val="none"/>
          <w14:textFill>
            <w14:solidFill>
              <w14:schemeClr w14:val="tx1"/>
            </w14:solidFill>
          </w14:textFill>
        </w:rPr>
      </w:pPr>
    </w:p>
    <w:p>
      <w:pPr>
        <w:spacing w:line="640" w:lineRule="exact"/>
        <w:jc w:val="center"/>
        <w:rPr>
          <w:rFonts w:hint="eastAsia"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签订时间：     年   月   日</w:t>
      </w:r>
    </w:p>
    <w:p>
      <w:pPr>
        <w:rPr>
          <w:rFonts w:hint="eastAsia" w:ascii="楷体" w:hAnsi="楷体" w:eastAsia="楷体"/>
          <w:color w:val="000000" w:themeColor="text1"/>
          <w:sz w:val="36"/>
          <w:szCs w:val="36"/>
          <w:highlight w:val="none"/>
          <w14:textFill>
            <w14:solidFill>
              <w14:schemeClr w14:val="tx1"/>
            </w14:solidFill>
          </w14:textFill>
        </w:rPr>
      </w:pPr>
    </w:p>
    <w:p>
      <w:pPr>
        <w:spacing w:line="480" w:lineRule="exact"/>
        <w:jc w:val="center"/>
        <w:rPr>
          <w:rFonts w:hint="eastAsia" w:ascii="方正仿宋_GBK" w:hAnsi="楷体" w:eastAsia="方正仿宋_GBK"/>
          <w:color w:val="000000" w:themeColor="text1"/>
          <w:sz w:val="32"/>
          <w:szCs w:val="32"/>
          <w:highlight w:val="none"/>
          <w14:textFill>
            <w14:solidFill>
              <w14:schemeClr w14:val="tx1"/>
            </w14:solidFill>
          </w14:textFill>
        </w:rPr>
      </w:pPr>
    </w:p>
    <w:p>
      <w:pPr>
        <w:spacing w:line="480" w:lineRule="exact"/>
        <w:jc w:val="center"/>
        <w:rPr>
          <w:rFonts w:hint="eastAsia" w:ascii="方正仿宋_GBK" w:eastAsia="方正仿宋_GBK"/>
          <w:b/>
          <w:color w:val="000000" w:themeColor="text1"/>
          <w:sz w:val="44"/>
          <w:highlight w:val="none"/>
          <w14:textFill>
            <w14:solidFill>
              <w14:schemeClr w14:val="tx1"/>
            </w14:solidFill>
          </w14:textFill>
        </w:rPr>
      </w:pPr>
    </w:p>
    <w:p>
      <w:pPr>
        <w:spacing w:line="480" w:lineRule="exact"/>
        <w:jc w:val="center"/>
        <w:rPr>
          <w:rFonts w:hint="eastAsia" w:ascii="仿宋" w:hAnsi="仿宋" w:eastAsia="仿宋"/>
          <w:b/>
          <w:color w:val="000000" w:themeColor="text1"/>
          <w:sz w:val="44"/>
          <w:highlight w:val="none"/>
          <w14:textFill>
            <w14:solidFill>
              <w14:schemeClr w14:val="tx1"/>
            </w14:solidFill>
          </w14:textFill>
        </w:rPr>
      </w:pPr>
      <w:r>
        <w:rPr>
          <w:rFonts w:hint="eastAsia" w:ascii="方正仿宋_GBK" w:eastAsia="方正仿宋_GBK"/>
          <w:b/>
          <w:color w:val="000000" w:themeColor="text1"/>
          <w:sz w:val="44"/>
          <w:highlight w:val="none"/>
          <w14:textFill>
            <w14:solidFill>
              <w14:schemeClr w14:val="tx1"/>
            </w14:solidFill>
          </w14:textFill>
        </w:rPr>
        <w:t>重庆市政府采购合同</w:t>
      </w:r>
      <w:r>
        <w:rPr>
          <w:rFonts w:hint="eastAsia" w:ascii="仿宋" w:hAnsi="仿宋" w:eastAsia="仿宋"/>
          <w:b/>
          <w:color w:val="000000" w:themeColor="text1"/>
          <w:sz w:val="44"/>
          <w:highlight w:val="none"/>
          <w14:textFill>
            <w14:solidFill>
              <w14:schemeClr w14:val="tx1"/>
            </w14:solidFill>
          </w14:textFill>
        </w:rPr>
        <w:t>（经济合同）</w:t>
      </w:r>
    </w:p>
    <w:p>
      <w:pPr>
        <w:spacing w:line="480" w:lineRule="exact"/>
        <w:jc w:val="center"/>
        <w:rPr>
          <w:rFonts w:hint="eastAsia"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（项目号：     ）</w:t>
      </w:r>
    </w:p>
    <w:p>
      <w:pPr>
        <w:spacing w:line="480" w:lineRule="exac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甲方（需方、</w:t>
      </w:r>
      <w:r>
        <w:rPr>
          <w:rFonts w:hint="eastAsia" w:ascii="仿宋" w:hAnsi="仿宋" w:eastAsia="仿宋"/>
          <w:bCs/>
          <w:color w:val="000000" w:themeColor="text1"/>
          <w:sz w:val="24"/>
          <w:highlight w:val="none"/>
          <w14:textFill>
            <w14:solidFill>
              <w14:schemeClr w14:val="tx1"/>
            </w14:solidFill>
          </w14:textFill>
        </w:rPr>
        <w:t>采购人</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u w:val="single"/>
          <w14:textFill>
            <w14:solidFill>
              <w14:schemeClr w14:val="tx1"/>
            </w14:solidFill>
          </w14:textFill>
        </w:rPr>
        <w:t>_ _重庆医科大学_ _</w:t>
      </w:r>
      <w:r>
        <w:rPr>
          <w:rFonts w:hint="eastAsia" w:ascii="仿宋" w:hAnsi="仿宋" w:eastAsia="仿宋"/>
          <w:color w:val="000000" w:themeColor="text1"/>
          <w:sz w:val="24"/>
          <w:highlight w:val="none"/>
          <w14:textFill>
            <w14:solidFill>
              <w14:schemeClr w14:val="tx1"/>
            </w14:solidFill>
          </w14:textFill>
        </w:rPr>
        <w:t xml:space="preserve">       计价单位：</w:t>
      </w:r>
      <w:r>
        <w:rPr>
          <w:rFonts w:hint="eastAsia" w:ascii="仿宋" w:hAnsi="仿宋" w:eastAsia="仿宋"/>
          <w:color w:val="000000" w:themeColor="text1"/>
          <w:sz w:val="24"/>
          <w:highlight w:val="none"/>
          <w:u w:val="single"/>
          <w14:textFill>
            <w14:solidFill>
              <w14:schemeClr w14:val="tx1"/>
            </w14:solidFill>
          </w14:textFill>
        </w:rPr>
        <w:t>_人民币：元__</w:t>
      </w:r>
    </w:p>
    <w:p>
      <w:pPr>
        <w:spacing w:line="480" w:lineRule="exac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乙方（供方、</w:t>
      </w:r>
      <w:r>
        <w:rPr>
          <w:rFonts w:hint="eastAsia" w:ascii="仿宋" w:hAnsi="仿宋" w:eastAsia="仿宋"/>
          <w:bCs/>
          <w:color w:val="000000" w:themeColor="text1"/>
          <w:sz w:val="24"/>
          <w:highlight w:val="none"/>
          <w14:textFill>
            <w14:solidFill>
              <w14:schemeClr w14:val="tx1"/>
            </w14:solidFill>
          </w14:textFill>
        </w:rPr>
        <w:t>中标人</w:t>
      </w:r>
      <w:r>
        <w:rPr>
          <w:rFonts w:hint="eastAsia" w:ascii="仿宋" w:hAnsi="仿宋" w:eastAsia="仿宋"/>
          <w:color w:val="000000" w:themeColor="text1"/>
          <w:sz w:val="24"/>
          <w:highlight w:val="none"/>
          <w14:textFill>
            <w14:solidFill>
              <w14:schemeClr w14:val="tx1"/>
            </w14:solidFill>
          </w14:textFill>
        </w:rPr>
        <w:t>）：___________________      计量单位：_____________</w:t>
      </w:r>
    </w:p>
    <w:p>
      <w:pPr>
        <w:spacing w:line="48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根据《中华人民共和国民法典》《中华人民共和国政府采购法》等法律规定，经双方协商一致，达成以下合同：</w:t>
      </w:r>
    </w:p>
    <w:tbl>
      <w:tblPr>
        <w:tblStyle w:val="5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92"/>
        <w:gridCol w:w="1276"/>
        <w:gridCol w:w="992"/>
        <w:gridCol w:w="851"/>
        <w:gridCol w:w="242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1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项目名称</w:t>
            </w:r>
          </w:p>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（货物名称）</w:t>
            </w:r>
          </w:p>
        </w:tc>
        <w:tc>
          <w:tcPr>
            <w:tcW w:w="992" w:type="dxa"/>
            <w:vAlign w:val="center"/>
          </w:tcPr>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品牌规格型号</w:t>
            </w:r>
          </w:p>
        </w:tc>
        <w:tc>
          <w:tcPr>
            <w:tcW w:w="1276" w:type="dxa"/>
            <w:vAlign w:val="center"/>
          </w:tcPr>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数量/单位</w:t>
            </w:r>
          </w:p>
        </w:tc>
        <w:tc>
          <w:tcPr>
            <w:tcW w:w="992" w:type="dxa"/>
            <w:vAlign w:val="center"/>
          </w:tcPr>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单价（元）</w:t>
            </w:r>
          </w:p>
        </w:tc>
        <w:tc>
          <w:tcPr>
            <w:tcW w:w="851" w:type="dxa"/>
            <w:vAlign w:val="center"/>
          </w:tcPr>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总价（元）</w:t>
            </w:r>
          </w:p>
        </w:tc>
        <w:tc>
          <w:tcPr>
            <w:tcW w:w="2423" w:type="dxa"/>
            <w:vAlign w:val="center"/>
          </w:tcPr>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交付时间</w:t>
            </w:r>
          </w:p>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（履行时间）</w:t>
            </w:r>
          </w:p>
        </w:tc>
        <w:tc>
          <w:tcPr>
            <w:tcW w:w="1595"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交货地点</w:t>
            </w:r>
          </w:p>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（履行地点）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p>
        </w:tc>
        <w:tc>
          <w:tcPr>
            <w:tcW w:w="992" w:type="dxa"/>
            <w:vAlign w:val="center"/>
          </w:tcPr>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p>
        </w:tc>
        <w:tc>
          <w:tcPr>
            <w:tcW w:w="1276" w:type="dxa"/>
            <w:vAlign w:val="center"/>
          </w:tcPr>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p>
        </w:tc>
        <w:tc>
          <w:tcPr>
            <w:tcW w:w="992" w:type="dxa"/>
            <w:vAlign w:val="center"/>
          </w:tcPr>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p>
        </w:tc>
        <w:tc>
          <w:tcPr>
            <w:tcW w:w="851" w:type="dxa"/>
            <w:vAlign w:val="center"/>
          </w:tcPr>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p>
        </w:tc>
        <w:tc>
          <w:tcPr>
            <w:tcW w:w="2423" w:type="dxa"/>
            <w:vAlign w:val="center"/>
          </w:tcPr>
          <w:p>
            <w:pPr>
              <w:spacing w:line="300" w:lineRule="exac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乙方应在_____________内交货并完成安装调试</w:t>
            </w:r>
          </w:p>
        </w:tc>
        <w:tc>
          <w:tcPr>
            <w:tcW w:w="1595"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41" w:type="dxa"/>
            <w:gridSpan w:val="7"/>
            <w:vAlign w:val="center"/>
          </w:tcPr>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合同总价（含税）：人民币       元（大写：       圆整）。备注：</w:t>
            </w:r>
          </w:p>
          <w:p>
            <w:pPr>
              <w:spacing w:line="240" w:lineRule="atLeast"/>
              <w:jc w:val="lef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1.本项目为“交钥匙工程”，上述合同总价为“包干价”，包括但不限于：乙方为履行合同所需的</w:t>
            </w:r>
            <w:r>
              <w:rPr>
                <w:rFonts w:hint="eastAsia" w:ascii="仿宋" w:hAnsi="仿宋" w:eastAsia="仿宋"/>
                <w:color w:val="000000" w:themeColor="text1"/>
                <w:sz w:val="24"/>
                <w:highlight w:val="none"/>
                <w14:textFill>
                  <w14:solidFill>
                    <w14:schemeClr w14:val="tx1"/>
                  </w14:solidFill>
                </w14:textFill>
              </w:rPr>
              <w:t>___________________</w:t>
            </w:r>
            <w:r>
              <w:rPr>
                <w:rFonts w:hint="eastAsia" w:ascii="仿宋" w:hAnsi="仿宋" w:eastAsia="仿宋"/>
                <w:color w:val="000000" w:themeColor="text1"/>
                <w:sz w:val="21"/>
                <w:szCs w:val="21"/>
                <w:highlight w:val="none"/>
                <w14:textFill>
                  <w14:solidFill>
                    <w14:schemeClr w14:val="tx1"/>
                  </w14:solidFill>
                </w14:textFill>
              </w:rPr>
              <w:t>及所有税费。乙方投标时已充分考虑到所有费用，此外，甲方不额外支付任何费用。</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2.本合同商务参数详见附件1，技术参数详见附件2。甲方用户单位已逐页确认，符合其采购需求。</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3.税率：乙方承诺，严格依照国家税务管理部门的要求向甲方开具等额有效的发票并依法纳税。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jc w:val="center"/>
        </w:trPr>
        <w:tc>
          <w:tcPr>
            <w:tcW w:w="9641" w:type="dxa"/>
            <w:gridSpan w:val="7"/>
            <w:vAlign w:val="center"/>
          </w:tcPr>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一、质量要求和技术标准。乙方提供的货物必须是全新的（按招标文件规定的货物性能、技术要求、质量标准），完全符合国家有关技术标准。乙方的质量保证及售后服务承诺如下：</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（一）质保期限：</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u w:val="single"/>
                <w14:textFill>
                  <w14:solidFill>
                    <w14:schemeClr w14:val="tx1"/>
                  </w14:solidFill>
                </w14:textFill>
              </w:rPr>
              <w:t xml:space="preserve">    </w:t>
            </w:r>
            <w:r>
              <w:rPr>
                <w:rFonts w:hint="eastAsia" w:ascii="仿宋" w:hAnsi="仿宋" w:eastAsia="仿宋"/>
                <w:color w:val="000000" w:themeColor="text1"/>
                <w:sz w:val="21"/>
                <w:szCs w:val="21"/>
                <w:highlight w:val="none"/>
                <w14:textFill>
                  <w14:solidFill>
                    <w14:schemeClr w14:val="tx1"/>
                  </w14:solidFill>
                </w14:textFill>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（二）保修范围：</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上述列表所示的所有货物均属保修范围。质保期限内，乙方应当对甲方正常使用中、非人为原因、基于不可抗力出现质量及安全问题的货物，负责处理解决并承担一切费用。</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（三）服务措施：</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1.质保期限内，乙方提供的货物因货物本身的质量问题发生故障，乙方应负责免费更换。对达不到技术参数要求者，甲方可根据实际情况，选择按以下第</w:t>
            </w:r>
            <w:r>
              <w:rPr>
                <w:rFonts w:hint="eastAsia" w:ascii="仿宋" w:hAnsi="仿宋" w:eastAsia="仿宋"/>
                <w:color w:val="000000" w:themeColor="text1"/>
                <w:sz w:val="21"/>
                <w:szCs w:val="21"/>
                <w:highlight w:val="none"/>
                <w:u w:val="single"/>
                <w14:textFill>
                  <w14:solidFill>
                    <w14:schemeClr w14:val="tx1"/>
                  </w14:solidFill>
                </w14:textFill>
              </w:rPr>
              <w:t xml:space="preserve"> （1） </w:t>
            </w:r>
            <w:r>
              <w:rPr>
                <w:rFonts w:hint="eastAsia" w:ascii="仿宋" w:hAnsi="仿宋" w:eastAsia="仿宋"/>
                <w:color w:val="000000" w:themeColor="text1"/>
                <w:sz w:val="21"/>
                <w:szCs w:val="21"/>
                <w:highlight w:val="none"/>
                <w14:textFill>
                  <w14:solidFill>
                    <w14:schemeClr w14:val="tx1"/>
                  </w14:solidFill>
                </w14:textFill>
              </w:rPr>
              <w:t>类办法处理：</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（1）更换：由乙方承担所发生的全部费用。</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（2）退货处理：乙方应退还甲方支付的全部合同款，同时应承担该货物的直接费用（运输、保险、检验、货款利息及银行手续费等）。</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2.质保期限内，乙方应当及时采取以下措施，并承担所有费用：</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（1）电话或网络在线咨询：乙方和制造商应当为甲方提供技术援助电话、网络等服务，解答甲方在使用中遇到的问题，及时为甲方用户单位提出解决问题的建议。</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（2）现场响应：甲方遇到使用和技术问题，电话、网络咨询不能解决的，乙方和制造商应在</w:t>
            </w:r>
            <w:r>
              <w:rPr>
                <w:rFonts w:hint="eastAsia" w:ascii="仿宋" w:hAnsi="仿宋" w:eastAsia="仿宋"/>
                <w:color w:val="000000" w:themeColor="text1"/>
                <w:sz w:val="21"/>
                <w:szCs w:val="21"/>
                <w:highlight w:val="none"/>
                <w:u w:val="single"/>
                <w14:textFill>
                  <w14:solidFill>
                    <w14:schemeClr w14:val="tx1"/>
                  </w14:solidFill>
                </w14:textFill>
              </w:rPr>
              <w:t xml:space="preserve">   </w:t>
            </w:r>
            <w:r>
              <w:rPr>
                <w:rFonts w:hint="eastAsia" w:ascii="仿宋" w:hAnsi="仿宋" w:eastAsia="仿宋"/>
                <w:color w:val="000000" w:themeColor="text1"/>
                <w:sz w:val="21"/>
                <w:szCs w:val="21"/>
                <w:highlight w:val="none"/>
                <w14:textFill>
                  <w14:solidFill>
                    <w14:schemeClr w14:val="tx1"/>
                  </w14:solidFill>
                </w14:textFill>
              </w:rPr>
              <w:t>小时内到达甲方现场进行处理，确保货物正常工作；到达后，无法在</w:t>
            </w:r>
            <w:r>
              <w:rPr>
                <w:rFonts w:hint="eastAsia" w:ascii="仿宋" w:hAnsi="仿宋" w:eastAsia="仿宋"/>
                <w:color w:val="000000" w:themeColor="text1"/>
                <w:sz w:val="21"/>
                <w:szCs w:val="21"/>
                <w:highlight w:val="none"/>
                <w:u w:val="single"/>
                <w14:textFill>
                  <w14:solidFill>
                    <w14:schemeClr w14:val="tx1"/>
                  </w14:solidFill>
                </w14:textFill>
              </w:rPr>
              <w:t xml:space="preserve">   </w:t>
            </w:r>
            <w:r>
              <w:rPr>
                <w:rFonts w:hint="eastAsia" w:ascii="仿宋" w:hAnsi="仿宋" w:eastAsia="仿宋"/>
                <w:color w:val="000000" w:themeColor="text1"/>
                <w:sz w:val="21"/>
                <w:szCs w:val="21"/>
                <w:highlight w:val="none"/>
                <w14:textFill>
                  <w14:solidFill>
                    <w14:schemeClr w14:val="tx1"/>
                  </w14:solidFill>
                </w14:textFill>
              </w:rPr>
              <w:t>小时内解决的，应当在</w:t>
            </w:r>
            <w:r>
              <w:rPr>
                <w:rFonts w:hint="eastAsia" w:ascii="仿宋" w:hAnsi="仿宋" w:eastAsia="仿宋"/>
                <w:color w:val="000000" w:themeColor="text1"/>
                <w:sz w:val="21"/>
                <w:szCs w:val="21"/>
                <w:highlight w:val="none"/>
                <w:u w:val="single"/>
                <w14:textFill>
                  <w14:solidFill>
                    <w14:schemeClr w14:val="tx1"/>
                  </w14:solidFill>
                </w14:textFill>
              </w:rPr>
              <w:t xml:space="preserve">   </w:t>
            </w:r>
            <w:r>
              <w:rPr>
                <w:rFonts w:hint="eastAsia" w:ascii="仿宋" w:hAnsi="仿宋" w:eastAsia="仿宋"/>
                <w:color w:val="000000" w:themeColor="text1"/>
                <w:sz w:val="21"/>
                <w:szCs w:val="21"/>
                <w:highlight w:val="none"/>
                <w14:textFill>
                  <w14:solidFill>
                    <w14:schemeClr w14:val="tx1"/>
                  </w14:solidFill>
                </w14:textFill>
              </w:rPr>
              <w:t>小时内提供符合质量标准且确保正常工作的备用品，协助甲方用户单位正常开展科研教学管理工作。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（3）技术升级：在质保期内，如果乙方和制造商的产品技术升级，乙方应及时通知甲方，如甲方有相应要求，乙方和制造商应对甲方进行升级服务。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（四）质保期后服务：</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w:t>
            </w:r>
            <w:r>
              <w:rPr>
                <w:rFonts w:ascii="仿宋" w:hAnsi="仿宋" w:eastAsia="仿宋"/>
                <w:color w:val="000000" w:themeColor="text1"/>
                <w:sz w:val="21"/>
                <w:szCs w:val="21"/>
                <w:highlight w:val="none"/>
                <w14:textFill>
                  <w14:solidFill>
                    <w14:schemeClr w14:val="tx1"/>
                  </w14:solidFill>
                </w14:textFill>
              </w:rPr>
              <w:t xml:space="preserve"> </w:t>
            </w:r>
            <w:r>
              <w:rPr>
                <w:rFonts w:hint="eastAsia" w:ascii="仿宋" w:hAnsi="仿宋" w:eastAsia="仿宋"/>
                <w:color w:val="000000" w:themeColor="text1"/>
                <w:sz w:val="21"/>
                <w:szCs w:val="21"/>
                <w:highlight w:val="none"/>
                <w14:textFill>
                  <w14:solidFill>
                    <w14:schemeClr w14:val="tx1"/>
                  </w14:solidFill>
                </w14:textFill>
              </w:rPr>
              <w:t>继续提供电话或网络在线咨询：乙方和制造商应同样提供免费电话、网络咨询服务，并应承诺提供上门维护服务。</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w:t>
            </w:r>
            <w:r>
              <w:rPr>
                <w:rFonts w:ascii="仿宋" w:hAnsi="仿宋" w:eastAsia="仿宋"/>
                <w:color w:val="000000" w:themeColor="text1"/>
                <w:sz w:val="21"/>
                <w:szCs w:val="21"/>
                <w:highlight w:val="none"/>
                <w14:textFill>
                  <w14:solidFill>
                    <w14:schemeClr w14:val="tx1"/>
                  </w14:solidFill>
                </w14:textFill>
              </w:rPr>
              <w:t xml:space="preserve"> </w:t>
            </w:r>
            <w:r>
              <w:rPr>
                <w:rFonts w:hint="eastAsia" w:ascii="仿宋" w:hAnsi="仿宋" w:eastAsia="仿宋"/>
                <w:color w:val="000000" w:themeColor="text1"/>
                <w:sz w:val="21"/>
                <w:szCs w:val="21"/>
                <w:highlight w:val="none"/>
                <w14:textFill>
                  <w14:solidFill>
                    <w14:schemeClr w14:val="tx1"/>
                  </w14:solidFill>
                </w14:textFill>
              </w:rPr>
              <w:t>继续提供优惠价售后服务：甲方需要继续由乙方和制造商提供售后服务的，乙方和制造商应当以优惠价提供售后服务；若甲方需要添购，乙方应当依法与甲方另行达成补充协议。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41" w:type="dxa"/>
            <w:gridSpan w:val="7"/>
            <w:vAlign w:val="center"/>
          </w:tcPr>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（五）备品备件及易损件：</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乙方和制造商售后服务中，维修使用的备品备件及易损件应为原厂配件，未经甲方同意不得使用非原厂配件。常用的、容易损坏的备品备件及易损件的价格清单，乙方已在投标文件中列出。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41" w:type="dxa"/>
            <w:gridSpan w:val="7"/>
          </w:tcPr>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二、随机备品、附件、工具数量及供应方法：</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41" w:type="dxa"/>
            <w:gridSpan w:val="7"/>
          </w:tcPr>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三、交提货方式：</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（二）乙方应当在</w:t>
            </w:r>
            <w:r>
              <w:rPr>
                <w:rFonts w:hint="eastAsia" w:ascii="仿宋" w:hAnsi="仿宋" w:eastAsia="仿宋"/>
                <w:color w:val="000000" w:themeColor="text1"/>
                <w:sz w:val="24"/>
                <w:highlight w:val="none"/>
                <w14:textFill>
                  <w14:solidFill>
                    <w14:schemeClr w14:val="tx1"/>
                  </w14:solidFill>
                </w14:textFill>
              </w:rPr>
              <w:t>_____________</w:t>
            </w:r>
            <w:r>
              <w:rPr>
                <w:rFonts w:hint="eastAsia" w:ascii="仿宋" w:hAnsi="仿宋" w:eastAsia="仿宋"/>
                <w:color w:val="000000" w:themeColor="text1"/>
                <w:sz w:val="21"/>
                <w:szCs w:val="21"/>
                <w:highlight w:val="none"/>
                <w14:textFill>
                  <w14:solidFill>
                    <w14:schemeClr w14:val="tx1"/>
                  </w14:solidFill>
                </w14:textFill>
              </w:rPr>
              <w:t>内（履行时间），将货物交付至甲方用户单位指定地点并完成安装调试。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44" w:type="dxa"/>
            <w:gridSpan w:val="7"/>
          </w:tcPr>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四、验收标准、方法：</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（一）货物到达现场后，乙方应在甲方用户单位在场的情况下当面开箱，共同清点、检查，作出开箱记录，双方签字确认。</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（二）乙方应保证货物到达甲方所在地完好无损，如有缺漏、损坏，由乙方负责调换、补齐或赔偿。</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（三）乙方应随货物提供完备的技术资料、装箱单和合格证等，并派遣专业技术人员进行现场安装调试。验收合格条件如下：</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1.货物商务参数、技术参数与本合同一致，性能指标达到规定的标准。</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2.货物技术资料、装箱单、合格证等资料齐全。</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3.在系统试运行期间所出现的问题得到解决，并运行正常。</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4.在规定时间内完成交货并验收，并经甲方确认。</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如验收不合格，甲方有权解除本合同并没收履约保证金；乙方应当赔偿甲方一切损失，并返还甲方已支付的全部合同款，并据实接受行政主管部门的相关处罚结果。</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（六）大型或者复杂的政府采购产品项目，甲方应当邀请国家认可的质量检测机构参加验收工作。</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（七）甲方需要制造商对乙方交付的产品（包括质量、技术参数等）进行确认的，制造商应予以配合，并出具书面意见。</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（八）产品包装材料归甲方所有。乙方负责及时将产品包装材料清运离开甲方所在地，由此产生的费用由乙方自行承担。</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如乙方对上述（一）至（八）项约定有异议，请自本合同生效后</w:t>
            </w:r>
            <w:r>
              <w:rPr>
                <w:rFonts w:hint="eastAsia" w:ascii="仿宋" w:hAnsi="仿宋" w:eastAsia="仿宋"/>
                <w:color w:val="000000" w:themeColor="text1"/>
                <w:sz w:val="21"/>
                <w:szCs w:val="21"/>
                <w:highlight w:val="none"/>
                <w:u w:val="single"/>
                <w14:textFill>
                  <w14:solidFill>
                    <w14:schemeClr w14:val="tx1"/>
                  </w14:solidFill>
                </w14:textFill>
              </w:rPr>
              <w:t xml:space="preserve"> </w:t>
            </w:r>
            <w:r>
              <w:rPr>
                <w:rFonts w:ascii="仿宋" w:hAnsi="仿宋" w:eastAsia="仿宋"/>
                <w:color w:val="000000" w:themeColor="text1"/>
                <w:sz w:val="21"/>
                <w:szCs w:val="21"/>
                <w:highlight w:val="none"/>
                <w:u w:val="single"/>
                <w14:textFill>
                  <w14:solidFill>
                    <w14:schemeClr w14:val="tx1"/>
                  </w14:solidFill>
                </w14:textFill>
              </w:rPr>
              <w:t xml:space="preserve">  </w:t>
            </w:r>
            <w:r>
              <w:rPr>
                <w:rFonts w:hint="eastAsia" w:ascii="仿宋" w:hAnsi="仿宋" w:eastAsia="仿宋"/>
                <w:color w:val="000000" w:themeColor="text1"/>
                <w:sz w:val="21"/>
                <w:szCs w:val="21"/>
                <w:highlight w:val="none"/>
                <w14:textFill>
                  <w14:solidFill>
                    <w14:schemeClr w14:val="tx1"/>
                  </w14:solidFill>
                </w14:textFill>
              </w:rPr>
              <w:t>个自然日内向甲方提出。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4" w:type="dxa"/>
            <w:gridSpan w:val="7"/>
          </w:tcPr>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五、付款方式：</w:t>
            </w:r>
          </w:p>
          <w:p>
            <w:pPr>
              <w:pStyle w:val="32"/>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（一）履约担保：中标成交结果发布后、签订本合同</w:t>
            </w:r>
            <w:r>
              <w:rPr>
                <w:rFonts w:hint="eastAsia" w:ascii="仿宋" w:hAnsi="仿宋" w:eastAsia="仿宋"/>
                <w:color w:val="000000" w:themeColor="text1"/>
                <w:sz w:val="21"/>
                <w:szCs w:val="21"/>
                <w:highlight w:val="none"/>
                <w:u w:val="single"/>
                <w14:textFill>
                  <w14:solidFill>
                    <w14:schemeClr w14:val="tx1"/>
                  </w14:solidFill>
                </w14:textFill>
              </w:rPr>
              <w:t>10</w:t>
            </w:r>
            <w:r>
              <w:rPr>
                <w:rFonts w:hint="eastAsia" w:ascii="仿宋" w:hAnsi="仿宋" w:eastAsia="仿宋"/>
                <w:color w:val="000000" w:themeColor="text1"/>
                <w:sz w:val="21"/>
                <w:szCs w:val="21"/>
                <w:highlight w:val="none"/>
                <w14:textFill>
                  <w14:solidFill>
                    <w14:schemeClr w14:val="tx1"/>
                  </w14:solidFill>
                </w14:textFill>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pPr>
              <w:pStyle w:val="32"/>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（二）乙方按采购合同交货并安装调试完成，经验收合格后由甲方出具项目验收报告。</w:t>
            </w:r>
          </w:p>
          <w:p>
            <w:pPr>
              <w:pStyle w:val="32"/>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（三）付款方法：货物</w:t>
            </w:r>
            <w:r>
              <w:rPr>
                <w:rFonts w:hint="eastAsia" w:ascii="仿宋" w:hAnsi="仿宋" w:eastAsia="仿宋"/>
                <w:color w:val="000000" w:themeColor="text1"/>
                <w:sz w:val="21"/>
                <w:szCs w:val="21"/>
                <w:highlight w:val="none"/>
                <w:u w:val="single"/>
                <w14:textFill>
                  <w14:solidFill>
                    <w14:schemeClr w14:val="tx1"/>
                  </w14:solidFill>
                </w14:textFill>
              </w:rPr>
              <w:t>全部交付/分期交付</w:t>
            </w:r>
            <w:r>
              <w:rPr>
                <w:rFonts w:hint="eastAsia" w:ascii="仿宋" w:hAnsi="仿宋" w:eastAsia="仿宋"/>
                <w:color w:val="000000" w:themeColor="text1"/>
                <w:sz w:val="21"/>
                <w:szCs w:val="21"/>
                <w:highlight w:val="none"/>
                <w14:textFill>
                  <w14:solidFill>
                    <w14:schemeClr w14:val="tx1"/>
                  </w14:solidFill>
                </w14:textFill>
              </w:rPr>
              <w:t>并经甲方验收合格，乙方向甲方开具等额有效的增值税专用发票（一般纳税人）后，甲方以银行转账方式按</w:t>
            </w:r>
            <w:r>
              <w:rPr>
                <w:rFonts w:hint="eastAsia" w:ascii="仿宋" w:hAnsi="仿宋" w:eastAsia="仿宋"/>
                <w:color w:val="000000" w:themeColor="text1"/>
                <w:sz w:val="21"/>
                <w:szCs w:val="21"/>
                <w:highlight w:val="none"/>
                <w:u w:val="single"/>
                <w14:textFill>
                  <w14:solidFill>
                    <w14:schemeClr w14:val="tx1"/>
                  </w14:solidFill>
                </w14:textFill>
              </w:rPr>
              <w:t>本合同总价/相应款项</w:t>
            </w:r>
            <w:r>
              <w:rPr>
                <w:rFonts w:hint="eastAsia" w:ascii="仿宋" w:hAnsi="仿宋" w:eastAsia="仿宋"/>
                <w:color w:val="000000" w:themeColor="text1"/>
                <w:sz w:val="21"/>
                <w:szCs w:val="21"/>
                <w:highlight w:val="none"/>
                <w14:textFill>
                  <w14:solidFill>
                    <w14:schemeClr w14:val="tx1"/>
                  </w14:solidFill>
                </w14:textFill>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（四）履约保证金无息退还时间：质保期届满后，乙方提供的产品无质量问题且没有其他违约行为，经甲方用户单位同意，甲方向乙方全额无息退还该履约保证金。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六、违约责任：</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（一）乙方在投标时未明确提出异议，视为完全响应甲方在本合同内的各项要求。</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（二）乙方应按本合同第一条“质量要求和技术标准”提供货物。若乙方超过</w:t>
            </w:r>
            <w:r>
              <w:rPr>
                <w:rFonts w:hint="eastAsia" w:ascii="仿宋" w:hAnsi="仿宋" w:eastAsia="仿宋"/>
                <w:color w:val="000000" w:themeColor="text1"/>
                <w:sz w:val="21"/>
                <w:szCs w:val="21"/>
                <w:highlight w:val="none"/>
                <w:u w:val="single"/>
                <w14:textFill>
                  <w14:solidFill>
                    <w14:schemeClr w14:val="tx1"/>
                  </w14:solidFill>
                </w14:textFill>
              </w:rPr>
              <w:t>7</w:t>
            </w:r>
            <w:r>
              <w:rPr>
                <w:rFonts w:hint="eastAsia" w:ascii="仿宋" w:hAnsi="仿宋" w:eastAsia="仿宋"/>
                <w:color w:val="000000" w:themeColor="text1"/>
                <w:sz w:val="21"/>
                <w:szCs w:val="21"/>
                <w:highlight w:val="none"/>
                <w14:textFill>
                  <w14:solidFill>
                    <w14:schemeClr w14:val="tx1"/>
                  </w14:solidFill>
                </w14:textFill>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乙方应当按第三条“交提货方式”按时交付合格货物。若乙方逾期，每延期</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个自然日应当按合同总价的</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‰向甲方支付违约金（最高不超过合同总价的</w:t>
            </w:r>
            <w:r>
              <w:rPr>
                <w:rFonts w:hint="eastAsia" w:ascii="仿宋" w:hAnsi="仿宋" w:eastAsia="仿宋"/>
                <w:color w:val="000000" w:themeColor="text1"/>
                <w:sz w:val="21"/>
                <w:szCs w:val="21"/>
                <w:highlight w:val="none"/>
                <w:u w:val="single"/>
                <w14:textFill>
                  <w14:solidFill>
                    <w14:schemeClr w14:val="tx1"/>
                  </w14:solidFill>
                </w14:textFill>
              </w:rPr>
              <w:t>10</w:t>
            </w:r>
            <w:r>
              <w:rPr>
                <w:rFonts w:hint="eastAsia" w:ascii="仿宋" w:hAnsi="仿宋" w:eastAsia="仿宋"/>
                <w:color w:val="000000" w:themeColor="text1"/>
                <w:sz w:val="21"/>
                <w:szCs w:val="21"/>
                <w:highlight w:val="none"/>
                <w14:textFill>
                  <w14:solidFill>
                    <w14:schemeClr w14:val="tx1"/>
                  </w14:solidFill>
                </w14:textFill>
              </w:rPr>
              <w:t>%），甲方可在乙方缴纳的履约保证金内扣除；若乙方逾期超过</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个自然日的，甲方有权解除本合同，没收全部履约保证金，并要求乙方返还甲方已支付款项；乙方赔偿甲方全部损失。</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（五）履约保证金减少的，乙方未按照甲方要求补足履约保证金的，每逾期</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个自然日，甲方有权要求乙方支付履约保证金总额</w:t>
            </w:r>
            <w:r>
              <w:rPr>
                <w:rFonts w:hint="eastAsia" w:ascii="仿宋" w:hAnsi="仿宋" w:eastAsia="仿宋"/>
                <w:color w:val="000000" w:themeColor="text1"/>
                <w:sz w:val="21"/>
                <w:szCs w:val="21"/>
                <w:highlight w:val="none"/>
                <w:u w:val="single"/>
                <w14:textFill>
                  <w14:solidFill>
                    <w14:schemeClr w14:val="tx1"/>
                  </w14:solidFill>
                </w14:textFill>
              </w:rPr>
              <w:t>0.1</w:t>
            </w:r>
            <w:r>
              <w:rPr>
                <w:rFonts w:hint="eastAsia" w:ascii="仿宋" w:hAnsi="仿宋" w:eastAsia="仿宋"/>
                <w:color w:val="000000" w:themeColor="text1"/>
                <w:sz w:val="21"/>
                <w:szCs w:val="21"/>
                <w:highlight w:val="none"/>
                <w14:textFill>
                  <w14:solidFill>
                    <w14:schemeClr w14:val="tx1"/>
                  </w14:solidFill>
                </w14:textFill>
              </w:rPr>
              <w:t>%的违约金；逾期超过</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个自然日，甲方有权解除合同，要求乙方支付前述违约金并没收剩余的履约保证金。</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（七）乙方承诺本合同履行期间持续具有履行本合同所需合法、有效资质，否则视为重大违约，甲方有权立即解除本合同，已交付的费用乙方须无条件全额退还，甲方没收全部履约保证金并追究乙方违约责任。</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（八）甲乙双方若不能按互谅互惠原则协商解决争议，甚至在</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个自然日内当事人协商不能达成协议，任何一方均可向重庆仲裁委员会提请仲裁。</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七、其他约定事项：</w:t>
            </w:r>
          </w:p>
          <w:p>
            <w:pPr>
              <w:spacing w:line="300" w:lineRule="exac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注：若涉及软件开发等服务类项目知识产权的，知识产权归甲方所有。</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（三）乙方对其提供产品的使用和操作应尽培训、通知、协助、保密义务。</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（五）本合同尾部载明的联系方式为一方通知对方、以及涉及诉讼或者仲裁时接收法律文书的送达地址。地址应当真实有效。任何一方送达地址变更的，应当自变更之日起</w:t>
            </w:r>
            <w:r>
              <w:rPr>
                <w:rFonts w:hint="eastAsia" w:ascii="仿宋" w:hAnsi="仿宋" w:eastAsia="仿宋"/>
                <w:color w:val="000000" w:themeColor="text1"/>
                <w:sz w:val="21"/>
                <w:szCs w:val="21"/>
                <w:highlight w:val="none"/>
                <w:u w:val="single"/>
                <w14:textFill>
                  <w14:solidFill>
                    <w14:schemeClr w14:val="tx1"/>
                  </w14:solidFill>
                </w14:textFill>
              </w:rPr>
              <w:t>5</w:t>
            </w:r>
            <w:r>
              <w:rPr>
                <w:rFonts w:hint="eastAsia" w:ascii="仿宋" w:hAnsi="仿宋" w:eastAsia="仿宋"/>
                <w:color w:val="000000" w:themeColor="text1"/>
                <w:sz w:val="21"/>
                <w:szCs w:val="21"/>
                <w:highlight w:val="none"/>
                <w14:textFill>
                  <w14:solidFill>
                    <w14:schemeClr w14:val="tx1"/>
                  </w14:solidFill>
                </w14:textFill>
              </w:rPr>
              <w:t>个工作日内书面通知对方。如地址有误、地址变更、未及时书面通知对方而导致法律文书送达不能的，应当自行承担后果。</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（六）本合同的任何修订、变更或调整，须经甲方、乙方共同书面确认。补充协议与本合同具有同等法律效力，不一致之处，以补充协议为准。</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（七）本合同壹式陆份，甲方执正本壹份、副本肆份，乙方执正本壹份，均具备同等法律效力。</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（八）本合同自双方当事人法定代表人或委托代理人签字并加盖双方合同专用章或公章后生效。</w:t>
            </w:r>
          </w:p>
          <w:p>
            <w:pPr>
              <w:spacing w:line="240" w:lineRule="atLeast"/>
              <w:ind w:firstLine="420" w:firstLineChars="200"/>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4772" w:type="dxa"/>
            <w:gridSpan w:val="4"/>
          </w:tcPr>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甲方（需方）：重庆医科大学</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地址：重庆市渝中区医学院路1号</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统一社会信用代码：</w:t>
            </w:r>
            <w:r>
              <w:rPr>
                <w:rFonts w:ascii="仿宋" w:hAnsi="仿宋" w:eastAsia="仿宋"/>
                <w:color w:val="000000" w:themeColor="text1"/>
                <w:sz w:val="21"/>
                <w:szCs w:val="21"/>
                <w:highlight w:val="none"/>
                <w14:textFill>
                  <w14:solidFill>
                    <w14:schemeClr w14:val="tx1"/>
                  </w14:solidFill>
                </w14:textFill>
              </w:rPr>
              <w:t>12500000450401805G</w:t>
            </w:r>
          </w:p>
          <w:p>
            <w:pPr>
              <w:spacing w:line="240" w:lineRule="atLeast"/>
              <w:rPr>
                <w:rFonts w:hint="eastAsia" w:ascii="仿宋" w:hAnsi="仿宋" w:eastAsia="仿宋"/>
                <w:color w:val="000000" w:themeColor="text1"/>
                <w:w w:val="90"/>
                <w:sz w:val="21"/>
                <w:szCs w:val="21"/>
                <w:highlight w:val="none"/>
                <w14:textFill>
                  <w14:solidFill>
                    <w14:schemeClr w14:val="tx1"/>
                  </w14:solidFill>
                </w14:textFill>
              </w:rPr>
            </w:pPr>
            <w:r>
              <w:rPr>
                <w:rFonts w:hint="eastAsia" w:ascii="仿宋" w:hAnsi="仿宋" w:eastAsia="仿宋"/>
                <w:color w:val="000000" w:themeColor="text1"/>
                <w:w w:val="90"/>
                <w:sz w:val="21"/>
                <w:szCs w:val="21"/>
                <w:highlight w:val="none"/>
                <w14:textFill>
                  <w14:solidFill>
                    <w14:schemeClr w14:val="tx1"/>
                  </w14:solidFill>
                </w14:textFill>
              </w:rPr>
              <w:t>开户行：中国建设银行股份有限公司重庆高新区分行</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账号：</w:t>
            </w:r>
            <w:r>
              <w:rPr>
                <w:rFonts w:ascii="仿宋" w:hAnsi="仿宋" w:eastAsia="仿宋"/>
                <w:color w:val="000000" w:themeColor="text1"/>
                <w:sz w:val="21"/>
                <w:szCs w:val="21"/>
                <w:highlight w:val="none"/>
                <w14:textFill>
                  <w14:solidFill>
                    <w14:schemeClr w14:val="tx1"/>
                  </w14:solidFill>
                </w14:textFill>
              </w:rPr>
              <w:t>50001033600050008726</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法定代表人：黄爱龙（签章）</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委托代理人：</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承办部门：</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用户单位：</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联系电话：（请备注用户单位联系人电话）</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tc>
        <w:tc>
          <w:tcPr>
            <w:tcW w:w="4872" w:type="dxa"/>
            <w:gridSpan w:val="3"/>
          </w:tcPr>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乙方（供方）：</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地址：</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统一社会信用代码：</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开户行：</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账号：</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 xml:space="preserve">法定代表人： </w:t>
            </w:r>
            <w:r>
              <w:rPr>
                <w:rFonts w:ascii="仿宋" w:hAnsi="仿宋" w:eastAsia="仿宋"/>
                <w:color w:val="000000" w:themeColor="text1"/>
                <w:sz w:val="21"/>
                <w:szCs w:val="21"/>
                <w:highlight w:val="none"/>
                <w14:textFill>
                  <w14:solidFill>
                    <w14:schemeClr w14:val="tx1"/>
                  </w14:solidFill>
                </w14:textFill>
              </w:rPr>
              <w:t xml:space="preserve"> </w:t>
            </w:r>
            <w:r>
              <w:rPr>
                <w:rFonts w:hint="eastAsia" w:ascii="仿宋" w:hAnsi="仿宋" w:eastAsia="仿宋"/>
                <w:color w:val="000000" w:themeColor="text1"/>
                <w:sz w:val="21"/>
                <w:szCs w:val="21"/>
                <w:highlight w:val="none"/>
                <w14:textFill>
                  <w14:solidFill>
                    <w14:schemeClr w14:val="tx1"/>
                  </w14:solidFill>
                </w14:textFill>
              </w:rPr>
              <w:t>（签章）</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委托代理人：</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联系电话：</w:t>
            </w:r>
          </w:p>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644" w:type="dxa"/>
            <w:gridSpan w:val="7"/>
          </w:tcPr>
          <w:p>
            <w:pPr>
              <w:spacing w:line="240" w:lineRule="atLeast"/>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备注：本合同请用计算机双面打印，以便于双方准确履行合同义务。</w:t>
            </w:r>
          </w:p>
        </w:tc>
      </w:tr>
    </w:tbl>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签约地点：重庆医科大学袁家岗校区</w:t>
      </w: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60" w:lineRule="exact"/>
        <w:jc w:val="left"/>
        <w:rPr>
          <w:rFonts w:hint="eastAsia"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hint="eastAsia" w:ascii="方正黑体_GBK" w:hAnsi="宋体" w:eastAsia="方正黑体_GBK"/>
          <w:color w:val="000000" w:themeColor="text1"/>
          <w:sz w:val="32"/>
          <w:szCs w:val="32"/>
          <w:highlight w:val="none"/>
          <w14:textFill>
            <w14:solidFill>
              <w14:schemeClr w14:val="tx1"/>
            </w14:solidFill>
          </w14:textFill>
        </w:rPr>
      </w:pPr>
      <w:r>
        <w:rPr>
          <w:rFonts w:hint="eastAsia" w:ascii="方正黑体_GBK" w:hAnsi="宋体" w:eastAsia="方正黑体_GBK"/>
          <w:color w:val="000000" w:themeColor="text1"/>
          <w:sz w:val="32"/>
          <w:szCs w:val="32"/>
          <w:highlight w:val="none"/>
          <w14:textFill>
            <w14:solidFill>
              <w14:schemeClr w14:val="tx1"/>
            </w14:solidFill>
          </w14:textFill>
        </w:rPr>
        <w:t>附件1</w:t>
      </w: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r>
        <w:rPr>
          <w:rFonts w:hint="eastAsia" w:ascii="方正小标宋_GBK" w:hAnsi="方正小标宋_GBK" w:eastAsia="方正小标宋_GBK"/>
          <w:color w:val="000000" w:themeColor="text1"/>
          <w:sz w:val="44"/>
          <w:szCs w:val="44"/>
          <w:highlight w:val="none"/>
          <w14:textFill>
            <w14:solidFill>
              <w14:schemeClr w14:val="tx1"/>
            </w14:solidFill>
          </w14:textFill>
        </w:rPr>
        <w:t>商务参数明细</w:t>
      </w:r>
    </w:p>
    <w:p>
      <w:pPr>
        <w:spacing w:line="560" w:lineRule="exact"/>
        <w:rPr>
          <w:rFonts w:hint="eastAsia" w:ascii="方正小标宋_GBK" w:hAnsi="方正小标宋_GBK" w:eastAsia="方正小标宋_GBK"/>
          <w:color w:val="000000" w:themeColor="text1"/>
          <w:sz w:val="44"/>
          <w:szCs w:val="44"/>
          <w:highlight w:val="none"/>
          <w14:textFill>
            <w14:solidFill>
              <w14:schemeClr w14:val="tx1"/>
            </w14:solidFill>
          </w14:textFill>
        </w:rPr>
      </w:pP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926"/>
        <w:gridCol w:w="978"/>
        <w:gridCol w:w="1460"/>
        <w:gridCol w:w="234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项目名称</w:t>
            </w:r>
          </w:p>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（货物名称）</w:t>
            </w:r>
          </w:p>
        </w:tc>
        <w:tc>
          <w:tcPr>
            <w:tcW w:w="1926"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品牌规格型号</w:t>
            </w:r>
          </w:p>
        </w:tc>
        <w:tc>
          <w:tcPr>
            <w:tcW w:w="97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产地</w:t>
            </w:r>
          </w:p>
        </w:tc>
        <w:tc>
          <w:tcPr>
            <w:tcW w:w="1460"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数量/单位</w:t>
            </w:r>
          </w:p>
        </w:tc>
        <w:tc>
          <w:tcPr>
            <w:tcW w:w="234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单价（元）</w:t>
            </w:r>
          </w:p>
        </w:tc>
        <w:tc>
          <w:tcPr>
            <w:tcW w:w="1262"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合计</w:t>
            </w:r>
          </w:p>
        </w:tc>
        <w:tc>
          <w:tcPr>
            <w:tcW w:w="1926"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hint="eastAsia" w:ascii="仿宋" w:hAnsi="仿宋" w:eastAsia="仿宋"/>
                <w:color w:val="000000" w:themeColor="text1"/>
                <w:sz w:val="21"/>
                <w:szCs w:val="21"/>
                <w:highlight w:val="none"/>
                <w14:textFill>
                  <w14:solidFill>
                    <w14:schemeClr w14:val="tx1"/>
                  </w14:solidFill>
                </w14:textFill>
              </w:rPr>
            </w:pPr>
          </w:p>
        </w:tc>
      </w:tr>
    </w:tbl>
    <w:p>
      <w:pPr>
        <w:spacing w:line="560" w:lineRule="exact"/>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left"/>
        <w:rPr>
          <w:rFonts w:hint="eastAsia"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hint="eastAsia"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hint="eastAsia" w:ascii="方正黑体_GBK" w:hAnsi="宋体" w:eastAsia="方正黑体_GBK"/>
          <w:color w:val="000000" w:themeColor="text1"/>
          <w:sz w:val="32"/>
          <w:szCs w:val="32"/>
          <w:highlight w:val="none"/>
          <w14:textFill>
            <w14:solidFill>
              <w14:schemeClr w14:val="tx1"/>
            </w14:solidFill>
          </w14:textFill>
        </w:rPr>
      </w:pPr>
      <w:r>
        <w:rPr>
          <w:rFonts w:hint="eastAsia" w:ascii="方正黑体_GBK" w:hAnsi="宋体" w:eastAsia="方正黑体_GBK"/>
          <w:color w:val="000000" w:themeColor="text1"/>
          <w:sz w:val="32"/>
          <w:szCs w:val="32"/>
          <w:highlight w:val="none"/>
          <w14:textFill>
            <w14:solidFill>
              <w14:schemeClr w14:val="tx1"/>
            </w14:solidFill>
          </w14:textFill>
        </w:rPr>
        <w:t>附件2</w:t>
      </w:r>
    </w:p>
    <w:p>
      <w:pPr>
        <w:spacing w:line="560" w:lineRule="exact"/>
        <w:rPr>
          <w:rFonts w:hint="eastAsia"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hint="eastAsia" w:ascii="方正小标宋_GBK" w:hAnsi="方正小标宋_GBK" w:eastAsia="方正小标宋_GBK"/>
          <w:color w:val="000000" w:themeColor="text1"/>
          <w:sz w:val="44"/>
          <w:szCs w:val="44"/>
          <w:highlight w:val="none"/>
          <w14:textFill>
            <w14:solidFill>
              <w14:schemeClr w14:val="tx1"/>
            </w14:solidFill>
          </w14:textFill>
        </w:rPr>
      </w:pPr>
      <w:r>
        <w:rPr>
          <w:rFonts w:hint="eastAsia" w:ascii="方正小标宋_GBK" w:hAnsi="方正小标宋_GBK" w:eastAsia="方正小标宋_GBK"/>
          <w:color w:val="000000" w:themeColor="text1"/>
          <w:sz w:val="44"/>
          <w:szCs w:val="44"/>
          <w:highlight w:val="none"/>
          <w14:textFill>
            <w14:solidFill>
              <w14:schemeClr w14:val="tx1"/>
            </w14:solidFill>
          </w14:textFill>
        </w:rPr>
        <w:t>技术参数明细</w:t>
      </w:r>
    </w:p>
    <w:p>
      <w:pPr>
        <w:spacing w:line="560" w:lineRule="exact"/>
        <w:rPr>
          <w:rFonts w:hint="eastAsia" w:ascii="方正仿宋_GBK" w:eastAsia="方正仿宋_GBK"/>
          <w:color w:val="000000" w:themeColor="text1"/>
          <w:sz w:val="44"/>
          <w:szCs w:val="44"/>
          <w:highlight w:val="none"/>
          <w14:textFill>
            <w14:solidFill>
              <w14:schemeClr w14:val="tx1"/>
            </w14:solidFill>
          </w14:textFill>
        </w:rPr>
      </w:pP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序号</w:t>
            </w:r>
          </w:p>
        </w:tc>
        <w:tc>
          <w:tcPr>
            <w:tcW w:w="1297"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商品名称</w:t>
            </w:r>
          </w:p>
        </w:tc>
        <w:tc>
          <w:tcPr>
            <w:tcW w:w="7514" w:type="dxa"/>
            <w:noWrap/>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1</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2</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3</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hint="eastAsia" w:ascii="仿宋" w:hAnsi="仿宋" w:eastAsia="仿宋" w:cs="仿宋"/>
                <w:color w:val="000000" w:themeColor="text1"/>
                <w:sz w:val="24"/>
                <w:szCs w:val="28"/>
                <w:highlight w:val="none"/>
                <w14:textFill>
                  <w14:solidFill>
                    <w14:schemeClr w14:val="tx1"/>
                  </w14:solidFill>
                </w14:textFill>
              </w:rPr>
            </w:pPr>
          </w:p>
          <w:p>
            <w:pPr>
              <w:adjustRightInd w:val="0"/>
              <w:snapToGrid w:val="0"/>
              <w:jc w:val="center"/>
              <w:rPr>
                <w:rFonts w:hint="eastAsia"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w:t>
            </w:r>
          </w:p>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500" w:lineRule="exact"/>
        <w:rPr>
          <w:rFonts w:hint="eastAsia" w:ascii="仿宋" w:hAnsi="仿宋" w:eastAsia="仿宋"/>
          <w:color w:val="000000" w:themeColor="text1"/>
          <w:sz w:val="21"/>
          <w:szCs w:val="21"/>
          <w:highlight w:val="none"/>
          <w14:textFill>
            <w14:solidFill>
              <w14:schemeClr w14:val="tx1"/>
            </w14:solidFill>
          </w14:textFill>
        </w:rPr>
      </w:pPr>
    </w:p>
    <w:p>
      <w:pPr>
        <w:spacing w:line="500" w:lineRule="exact"/>
        <w:rPr>
          <w:rFonts w:hint="eastAsia" w:ascii="仿宋" w:hAnsi="仿宋" w:eastAsia="仿宋"/>
          <w:color w:val="000000" w:themeColor="text1"/>
          <w:sz w:val="21"/>
          <w:szCs w:val="21"/>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rPr>
          <w:rFonts w:hint="eastAsia" w:ascii="黑体" w:hAnsi="黑体"/>
          <w:b w:val="0"/>
          <w:color w:val="000000" w:themeColor="text1"/>
          <w:sz w:val="44"/>
          <w:szCs w:val="44"/>
          <w:highlight w:val="none"/>
          <w14:textFill>
            <w14:solidFill>
              <w14:schemeClr w14:val="tx1"/>
            </w14:solidFill>
          </w14:textFill>
        </w:rPr>
      </w:pPr>
    </w:p>
    <w:p>
      <w:pPr>
        <w:rPr>
          <w:rFonts w:hint="eastAsia" w:ascii="黑体" w:hAnsi="黑体"/>
          <w:b/>
          <w:color w:val="000000" w:themeColor="text1"/>
          <w:sz w:val="44"/>
          <w:szCs w:val="44"/>
          <w:highlight w:val="none"/>
          <w14:textFill>
            <w14:solidFill>
              <w14:schemeClr w14:val="tx1"/>
            </w14:solidFill>
          </w14:textFill>
        </w:rPr>
      </w:pPr>
    </w:p>
    <w:p>
      <w:pPr>
        <w:rPr>
          <w:rFonts w:hint="eastAsia" w:ascii="黑体" w:hAnsi="黑体"/>
          <w:b/>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77" w:name="_Toc12004"/>
      <w:r>
        <w:rPr>
          <w:rFonts w:hint="eastAsia" w:ascii="黑体" w:hAnsi="黑体"/>
          <w:b w:val="0"/>
          <w:color w:val="000000" w:themeColor="text1"/>
          <w:sz w:val="44"/>
          <w:szCs w:val="44"/>
          <w:highlight w:val="none"/>
          <w14:textFill>
            <w14:solidFill>
              <w14:schemeClr w14:val="tx1"/>
            </w14:solidFill>
          </w14:textFill>
        </w:rPr>
        <w:t>第六篇</w:t>
      </w:r>
      <w:r>
        <w:rPr>
          <w:rFonts w:ascii="黑体" w:hAnsi="黑体"/>
          <w:b w:val="0"/>
          <w:color w:val="000000" w:themeColor="text1"/>
          <w:sz w:val="44"/>
          <w:szCs w:val="44"/>
          <w:highlight w:val="none"/>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响应文件格式要求</w:t>
      </w:r>
      <w:bookmarkEnd w:id="76"/>
      <w:bookmarkEnd w:id="77"/>
    </w:p>
    <w:p>
      <w:pPr>
        <w:rPr>
          <w:color w:val="000000" w:themeColor="text1"/>
          <w:highlight w:val="none"/>
          <w14:textFill>
            <w14:solidFill>
              <w14:schemeClr w14:val="tx1"/>
            </w14:solidFill>
          </w14:textFill>
        </w:rPr>
      </w:pP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一、经济部分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（一）竞争性报价函</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（二）明细报价表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二、技术部分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技术响应偏离表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三、服务部分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服务响应偏离表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四、资格条件及其他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（一）营业执照（副本）或事业单位法人证书（副本）复印件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（二）组织机构代码证复印件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（三）法定代表人身份证明书（格式）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（四）法定代表人授权委托书（格式）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21或</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（六）书面声明（格式）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（七）税务登记证（副本）复印件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说明：供应商按“多证合一”登记制度办理营业执照的，</w:t>
      </w:r>
      <w:r>
        <w:rPr>
          <w:rFonts w:hint="eastAsia" w:ascii="方正仿宋_GBK" w:hAnsi="仿宋" w:eastAsia="方正仿宋_GBK" w:cs="宋体"/>
          <w:color w:val="000000" w:themeColor="text1"/>
          <w:kern w:val="0"/>
          <w:szCs w:val="28"/>
          <w:highlight w:val="none"/>
          <w14:textFill>
            <w14:solidFill>
              <w14:schemeClr w14:val="tx1"/>
            </w14:solidFill>
          </w14:textFill>
        </w:rPr>
        <w:t>组织机构代码证、税务登记证（副本）和社会保险登记证</w:t>
      </w:r>
      <w:r>
        <w:rPr>
          <w:rFonts w:hint="eastAsia" w:ascii="方正仿宋_GBK" w:hAnsi="仿宋" w:eastAsia="方正仿宋_GBK"/>
          <w:color w:val="000000" w:themeColor="text1"/>
          <w:szCs w:val="28"/>
          <w:highlight w:val="none"/>
          <w14:textFill>
            <w14:solidFill>
              <w14:schemeClr w14:val="tx1"/>
            </w14:solidFill>
          </w14:textFill>
        </w:rPr>
        <w:t>以供应商所提供的营业执照（副本）复印件为准。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五、其他应提供的资料</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（一）供应商小微企业证明文件、微型企业承诺书、监狱企业证明文件、残疾人福利性单位声明函</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（二）其他与项目有关的资料（自附）</w:t>
      </w:r>
    </w:p>
    <w:p>
      <w:pPr>
        <w:snapToGrid w:val="0"/>
        <w:spacing w:line="560" w:lineRule="exact"/>
        <w:rPr>
          <w:rFonts w:ascii="方正仿宋_GBK" w:eastAsia="方正仿宋_GBK"/>
          <w:color w:val="000000" w:themeColor="text1"/>
          <w:szCs w:val="28"/>
          <w:highlight w:val="none"/>
          <w:bdr w:val="single" w:color="auto" w:sz="4" w:space="0"/>
          <w14:textFill>
            <w14:solidFill>
              <w14:schemeClr w14:val="tx1"/>
            </w14:solidFill>
          </w14:textFill>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78" w:name="_Toc342913419"/>
      <w:bookmarkStart w:id="79" w:name="_Toc313008356"/>
      <w:bookmarkStart w:id="80" w:name="_Toc313888360"/>
      <w:bookmarkStart w:id="81" w:name="_Toc19565"/>
      <w:bookmarkStart w:id="82" w:name="_Toc283382454"/>
      <w:bookmarkStart w:id="83" w:name="_Toc12789073"/>
      <w:r>
        <w:rPr>
          <w:rFonts w:hint="eastAsia" w:ascii="方正仿宋_GBK" w:eastAsia="方正仿宋_GBK"/>
          <w:b w:val="0"/>
          <w:color w:val="000000" w:themeColor="text1"/>
          <w:sz w:val="28"/>
          <w:szCs w:val="28"/>
          <w:highlight w:val="none"/>
          <w14:textFill>
            <w14:solidFill>
              <w14:schemeClr w14:val="tx1"/>
            </w14:solidFill>
          </w14:textFill>
        </w:rPr>
        <w:t>一、经济部分</w:t>
      </w:r>
      <w:bookmarkEnd w:id="78"/>
      <w:bookmarkEnd w:id="79"/>
      <w:bookmarkEnd w:id="80"/>
      <w:bookmarkEnd w:id="81"/>
    </w:p>
    <w:bookmarkEnd w:id="82"/>
    <w:bookmarkEnd w:id="83"/>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（一）竞争性报价函</w:t>
      </w:r>
    </w:p>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竞争性报价函</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u w:val="single"/>
          <w14:textFill>
            <w14:solidFill>
              <w14:schemeClr w14:val="tx1"/>
            </w14:solidFill>
          </w14:textFill>
        </w:rPr>
        <w:t>（采购代理机构名称）</w:t>
      </w:r>
      <w:r>
        <w:rPr>
          <w:rFonts w:hint="eastAsia" w:ascii="方正仿宋_GBK" w:eastAsia="方正仿宋_GBK"/>
          <w:color w:val="000000" w:themeColor="text1"/>
          <w:szCs w:val="28"/>
          <w:highlight w:val="none"/>
          <w14:textFill>
            <w14:solidFill>
              <w14:schemeClr w14:val="tx1"/>
            </w14:solidFill>
          </w14:textFill>
        </w:rPr>
        <w:t>：</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我方收到</w:t>
      </w:r>
      <w:r>
        <w:rPr>
          <w:rFonts w:ascii="方正仿宋_GBK" w:eastAsia="方正仿宋_GBK"/>
          <w:color w:val="000000" w:themeColor="text1"/>
          <w:szCs w:val="28"/>
          <w:highlight w:val="none"/>
          <w14:textFill>
            <w14:solidFill>
              <w14:schemeClr w14:val="tx1"/>
            </w14:solidFill>
          </w14:textFill>
        </w:rPr>
        <w:t>____________________________</w:t>
      </w:r>
      <w:r>
        <w:rPr>
          <w:rFonts w:hint="eastAsia" w:ascii="方正仿宋_GBK" w:eastAsia="方正仿宋_GBK"/>
          <w:color w:val="000000" w:themeColor="text1"/>
          <w:szCs w:val="28"/>
          <w:highlight w:val="none"/>
          <w14:textFill>
            <w14:solidFill>
              <w14:schemeClr w14:val="tx1"/>
            </w14:solidFill>
          </w14:textFill>
        </w:rPr>
        <w:t>（谈判项目名称）的竞争性谈判文件，经详细研究，决定参加该谈判项目的竞争谈判。</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我方现提交的响应文件为：响应文件正本份，副本份，电子文档份。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我方承诺：本次谈判的有效期为</w:t>
      </w:r>
      <w:r>
        <w:rPr>
          <w:rFonts w:ascii="方正仿宋_GBK" w:eastAsia="方正仿宋_GBK"/>
          <w:color w:val="000000" w:themeColor="text1"/>
          <w:szCs w:val="28"/>
          <w:highlight w:val="none"/>
          <w14:textFill>
            <w14:solidFill>
              <w14:schemeClr w14:val="tx1"/>
            </w14:solidFill>
          </w14:textFill>
        </w:rPr>
        <w:t>90</w:t>
      </w:r>
      <w:r>
        <w:rPr>
          <w:rFonts w:hint="eastAsia" w:ascii="方正仿宋_GBK" w:eastAsia="方正仿宋_GBK"/>
          <w:color w:val="000000" w:themeColor="text1"/>
          <w:szCs w:val="28"/>
          <w:highlight w:val="none"/>
          <w14:textFill>
            <w14:solidFill>
              <w14:schemeClr w14:val="tx1"/>
            </w14:solidFill>
          </w14:textFill>
        </w:rPr>
        <w:t>天。</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我方完全理解和接受贵方竞争性谈判文件的一切规定和要求及谈判评审办法。</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我方未为采购项目提供整体设计、规范编制或者项目管理、监理、检测等服务。</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地址：</w:t>
      </w:r>
      <w:r>
        <w:rPr>
          <w:rFonts w:ascii="方正仿宋_GBK" w:eastAsia="方正仿宋_GBK"/>
          <w:color w:val="000000" w:themeColor="text1"/>
          <w:szCs w:val="28"/>
          <w:highlight w:val="none"/>
          <w14:textFill>
            <w14:solidFill>
              <w14:schemeClr w14:val="tx1"/>
            </w14:solidFill>
          </w14:textFill>
        </w:rPr>
        <w:t xml:space="preserve">  </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电话：</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传真：</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网址：</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邮编：</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联系人：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134" w:right="1304" w:bottom="1134" w:left="1304" w:header="851" w:footer="992" w:gutter="0"/>
          <w:pgNumType w:fmt="numberInDash"/>
          <w:cols w:space="720" w:num="1"/>
          <w:docGrid w:linePitch="380" w:charSpace="-5735"/>
        </w:sectPr>
      </w:pP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年</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月</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日</w:t>
      </w:r>
    </w:p>
    <w:p>
      <w:pPr>
        <w:tabs>
          <w:tab w:val="left" w:pos="2895"/>
        </w:tabs>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（二）明细报价表</w:t>
      </w:r>
    </w:p>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明细报价表</w:t>
      </w:r>
    </w:p>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谈判项目编号：</w:t>
      </w:r>
    </w:p>
    <w:p>
      <w:pPr>
        <w:spacing w:line="560" w:lineRule="exact"/>
        <w:rPr>
          <w:rFonts w:ascii="方正仿宋_GBK" w:eastAsia="方正仿宋_GBK"/>
          <w:color w:val="000000" w:themeColor="text1"/>
          <w:szCs w:val="28"/>
          <w:highlight w:val="none"/>
          <w:u w:val="singl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产品名称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品牌及产地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制造商名称</w:t>
            </w: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数量</w:t>
            </w:r>
          </w:p>
        </w:tc>
        <w:tc>
          <w:tcPr>
            <w:tcW w:w="1186"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单价</w:t>
            </w:r>
          </w:p>
          <w:p>
            <w:pPr>
              <w:pStyle w:val="32"/>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w:t>
            </w: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合计</w:t>
            </w:r>
          </w:p>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bl>
    <w:p>
      <w:pPr>
        <w:snapToGrid w:val="0"/>
        <w:spacing w:line="560" w:lineRule="exact"/>
        <w:rPr>
          <w:rFonts w:ascii="方正仿宋_GBK" w:eastAsia="方正仿宋_GBK"/>
          <w:color w:val="000000" w:themeColor="text1"/>
          <w:szCs w:val="28"/>
          <w:highlight w:val="none"/>
          <w14:textFill>
            <w14:solidFill>
              <w14:schemeClr w14:val="tx1"/>
            </w14:solidFill>
          </w14:textFill>
        </w:rPr>
      </w:pP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供应商应完整填写本表。</w:t>
      </w:r>
    </w:p>
    <w:p>
      <w:pPr>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2.</w:t>
      </w:r>
      <w:r>
        <w:rPr>
          <w:rFonts w:hint="eastAsia" w:ascii="方正仿宋_GBK" w:eastAsia="方正仿宋_GBK"/>
          <w:color w:val="000000" w:themeColor="text1"/>
          <w:szCs w:val="28"/>
          <w:highlight w:val="none"/>
          <w14:textFill>
            <w14:solidFill>
              <w14:schemeClr w14:val="tx1"/>
            </w14:solidFill>
          </w14:textFill>
        </w:rPr>
        <w:t>该表可扩展</w:t>
      </w:r>
      <w:bookmarkStart w:id="84" w:name="OLE_LINK2"/>
      <w:bookmarkStart w:id="85" w:name="OLE_LINK1"/>
      <w:r>
        <w:rPr>
          <w:rFonts w:hint="eastAsia" w:ascii="方正仿宋_GBK" w:eastAsia="方正仿宋_GBK"/>
          <w:color w:val="000000" w:themeColor="text1"/>
          <w:szCs w:val="28"/>
          <w:highlight w:val="none"/>
          <w14:textFill>
            <w14:solidFill>
              <w14:schemeClr w14:val="tx1"/>
            </w14:solidFill>
          </w14:textFill>
        </w:rPr>
        <w:t>，并逐页签字或盖章。</w:t>
      </w:r>
      <w:bookmarkEnd w:id="84"/>
      <w:bookmarkEnd w:id="85"/>
    </w:p>
    <w:p>
      <w:pPr>
        <w:snapToGrid w:val="0"/>
        <w:spacing w:line="560" w:lineRule="exact"/>
        <w:rPr>
          <w:rFonts w:ascii="方正仿宋_GBK" w:eastAsia="方正仿宋_GBK"/>
          <w:color w:val="000000" w:themeColor="text1"/>
          <w:szCs w:val="28"/>
          <w:highlight w:val="none"/>
          <w14:textFill>
            <w14:solidFill>
              <w14:schemeClr w14:val="tx1"/>
            </w14:solidFill>
          </w14:textFill>
        </w:rPr>
      </w:pPr>
    </w:p>
    <w:p>
      <w:pPr>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供应商名称（公章）：</w:t>
      </w:r>
    </w:p>
    <w:p>
      <w:pPr>
        <w:spacing w:line="560" w:lineRule="exact"/>
        <w:ind w:firstLine="6580" w:firstLineChars="23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月</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日</w:t>
      </w:r>
    </w:p>
    <w:p>
      <w:pPr>
        <w:snapToGrid w:val="0"/>
        <w:spacing w:line="560" w:lineRule="exact"/>
        <w:ind w:firstLine="560" w:firstLineChars="200"/>
        <w:rPr>
          <w:rFonts w:ascii="方正仿宋_GBK" w:eastAsia="方正仿宋_GBK"/>
          <w:color w:val="000000" w:themeColor="text1"/>
          <w:szCs w:val="28"/>
          <w:highlight w:val="none"/>
          <w:bdr w:val="single" w:color="auto" w:sz="4" w:space="0"/>
          <w14:textFill>
            <w14:solidFill>
              <w14:schemeClr w14:val="tx1"/>
            </w14:solidFill>
          </w14:textFill>
        </w:rPr>
        <w:sectPr>
          <w:headerReference r:id="rId15"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86" w:name="_Toc313008357"/>
      <w:bookmarkStart w:id="87" w:name="_Toc313888361"/>
      <w:bookmarkStart w:id="88" w:name="_Toc342913420"/>
      <w:bookmarkStart w:id="89" w:name="_Toc8310"/>
      <w:r>
        <w:rPr>
          <w:rFonts w:hint="eastAsia" w:ascii="方正仿宋_GBK" w:eastAsia="方正仿宋_GBK"/>
          <w:b w:val="0"/>
          <w:color w:val="000000" w:themeColor="text1"/>
          <w:sz w:val="28"/>
          <w:szCs w:val="28"/>
          <w:highlight w:val="none"/>
          <w14:textFill>
            <w14:solidFill>
              <w14:schemeClr w14:val="tx1"/>
            </w14:solidFill>
          </w14:textFill>
        </w:rPr>
        <w:t>二、技术部分</w:t>
      </w:r>
      <w:bookmarkEnd w:id="86"/>
      <w:bookmarkEnd w:id="87"/>
      <w:bookmarkEnd w:id="88"/>
      <w:bookmarkEnd w:id="89"/>
    </w:p>
    <w:p>
      <w:pPr>
        <w:snapToGrid w:val="0"/>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技术响应偏离表</w:t>
      </w:r>
    </w:p>
    <w:p>
      <w:pPr>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谈判项目编号：</w:t>
      </w:r>
    </w:p>
    <w:p>
      <w:pPr>
        <w:pStyle w:val="32"/>
        <w:tabs>
          <w:tab w:val="left" w:pos="6300"/>
        </w:tabs>
        <w:snapToGrid w:val="0"/>
        <w:spacing w:line="560" w:lineRule="exact"/>
        <w:ind w:firstLine="140" w:firstLineChars="50"/>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r>
        <w:rPr>
          <w:rFonts w:ascii="方正仿宋_GBK" w:eastAsia="方正仿宋_GBK"/>
          <w:color w:val="000000" w:themeColor="text1"/>
          <w:szCs w:val="28"/>
          <w:highlight w:val="none"/>
          <w14:textFill>
            <w14:solidFill>
              <w14:schemeClr w14:val="tx1"/>
            </w14:solidFill>
          </w14:textFill>
        </w:rPr>
        <w:t xml:space="preserve">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序号</w:t>
            </w: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采购需求</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响应情况</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bl>
    <w:p>
      <w:pPr>
        <w:spacing w:line="560" w:lineRule="exact"/>
        <w:ind w:firstLine="700" w:firstLineChars="2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法定代表人授权代表：</w:t>
      </w:r>
    </w:p>
    <w:p>
      <w:pPr>
        <w:spacing w:line="560" w:lineRule="exact"/>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（供应商公章）</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（签字或盖章）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年</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月</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本表即为对本项目“第三篇</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谈判项目技术需求”中所列技术要求进行比较和响应；</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该表可扩展，并逐页签字或盖章；</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可附相关技术支撑材料（格式自定）。</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根据响应情况在“差异说明”项填写正偏离或负偏离及原因，完全符合的填写“无差异”。</w:t>
      </w:r>
    </w:p>
    <w:p>
      <w:pPr>
        <w:pStyle w:val="4"/>
        <w:spacing w:before="0" w:after="0" w:line="560" w:lineRule="exact"/>
        <w:ind w:firstLine="420" w:firstLineChars="150"/>
        <w:rPr>
          <w:rFonts w:ascii="方正仿宋_GBK" w:eastAsia="方正仿宋_GBK"/>
          <w:b w:val="0"/>
          <w:color w:val="000000" w:themeColor="text1"/>
          <w:sz w:val="28"/>
          <w:szCs w:val="28"/>
          <w:highlight w:val="none"/>
          <w14:textFill>
            <w14:solidFill>
              <w14:schemeClr w14:val="tx1"/>
            </w14:solidFill>
          </w14:textFill>
        </w:rPr>
      </w:pPr>
      <w:r>
        <w:rPr>
          <w:rFonts w:ascii="方正仿宋_GBK" w:eastAsia="方正仿宋_GBK"/>
          <w:b w:val="0"/>
          <w:color w:val="000000" w:themeColor="text1"/>
          <w:sz w:val="28"/>
          <w:szCs w:val="28"/>
          <w:highlight w:val="none"/>
          <w14:textFill>
            <w14:solidFill>
              <w14:schemeClr w14:val="tx1"/>
            </w14:solidFill>
          </w14:textFill>
        </w:rPr>
        <w:br w:type="page"/>
      </w:r>
      <w:bookmarkStart w:id="90" w:name="_Toc16544"/>
      <w:bookmarkStart w:id="91" w:name="_Toc313888362"/>
      <w:bookmarkStart w:id="92" w:name="_Toc313008358"/>
      <w:bookmarkStart w:id="93" w:name="_Toc342913421"/>
      <w:r>
        <w:rPr>
          <w:rFonts w:hint="eastAsia" w:ascii="方正仿宋_GBK" w:eastAsia="方正仿宋_GBK"/>
          <w:b w:val="0"/>
          <w:color w:val="000000" w:themeColor="text1"/>
          <w:sz w:val="28"/>
          <w:szCs w:val="28"/>
          <w:highlight w:val="none"/>
          <w14:textFill>
            <w14:solidFill>
              <w14:schemeClr w14:val="tx1"/>
            </w14:solidFill>
          </w14:textFill>
        </w:rPr>
        <w:t>三、服务部分</w:t>
      </w:r>
      <w:bookmarkEnd w:id="90"/>
    </w:p>
    <w:p>
      <w:pPr>
        <w:snapToGrid w:val="0"/>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服务响应偏离表</w:t>
      </w:r>
    </w:p>
    <w:p>
      <w:pPr>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谈判项目编号：</w:t>
      </w:r>
    </w:p>
    <w:p>
      <w:pPr>
        <w:snapToGrid w:val="0"/>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r>
        <w:rPr>
          <w:rFonts w:ascii="方正仿宋_GBK" w:eastAsia="方正仿宋_GBK"/>
          <w:color w:val="000000" w:themeColor="text1"/>
          <w:szCs w:val="28"/>
          <w:highlight w:val="none"/>
          <w14:textFill>
            <w14:solidFill>
              <w14:schemeClr w14:val="tx1"/>
            </w14:solidFill>
          </w14:textFill>
        </w:rPr>
        <w:t xml:space="preserve"> </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序号</w:t>
            </w: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谈判项目需求</w:t>
            </w: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响应情况</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bl>
    <w:p>
      <w:pPr>
        <w:spacing w:line="560" w:lineRule="exact"/>
        <w:ind w:firstLine="700" w:firstLineChars="2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法定代表人授权代表：</w:t>
      </w:r>
    </w:p>
    <w:p>
      <w:pPr>
        <w:spacing w:line="560" w:lineRule="exact"/>
        <w:rPr>
          <w:rFonts w:ascii="方正仿宋_GBK" w:eastAsia="方正仿宋_GBK"/>
          <w:color w:val="000000" w:themeColor="text1"/>
          <w:szCs w:val="28"/>
          <w:highlight w:val="none"/>
          <w14:textFill>
            <w14:solidFill>
              <w14:schemeClr w14:val="tx1"/>
            </w14:solidFill>
          </w14:textFill>
        </w:rPr>
      </w:pP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（签字或盖章）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年</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月</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本表即为对本项目“第四篇</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谈判项目服务需求”中所列服务要求进行比较和响应；</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该表可扩展，并逐页签字或盖章；</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4. </w:t>
      </w:r>
      <w:r>
        <w:rPr>
          <w:rFonts w:hint="eastAsia" w:ascii="方正仿宋_GBK" w:eastAsia="方正仿宋_GBK"/>
          <w:color w:val="000000" w:themeColor="text1"/>
          <w:szCs w:val="28"/>
          <w:highlight w:val="none"/>
          <w14:textFill>
            <w14:solidFill>
              <w14:schemeClr w14:val="tx1"/>
            </w14:solidFill>
          </w14:textFill>
        </w:rPr>
        <w:t>根据响应情况在“差异说明”项填写正偏离或负偏离及原因，完全符合的填写“无差异”。</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94" w:name="_Toc25787"/>
      <w:r>
        <w:rPr>
          <w:rFonts w:hint="eastAsia" w:ascii="方正仿宋_GBK" w:eastAsia="方正仿宋_GBK"/>
          <w:b w:val="0"/>
          <w:color w:val="000000" w:themeColor="text1"/>
          <w:sz w:val="28"/>
          <w:szCs w:val="28"/>
          <w:highlight w:val="none"/>
          <w14:textFill>
            <w14:solidFill>
              <w14:schemeClr w14:val="tx1"/>
            </w14:solidFill>
          </w14:textFill>
        </w:rPr>
        <w:t>四、</w:t>
      </w:r>
      <w:bookmarkEnd w:id="91"/>
      <w:bookmarkEnd w:id="92"/>
      <w:bookmarkEnd w:id="93"/>
      <w:r>
        <w:rPr>
          <w:rFonts w:hint="eastAsia" w:ascii="方正仿宋_GBK" w:eastAsia="方正仿宋_GBK"/>
          <w:b w:val="0"/>
          <w:color w:val="000000" w:themeColor="text1"/>
          <w:sz w:val="28"/>
          <w:szCs w:val="28"/>
          <w:highlight w:val="none"/>
          <w14:textFill>
            <w14:solidFill>
              <w14:schemeClr w14:val="tx1"/>
            </w14:solidFill>
          </w14:textFill>
        </w:rPr>
        <w:t>资格条件及其他</w:t>
      </w:r>
      <w:bookmarkEnd w:id="94"/>
      <w:bookmarkStart w:id="95" w:name="_Toc342913422"/>
      <w:bookmarkStart w:id="96" w:name="_Toc313888363"/>
      <w:bookmarkStart w:id="97" w:name="_Toc313008359"/>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（一）营业执照（副本）或事业单位法人证书（副本）复印件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（二）组织机构代码证复印件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widowControl/>
        <w:spacing w:line="560" w:lineRule="exact"/>
        <w:ind w:firstLine="560" w:firstLineChars="200"/>
        <w:jc w:val="left"/>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（三）法定代表人身份证明书（格式）</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（法定代表人姓名）在（供应商名称）任（职务名称）职务，是（供应商名称）的法定代表人。</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特此证明。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年</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月</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日</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（附：法定代表人身份证正反面复印件）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column"/>
      </w:r>
      <w:r>
        <w:rPr>
          <w:rFonts w:hint="eastAsia" w:ascii="方正仿宋_GBK" w:eastAsia="方正仿宋_GBK"/>
          <w:color w:val="000000" w:themeColor="text1"/>
          <w:szCs w:val="28"/>
          <w:highlight w:val="none"/>
          <w14:textFill>
            <w14:solidFill>
              <w14:schemeClr w14:val="tx1"/>
            </w14:solidFill>
          </w14:textFill>
        </w:rPr>
        <w:t>（四）法定代表人授权委托书（格式）</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我单位对被授权人的签字负全部责任。</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被授权人：</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供应商法定代表人：</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（签字或盖章）</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（签字或盖章）</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（附：被授权人身份证正反面复印件）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right="560" w:firstLine="6445" w:firstLineChars="2302"/>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right="420" w:firstLine="570"/>
        <w:jc w:val="righ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月</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日</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21或</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（六）书面声明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（供应商名称）</w:t>
      </w:r>
      <w:r>
        <w:rPr>
          <w:rFonts w:hint="eastAsia" w:ascii="方正仿宋_GBK" w:hAnsi="仿宋" w:eastAsia="方正仿宋_GBK"/>
          <w:color w:val="000000" w:themeColor="text1"/>
          <w:szCs w:val="28"/>
          <w:highlight w:val="none"/>
          <w14:textFill>
            <w14:solidFill>
              <w14:schemeClr w14:val="tx1"/>
            </w14:solidFill>
          </w14:textFill>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方正仿宋_GBK" w:hAnsi="仿宋" w:eastAsia="方正仿宋_GBK"/>
          <w:color w:val="000000" w:themeColor="text1"/>
          <w:szCs w:val="28"/>
          <w:highlight w:val="none"/>
          <w14:textFill>
            <w14:solidFill>
              <w14:schemeClr w14:val="tx1"/>
            </w14:solidFill>
          </w14:textFill>
        </w:rPr>
        <w:t>www.creditchina.gov.cn</w:t>
      </w:r>
      <w:r>
        <w:rPr>
          <w:rFonts w:hint="eastAsia" w:ascii="方正仿宋_GBK" w:hAnsi="仿宋" w:eastAsia="方正仿宋_GBK"/>
          <w:color w:val="000000" w:themeColor="text1"/>
          <w:szCs w:val="28"/>
          <w:highlight w:val="none"/>
          <w14:textFill>
            <w14:solidFill>
              <w14:schemeClr w14:val="tx1"/>
            </w14:solidFill>
          </w14:textFill>
        </w:rPr>
        <w:t>）“失信被执行人”、“重大税收违法案件当事人名单”中，也未列入中国政府采购网（</w:t>
      </w:r>
      <w:r>
        <w:rPr>
          <w:rFonts w:ascii="方正仿宋_GBK" w:hAnsi="仿宋" w:eastAsia="方正仿宋_GBK"/>
          <w:color w:val="000000" w:themeColor="text1"/>
          <w:szCs w:val="28"/>
          <w:highlight w:val="none"/>
          <w14:textFill>
            <w14:solidFill>
              <w14:schemeClr w14:val="tx1"/>
            </w14:solidFill>
          </w14:textFill>
        </w:rPr>
        <w:t>www.ccgp.gov.cn</w:t>
      </w:r>
      <w:r>
        <w:rPr>
          <w:rFonts w:hint="eastAsia" w:ascii="方正仿宋_GBK" w:hAnsi="仿宋" w:eastAsia="方正仿宋_GBK"/>
          <w:color w:val="000000" w:themeColor="text1"/>
          <w:szCs w:val="28"/>
          <w:highlight w:val="none"/>
          <w14:textFill>
            <w14:solidFill>
              <w14:schemeClr w14:val="tx1"/>
            </w14:solidFill>
          </w14:textFill>
        </w:rPr>
        <w:t>）“政府采购严重违法失信行为记录名单”中，并随时接受采购人、采购代理机构的检查验证，符合《政府采购法》规定的供应商资格条件。我方对以上声明负全部法律责任。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特此声明。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right="560" w:firstLine="570"/>
        <w:jc w:val="center"/>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right="560" w:firstLine="570"/>
        <w:jc w:val="righ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月</w:t>
      </w:r>
      <w:r>
        <w:rPr>
          <w:rFonts w:ascii="方正仿宋_GBK" w:eastAsia="方正仿宋_GBK"/>
          <w:color w:val="000000" w:themeColor="text1"/>
          <w:szCs w:val="28"/>
          <w:highlight w:val="none"/>
          <w14:textFill>
            <w14:solidFill>
              <w14:schemeClr w14:val="tx1"/>
            </w14:solidFill>
          </w14:textFill>
        </w:rPr>
        <w:t xml:space="preserve">   </w:t>
      </w:r>
      <w:r>
        <w:rPr>
          <w:rFonts w:hint="eastAsia" w:ascii="方正仿宋_GBK" w:eastAsia="方正仿宋_GBK"/>
          <w:color w:val="000000" w:themeColor="text1"/>
          <w:szCs w:val="28"/>
          <w:highlight w:val="none"/>
          <w14:textFill>
            <w14:solidFill>
              <w14:schemeClr w14:val="tx1"/>
            </w14:solidFill>
          </w14:textFill>
        </w:rPr>
        <w:t>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（七）税务登记证（副本）复印件</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（八）缴纳社会保障金的证明材料复印件</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说明：供应商按“多证合一”登记制度办理营业执照的，组织机构代码证、税务登记证（副本）和社会保险登记证以供应商所提供的营业执照（副本）复印件为准。</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r>
        <w:rPr>
          <w:rFonts w:ascii="方正仿宋_GBK" w:eastAsia="方正仿宋_GBK"/>
          <w:b w:val="0"/>
          <w:color w:val="000000" w:themeColor="text1"/>
          <w:sz w:val="28"/>
          <w:szCs w:val="28"/>
          <w:highlight w:val="none"/>
          <w14:textFill>
            <w14:solidFill>
              <w14:schemeClr w14:val="tx1"/>
            </w14:solidFill>
          </w14:textFill>
        </w:rPr>
        <w:br w:type="page"/>
      </w:r>
      <w:bookmarkStart w:id="98" w:name="_Toc7759"/>
      <w:r>
        <w:rPr>
          <w:rFonts w:hint="eastAsia" w:ascii="方正仿宋_GBK" w:eastAsia="方正仿宋_GBK"/>
          <w:b w:val="0"/>
          <w:color w:val="000000" w:themeColor="text1"/>
          <w:sz w:val="28"/>
          <w:szCs w:val="28"/>
          <w:highlight w:val="none"/>
          <w14:textFill>
            <w14:solidFill>
              <w14:schemeClr w14:val="tx1"/>
            </w14:solidFill>
          </w14:textFill>
        </w:rPr>
        <w:t>五、</w:t>
      </w:r>
      <w:bookmarkEnd w:id="95"/>
      <w:bookmarkEnd w:id="96"/>
      <w:bookmarkEnd w:id="97"/>
      <w:r>
        <w:rPr>
          <w:rFonts w:hint="eastAsia" w:ascii="方正仿宋_GBK" w:eastAsia="方正仿宋_GBK"/>
          <w:b w:val="0"/>
          <w:color w:val="000000" w:themeColor="text1"/>
          <w:sz w:val="28"/>
          <w:szCs w:val="28"/>
          <w:highlight w:val="none"/>
          <w14:textFill>
            <w14:solidFill>
              <w14:schemeClr w14:val="tx1"/>
            </w14:solidFill>
          </w14:textFill>
        </w:rPr>
        <w:t>其他应提供的资料</w:t>
      </w:r>
      <w:bookmarkEnd w:id="98"/>
    </w:p>
    <w:p>
      <w:pPr>
        <w:tabs>
          <w:tab w:val="left" w:pos="6300"/>
        </w:tabs>
        <w:snapToGrid w:val="0"/>
        <w:spacing w:line="560" w:lineRule="exact"/>
        <w:ind w:firstLine="560"/>
        <w:jc w:val="lef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（一）供应商小微企业证明文件、微型企业承诺书、监狱企业证明文件、残疾人福利性单位声明函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供应商提供企业所在地的县级以上中小企业主管部门本年度出具的证明文件</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微型企业承诺书</w:t>
      </w:r>
    </w:p>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微型企业承诺书</w:t>
      </w:r>
    </w:p>
    <w:p>
      <w:pPr>
        <w:tabs>
          <w:tab w:val="left" w:pos="6300"/>
        </w:tabs>
        <w:snapToGrid w:val="0"/>
        <w:spacing w:line="560" w:lineRule="exact"/>
        <w:jc w:val="center"/>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（供应商名称）郑重声明，我公司符合工信部联企业〔</w:t>
      </w:r>
      <w:r>
        <w:rPr>
          <w:rFonts w:ascii="方正仿宋_GBK" w:hAnsi="仿宋" w:eastAsia="方正仿宋_GBK"/>
          <w:color w:val="000000" w:themeColor="text1"/>
          <w:szCs w:val="28"/>
          <w:highlight w:val="none"/>
          <w14:textFill>
            <w14:solidFill>
              <w14:schemeClr w14:val="tx1"/>
            </w14:solidFill>
          </w14:textFill>
        </w:rPr>
        <w:t>2011</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300</w:t>
      </w:r>
      <w:r>
        <w:rPr>
          <w:rFonts w:hint="eastAsia" w:ascii="方正仿宋_GBK" w:hAnsi="仿宋" w:eastAsia="方正仿宋_GBK"/>
          <w:color w:val="000000" w:themeColor="text1"/>
          <w:szCs w:val="28"/>
          <w:highlight w:val="none"/>
          <w14:textFill>
            <w14:solidFill>
              <w14:schemeClr w14:val="tx1"/>
            </w14:solidFill>
          </w14:textFill>
        </w:rPr>
        <w:t>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特此承诺。</w:t>
      </w: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jc w:val="righ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供应商名称（盖章）：</w:t>
      </w:r>
    </w:p>
    <w:p>
      <w:pPr>
        <w:tabs>
          <w:tab w:val="left" w:pos="6300"/>
        </w:tabs>
        <w:snapToGrid w:val="0"/>
        <w:spacing w:line="560" w:lineRule="exact"/>
        <w:ind w:firstLine="7840" w:firstLineChars="2800"/>
        <w:jc w:val="left"/>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日</w:t>
      </w:r>
      <w:r>
        <w:rPr>
          <w:rFonts w:ascii="方正仿宋_GBK" w:hAnsi="仿宋" w:eastAsia="方正仿宋_GBK"/>
          <w:color w:val="000000" w:themeColor="text1"/>
          <w:szCs w:val="28"/>
          <w:highlight w:val="none"/>
          <w14:textFill>
            <w14:solidFill>
              <w14:schemeClr w14:val="tx1"/>
            </w14:solidFill>
          </w14:textFill>
        </w:rPr>
        <w:t xml:space="preserve">  </w:t>
      </w:r>
      <w:r>
        <w:rPr>
          <w:rFonts w:hint="eastAsia" w:ascii="方正仿宋_GBK" w:hAnsi="仿宋" w:eastAsia="方正仿宋_GBK"/>
          <w:color w:val="000000" w:themeColor="text1"/>
          <w:szCs w:val="28"/>
          <w:highlight w:val="none"/>
          <w14:textFill>
            <w14:solidFill>
              <w14:schemeClr w14:val="tx1"/>
            </w14:solidFill>
          </w14:textFill>
        </w:rPr>
        <w:t>期：</w:t>
      </w:r>
    </w:p>
    <w:p>
      <w:pPr>
        <w:tabs>
          <w:tab w:val="left" w:pos="6300"/>
        </w:tabs>
        <w:snapToGrid w:val="0"/>
        <w:spacing w:line="560" w:lineRule="exact"/>
        <w:ind w:firstLine="560" w:firstLineChars="200"/>
        <w:outlineLvl w:val="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br w:type="page"/>
      </w:r>
      <w:r>
        <w:rPr>
          <w:rFonts w:ascii="方正仿宋_GBK" w:hAnsi="仿宋" w:eastAsia="方正仿宋_GBK"/>
          <w:color w:val="000000" w:themeColor="text1"/>
          <w:szCs w:val="28"/>
          <w:highlight w:val="none"/>
          <w14:textFill>
            <w14:solidFill>
              <w14:schemeClr w14:val="tx1"/>
            </w14:solidFill>
          </w14:textFill>
        </w:rPr>
        <w:t>3.</w:t>
      </w:r>
      <w:r>
        <w:rPr>
          <w:rFonts w:hint="eastAsia" w:ascii="方正仿宋_GBK" w:hAnsi="仿宋" w:eastAsia="方正仿宋_GBK"/>
          <w:color w:val="000000" w:themeColor="text1"/>
          <w:szCs w:val="28"/>
          <w:highlight w:val="none"/>
          <w14:textFill>
            <w14:solidFill>
              <w14:schemeClr w14:val="tx1"/>
            </w14:solidFill>
          </w14:textFill>
        </w:rPr>
        <w:t>监狱企业证明文件</w:t>
      </w:r>
    </w:p>
    <w:p>
      <w:pPr>
        <w:tabs>
          <w:tab w:val="left" w:pos="6300"/>
        </w:tabs>
        <w:snapToGrid w:val="0"/>
        <w:spacing w:line="560" w:lineRule="exact"/>
        <w:ind w:firstLine="560" w:firstLineChars="200"/>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以省级以上监狱管理局、戒毒管理局（含新疆生产建设兵团）出具的属于监狱企业的证明文件为准。</w:t>
      </w:r>
      <w:r>
        <w:rPr>
          <w:rFonts w:ascii="方正仿宋_GBK" w:hAnsi="仿宋" w:eastAsia="方正仿宋_GBK"/>
          <w:color w:val="000000" w:themeColor="text1"/>
          <w:szCs w:val="28"/>
          <w:highlight w:val="none"/>
          <w14:textFill>
            <w14:solidFill>
              <w14:schemeClr w14:val="tx1"/>
            </w14:solidFill>
          </w14:textFill>
        </w:rPr>
        <w:br w:type="page"/>
      </w:r>
      <w:r>
        <w:rPr>
          <w:rFonts w:ascii="方正仿宋_GBK" w:hAnsi="仿宋" w:eastAsia="方正仿宋_GBK"/>
          <w:color w:val="000000" w:themeColor="text1"/>
          <w:szCs w:val="28"/>
          <w:highlight w:val="none"/>
          <w14:textFill>
            <w14:solidFill>
              <w14:schemeClr w14:val="tx1"/>
            </w14:solidFill>
          </w14:textFill>
        </w:rPr>
        <w:t>4.</w:t>
      </w:r>
      <w:r>
        <w:rPr>
          <w:rFonts w:hint="eastAsia" w:ascii="方正仿宋_GBK" w:hAnsi="仿宋" w:eastAsia="方正仿宋_GBK"/>
          <w:color w:val="000000" w:themeColor="text1"/>
          <w:szCs w:val="28"/>
          <w:highlight w:val="none"/>
          <w14:textFill>
            <w14:solidFill>
              <w14:schemeClr w14:val="tx1"/>
            </w14:solidFill>
          </w14:textFill>
        </w:rPr>
        <w:t>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jc w:val="center"/>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本单位郑重声明，根据《财政部</w:t>
      </w:r>
      <w:r>
        <w:rPr>
          <w:rFonts w:ascii="方正仿宋_GBK" w:hAnsi="仿宋" w:eastAsia="方正仿宋_GBK"/>
          <w:color w:val="000000" w:themeColor="text1"/>
          <w:szCs w:val="28"/>
          <w:highlight w:val="none"/>
          <w14:textFill>
            <w14:solidFill>
              <w14:schemeClr w14:val="tx1"/>
            </w14:solidFill>
          </w14:textFill>
        </w:rPr>
        <w:t xml:space="preserve"> </w:t>
      </w:r>
      <w:r>
        <w:rPr>
          <w:rFonts w:hint="eastAsia" w:ascii="方正仿宋_GBK" w:hAnsi="仿宋" w:eastAsia="方正仿宋_GBK"/>
          <w:color w:val="000000" w:themeColor="text1"/>
          <w:szCs w:val="28"/>
          <w:highlight w:val="none"/>
          <w14:textFill>
            <w14:solidFill>
              <w14:schemeClr w14:val="tx1"/>
            </w14:solidFill>
          </w14:textFill>
        </w:rPr>
        <w:t>民政部</w:t>
      </w:r>
      <w:r>
        <w:rPr>
          <w:rFonts w:ascii="方正仿宋_GBK" w:hAnsi="仿宋" w:eastAsia="方正仿宋_GBK"/>
          <w:color w:val="000000" w:themeColor="text1"/>
          <w:szCs w:val="28"/>
          <w:highlight w:val="none"/>
          <w14:textFill>
            <w14:solidFill>
              <w14:schemeClr w14:val="tx1"/>
            </w14:solidFill>
          </w14:textFill>
        </w:rPr>
        <w:t xml:space="preserve"> </w:t>
      </w:r>
      <w:r>
        <w:rPr>
          <w:rFonts w:hint="eastAsia" w:ascii="方正仿宋_GBK" w:hAnsi="仿宋" w:eastAsia="方正仿宋_GBK"/>
          <w:color w:val="000000" w:themeColor="text1"/>
          <w:szCs w:val="28"/>
          <w:highlight w:val="none"/>
          <w14:textFill>
            <w14:solidFill>
              <w14:schemeClr w14:val="tx1"/>
            </w14:solidFill>
          </w14:textFill>
        </w:rPr>
        <w:t>中国残疾人联合会关于促进残疾人就业政府采购政策的通知》（财库〔</w:t>
      </w:r>
      <w:r>
        <w:rPr>
          <w:rFonts w:ascii="方正仿宋_GBK" w:hAnsi="仿宋" w:eastAsia="方正仿宋_GBK"/>
          <w:color w:val="000000" w:themeColor="text1"/>
          <w:szCs w:val="28"/>
          <w:highlight w:val="none"/>
          <w14:textFill>
            <w14:solidFill>
              <w14:schemeClr w14:val="tx1"/>
            </w14:solidFill>
          </w14:textFill>
        </w:rPr>
        <w:t>2017</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 xml:space="preserve"> 141</w:t>
      </w:r>
      <w:r>
        <w:rPr>
          <w:rFonts w:hint="eastAsia" w:ascii="方正仿宋_GBK" w:hAnsi="仿宋" w:eastAsia="方正仿宋_GBK"/>
          <w:color w:val="000000" w:themeColor="text1"/>
          <w:szCs w:val="28"/>
          <w:highlight w:val="none"/>
          <w14:textFill>
            <w14:solidFill>
              <w14:schemeClr w14:val="tx1"/>
            </w14:solidFill>
          </w14:textFill>
        </w:rPr>
        <w:t>号）的规定，本单位为符合条件的残疾人福利性单位，且本单位参加</w:t>
      </w:r>
      <w:r>
        <w:rPr>
          <w:rFonts w:ascii="方正仿宋_GBK" w:hAnsi="仿宋" w:eastAsia="方正仿宋_GBK"/>
          <w:color w:val="000000" w:themeColor="text1"/>
          <w:szCs w:val="28"/>
          <w:highlight w:val="none"/>
          <w14:textFill>
            <w14:solidFill>
              <w14:schemeClr w14:val="tx1"/>
            </w14:solidFill>
          </w14:textFill>
        </w:rPr>
        <w:t>______</w:t>
      </w:r>
      <w:r>
        <w:rPr>
          <w:rFonts w:hint="eastAsia" w:ascii="方正仿宋_GBK" w:hAnsi="仿宋" w:eastAsia="方正仿宋_GBK"/>
          <w:color w:val="000000" w:themeColor="text1"/>
          <w:szCs w:val="28"/>
          <w:highlight w:val="none"/>
          <w14:textFill>
            <w14:solidFill>
              <w14:schemeClr w14:val="tx1"/>
            </w14:solidFill>
          </w14:textFill>
        </w:rPr>
        <w:t>单位的</w:t>
      </w:r>
      <w:r>
        <w:rPr>
          <w:rFonts w:ascii="方正仿宋_GBK" w:hAnsi="仿宋" w:eastAsia="方正仿宋_GBK"/>
          <w:color w:val="000000" w:themeColor="text1"/>
          <w:szCs w:val="28"/>
          <w:highlight w:val="none"/>
          <w14:textFill>
            <w14:solidFill>
              <w14:schemeClr w14:val="tx1"/>
            </w14:solidFill>
          </w14:textFill>
        </w:rPr>
        <w:t>______</w:t>
      </w:r>
      <w:r>
        <w:rPr>
          <w:rFonts w:hint="eastAsia" w:ascii="方正仿宋_GBK" w:hAnsi="仿宋" w:eastAsia="方正仿宋_GBK"/>
          <w:color w:val="000000" w:themeColor="text1"/>
          <w:szCs w:val="28"/>
          <w:highlight w:val="none"/>
          <w14:textFill>
            <w14:solidFill>
              <w14:schemeClr w14:val="tx1"/>
            </w14:solidFill>
          </w14:textFill>
        </w:rPr>
        <w:t>项目采购活动提供本单位制造的货物（由本单位承担工程</w:t>
      </w:r>
      <w:r>
        <w:rPr>
          <w:rFonts w:ascii="方正仿宋_GBK" w:hAnsi="仿宋" w:eastAsia="方正仿宋_GBK"/>
          <w:color w:val="000000" w:themeColor="text1"/>
          <w:szCs w:val="28"/>
          <w:highlight w:val="none"/>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本单位对上述声明的真实性负责。如有虚假，将依法承担相应责任。</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 xml:space="preserve">                                        </w:t>
      </w:r>
      <w:r>
        <w:rPr>
          <w:rFonts w:hint="eastAsia" w:ascii="方正仿宋_GBK" w:hAnsi="仿宋" w:eastAsia="方正仿宋_GBK"/>
          <w:color w:val="000000" w:themeColor="text1"/>
          <w:szCs w:val="28"/>
          <w:highlight w:val="none"/>
          <w14:textFill>
            <w14:solidFill>
              <w14:schemeClr w14:val="tx1"/>
            </w14:solidFill>
          </w14:textFill>
        </w:rPr>
        <w:t>供应商名称（盖章）：</w:t>
      </w:r>
    </w:p>
    <w:p>
      <w:pPr>
        <w:tabs>
          <w:tab w:val="left" w:pos="6300"/>
        </w:tabs>
        <w:snapToGrid w:val="0"/>
        <w:spacing w:line="560" w:lineRule="exact"/>
        <w:ind w:firstLine="570"/>
        <w:jc w:val="left"/>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 xml:space="preserve">                                         </w:t>
      </w:r>
      <w:r>
        <w:rPr>
          <w:rFonts w:hint="eastAsia" w:ascii="方正仿宋_GBK" w:hAnsi="仿宋" w:eastAsia="方正仿宋_GBK"/>
          <w:color w:val="000000" w:themeColor="text1"/>
          <w:szCs w:val="28"/>
          <w:highlight w:val="none"/>
          <w14:textFill>
            <w14:solidFill>
              <w14:schemeClr w14:val="tx1"/>
            </w14:solidFill>
          </w14:textFill>
        </w:rPr>
        <w:t>日</w:t>
      </w:r>
      <w:r>
        <w:rPr>
          <w:rFonts w:ascii="方正仿宋_GBK" w:hAnsi="仿宋" w:eastAsia="方正仿宋_GBK"/>
          <w:color w:val="000000" w:themeColor="text1"/>
          <w:szCs w:val="28"/>
          <w:highlight w:val="none"/>
          <w14:textFill>
            <w14:solidFill>
              <w14:schemeClr w14:val="tx1"/>
            </w14:solidFill>
          </w14:textFill>
        </w:rPr>
        <w:t xml:space="preserve">  </w:t>
      </w:r>
      <w:r>
        <w:rPr>
          <w:rFonts w:hint="eastAsia" w:ascii="方正仿宋_GBK" w:hAnsi="仿宋" w:eastAsia="方正仿宋_GBK"/>
          <w:color w:val="000000" w:themeColor="text1"/>
          <w:szCs w:val="28"/>
          <w:highlight w:val="none"/>
          <w14:textFill>
            <w14:solidFill>
              <w14:schemeClr w14:val="tx1"/>
            </w14:solidFill>
          </w14:textFill>
        </w:rPr>
        <w:t>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br w:type="page"/>
      </w:r>
      <w:r>
        <w:rPr>
          <w:rFonts w:hint="eastAsia" w:ascii="方正仿宋_GBK" w:hAnsi="仿宋" w:eastAsia="方正仿宋_GBK"/>
          <w:color w:val="000000" w:themeColor="text1"/>
          <w:szCs w:val="28"/>
          <w:highlight w:val="none"/>
          <w14:textFill>
            <w14:solidFill>
              <w14:schemeClr w14:val="tx1"/>
            </w14:solidFill>
          </w14:textFill>
        </w:rPr>
        <w:t>（二）其他与项目有关的资料（自附）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（结束）</w:t>
      </w:r>
    </w:p>
    <w:sectPr>
      <w:headerReference r:id="rId16"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1"/>
      </w:rPr>
    </w:pPr>
    <w:r>
      <w:rPr>
        <w:rStyle w:val="61"/>
      </w:rPr>
      <w:fldChar w:fldCharType="begin"/>
    </w:r>
    <w:r>
      <w:rPr>
        <w:rStyle w:val="61"/>
      </w:rPr>
      <w:instrText xml:space="preserve">PAGE  </w:instrText>
    </w:r>
    <w:r>
      <w:rPr>
        <w:rStyle w:val="61"/>
      </w:rPr>
      <w:fldChar w:fldCharType="separate"/>
    </w:r>
    <w:r>
      <w:rPr>
        <w:rStyle w:val="61"/>
      </w:rPr>
      <w:t>- 1 -</w:t>
    </w:r>
    <w:r>
      <w:rPr>
        <w:rStyle w:val="61"/>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r>
      <w:rPr>
        <w:rStyle w:val="61"/>
      </w:rPr>
      <w:fldChar w:fldCharType="begin"/>
    </w:r>
    <w:r>
      <w:rPr>
        <w:rStyle w:val="61"/>
      </w:rPr>
      <w:instrText xml:space="preserve">PAGE  </w:instrText>
    </w:r>
    <w:r>
      <w:rPr>
        <w:rStyle w:val="61"/>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p>
  <w:p>
    <w:pPr>
      <w:pStyle w:val="35"/>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1"/>
        <w:sz w:val="21"/>
        <w:szCs w:val="21"/>
      </w:rPr>
    </w:pPr>
    <w:r>
      <w:rPr>
        <w:rStyle w:val="61"/>
        <w:sz w:val="21"/>
        <w:szCs w:val="21"/>
      </w:rPr>
      <w:fldChar w:fldCharType="begin"/>
    </w:r>
    <w:r>
      <w:rPr>
        <w:rStyle w:val="61"/>
        <w:sz w:val="21"/>
        <w:szCs w:val="21"/>
      </w:rPr>
      <w:instrText xml:space="preserve">PAGE  </w:instrText>
    </w:r>
    <w:r>
      <w:rPr>
        <w:rStyle w:val="61"/>
        <w:sz w:val="21"/>
        <w:szCs w:val="21"/>
      </w:rPr>
      <w:fldChar w:fldCharType="separate"/>
    </w:r>
    <w:r>
      <w:rPr>
        <w:rStyle w:val="61"/>
        <w:sz w:val="21"/>
        <w:szCs w:val="21"/>
      </w:rPr>
      <w:t>- 21 -</w:t>
    </w:r>
    <w:r>
      <w:rPr>
        <w:rStyle w:val="61"/>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r>
      <w:rPr>
        <w:rStyle w:val="61"/>
      </w:rPr>
      <w:fldChar w:fldCharType="begin"/>
    </w:r>
    <w:r>
      <w:rPr>
        <w:rStyle w:val="61"/>
      </w:rPr>
      <w:instrText xml:space="preserve">PAGE  </w:instrText>
    </w:r>
    <w:r>
      <w:rPr>
        <w:rStyle w:val="61"/>
      </w:rP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p>
  <w:p>
    <w:pPr>
      <w:pStyle w:val="35"/>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1"/>
        <w:szCs w:val="21"/>
      </w:rPr>
    </w:pPr>
    <w:r>
      <w:rPr>
        <w:rStyle w:val="61"/>
        <w:sz w:val="21"/>
        <w:szCs w:val="21"/>
      </w:rPr>
      <w:fldChar w:fldCharType="begin"/>
    </w:r>
    <w:r>
      <w:rPr>
        <w:rStyle w:val="61"/>
        <w:sz w:val="21"/>
        <w:szCs w:val="21"/>
      </w:rPr>
      <w:instrText xml:space="preserve"> PAGE </w:instrText>
    </w:r>
    <w:r>
      <w:rPr>
        <w:rStyle w:val="61"/>
        <w:sz w:val="21"/>
        <w:szCs w:val="21"/>
      </w:rPr>
      <w:fldChar w:fldCharType="separate"/>
    </w:r>
    <w:r>
      <w:rPr>
        <w:rStyle w:val="61"/>
        <w:sz w:val="21"/>
        <w:szCs w:val="21"/>
      </w:rPr>
      <w:t>- 43 -</w:t>
    </w:r>
    <w:r>
      <w:rPr>
        <w:rStyle w:val="61"/>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w:t>
    </w:r>
    <w:r>
      <w:rPr>
        <w:rFonts w:ascii="方正仿宋_GBK" w:eastAsia="方正仿宋_GBK"/>
        <w:sz w:val="21"/>
      </w:rPr>
      <w:t xml:space="preserve">                                                      </w:t>
    </w:r>
    <w:r>
      <w:rPr>
        <w:rFonts w:hint="eastAsia" w:ascii="方正仿宋_GBK" w:eastAsia="方正仿宋_GBK"/>
        <w:sz w:val="21"/>
      </w:rPr>
      <w:t>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9270B"/>
    <w:multiLevelType w:val="multilevel"/>
    <w:tmpl w:val="4DE9270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oNotHyphenateCaps/>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wOTAyMzZkZjE2MTdhZjFhODQ1YTRmNTUxNTFhMTcifQ=="/>
  </w:docVars>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41A"/>
    <w:rsid w:val="000358F8"/>
    <w:rsid w:val="0003632F"/>
    <w:rsid w:val="00036537"/>
    <w:rsid w:val="00037364"/>
    <w:rsid w:val="00042156"/>
    <w:rsid w:val="00043C9B"/>
    <w:rsid w:val="000446C0"/>
    <w:rsid w:val="0005298B"/>
    <w:rsid w:val="00054308"/>
    <w:rsid w:val="0005456D"/>
    <w:rsid w:val="000549FF"/>
    <w:rsid w:val="0005579D"/>
    <w:rsid w:val="000576E1"/>
    <w:rsid w:val="000608A2"/>
    <w:rsid w:val="00063981"/>
    <w:rsid w:val="00064FA3"/>
    <w:rsid w:val="00067E3F"/>
    <w:rsid w:val="0007090D"/>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05B"/>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641F"/>
    <w:rsid w:val="001376CB"/>
    <w:rsid w:val="001378A9"/>
    <w:rsid w:val="001401FF"/>
    <w:rsid w:val="001408A4"/>
    <w:rsid w:val="00140C83"/>
    <w:rsid w:val="00140E25"/>
    <w:rsid w:val="00147FB4"/>
    <w:rsid w:val="0015011C"/>
    <w:rsid w:val="00150429"/>
    <w:rsid w:val="00152C54"/>
    <w:rsid w:val="0015351E"/>
    <w:rsid w:val="0015411E"/>
    <w:rsid w:val="0016035A"/>
    <w:rsid w:val="001605C7"/>
    <w:rsid w:val="0016303B"/>
    <w:rsid w:val="00165086"/>
    <w:rsid w:val="00165C17"/>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505E"/>
    <w:rsid w:val="001A6DCC"/>
    <w:rsid w:val="001A78C2"/>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17A4"/>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757"/>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0450"/>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309"/>
    <w:rsid w:val="003B7B71"/>
    <w:rsid w:val="003C0A38"/>
    <w:rsid w:val="003C0B33"/>
    <w:rsid w:val="003C2F4C"/>
    <w:rsid w:val="003C2FDC"/>
    <w:rsid w:val="003C3A20"/>
    <w:rsid w:val="003C4B29"/>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638"/>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2A6"/>
    <w:rsid w:val="00552CBA"/>
    <w:rsid w:val="0055688B"/>
    <w:rsid w:val="00556AA7"/>
    <w:rsid w:val="005573AE"/>
    <w:rsid w:val="0056050C"/>
    <w:rsid w:val="00562860"/>
    <w:rsid w:val="0056298A"/>
    <w:rsid w:val="00566A85"/>
    <w:rsid w:val="00571368"/>
    <w:rsid w:val="00572414"/>
    <w:rsid w:val="00573AE3"/>
    <w:rsid w:val="00576F8B"/>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E19"/>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653B"/>
    <w:rsid w:val="0071711C"/>
    <w:rsid w:val="007207A9"/>
    <w:rsid w:val="00721F54"/>
    <w:rsid w:val="00724F97"/>
    <w:rsid w:val="00726088"/>
    <w:rsid w:val="0072665C"/>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3110"/>
    <w:rsid w:val="00836A3D"/>
    <w:rsid w:val="0083770E"/>
    <w:rsid w:val="008402BC"/>
    <w:rsid w:val="008409FC"/>
    <w:rsid w:val="00841FC8"/>
    <w:rsid w:val="00842974"/>
    <w:rsid w:val="0084353E"/>
    <w:rsid w:val="00851805"/>
    <w:rsid w:val="00853516"/>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24D"/>
    <w:rsid w:val="008A7BD2"/>
    <w:rsid w:val="008B12E9"/>
    <w:rsid w:val="008B626E"/>
    <w:rsid w:val="008B63A1"/>
    <w:rsid w:val="008C28C6"/>
    <w:rsid w:val="008C3708"/>
    <w:rsid w:val="008C3801"/>
    <w:rsid w:val="008C510F"/>
    <w:rsid w:val="008D3076"/>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1D6E"/>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44DDD"/>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180F"/>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C7CAC"/>
    <w:rsid w:val="009D01D6"/>
    <w:rsid w:val="009D2934"/>
    <w:rsid w:val="009D29F0"/>
    <w:rsid w:val="009D3530"/>
    <w:rsid w:val="009D6931"/>
    <w:rsid w:val="009E57E8"/>
    <w:rsid w:val="009E6227"/>
    <w:rsid w:val="009E737D"/>
    <w:rsid w:val="009E749B"/>
    <w:rsid w:val="009F4390"/>
    <w:rsid w:val="009F5335"/>
    <w:rsid w:val="00A0291F"/>
    <w:rsid w:val="00A0308E"/>
    <w:rsid w:val="00A03977"/>
    <w:rsid w:val="00A050D4"/>
    <w:rsid w:val="00A06324"/>
    <w:rsid w:val="00A06A56"/>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41FA"/>
    <w:rsid w:val="00A553F3"/>
    <w:rsid w:val="00A575D9"/>
    <w:rsid w:val="00A57A7E"/>
    <w:rsid w:val="00A60C8A"/>
    <w:rsid w:val="00A61E81"/>
    <w:rsid w:val="00A63E95"/>
    <w:rsid w:val="00A64C1A"/>
    <w:rsid w:val="00A66DEB"/>
    <w:rsid w:val="00A67DFB"/>
    <w:rsid w:val="00A711C6"/>
    <w:rsid w:val="00A712B9"/>
    <w:rsid w:val="00A7324C"/>
    <w:rsid w:val="00A7339B"/>
    <w:rsid w:val="00A7358D"/>
    <w:rsid w:val="00A7593D"/>
    <w:rsid w:val="00A75ABC"/>
    <w:rsid w:val="00A837D7"/>
    <w:rsid w:val="00A84863"/>
    <w:rsid w:val="00A9131A"/>
    <w:rsid w:val="00A91739"/>
    <w:rsid w:val="00A92C51"/>
    <w:rsid w:val="00A930D0"/>
    <w:rsid w:val="00A95B77"/>
    <w:rsid w:val="00A95D95"/>
    <w:rsid w:val="00A977EC"/>
    <w:rsid w:val="00AA24F6"/>
    <w:rsid w:val="00AA3FD1"/>
    <w:rsid w:val="00AA4288"/>
    <w:rsid w:val="00AA4D0E"/>
    <w:rsid w:val="00AA5374"/>
    <w:rsid w:val="00AA6978"/>
    <w:rsid w:val="00AA6E07"/>
    <w:rsid w:val="00AB0701"/>
    <w:rsid w:val="00AB3AB4"/>
    <w:rsid w:val="00AB5D3A"/>
    <w:rsid w:val="00AB5ED3"/>
    <w:rsid w:val="00AB6B0C"/>
    <w:rsid w:val="00AB70CD"/>
    <w:rsid w:val="00AB78AC"/>
    <w:rsid w:val="00AC2047"/>
    <w:rsid w:val="00AC28C5"/>
    <w:rsid w:val="00AC2F9D"/>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362A"/>
    <w:rsid w:val="00AE6CDD"/>
    <w:rsid w:val="00AF01B3"/>
    <w:rsid w:val="00AF0F13"/>
    <w:rsid w:val="00AF3270"/>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181C"/>
    <w:rsid w:val="00B823F6"/>
    <w:rsid w:val="00B82A0B"/>
    <w:rsid w:val="00B90210"/>
    <w:rsid w:val="00B92D33"/>
    <w:rsid w:val="00B9322B"/>
    <w:rsid w:val="00B93463"/>
    <w:rsid w:val="00B93D5C"/>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5B76"/>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1740"/>
    <w:rsid w:val="00CB265C"/>
    <w:rsid w:val="00CB39E0"/>
    <w:rsid w:val="00CB4D59"/>
    <w:rsid w:val="00CB7A07"/>
    <w:rsid w:val="00CC010B"/>
    <w:rsid w:val="00CC296F"/>
    <w:rsid w:val="00CC457C"/>
    <w:rsid w:val="00CC59BB"/>
    <w:rsid w:val="00CD635D"/>
    <w:rsid w:val="00CD7CED"/>
    <w:rsid w:val="00CE04C7"/>
    <w:rsid w:val="00CE41F7"/>
    <w:rsid w:val="00CE452B"/>
    <w:rsid w:val="00CE5156"/>
    <w:rsid w:val="00CE63B1"/>
    <w:rsid w:val="00CE63D4"/>
    <w:rsid w:val="00CF156B"/>
    <w:rsid w:val="00CF1E02"/>
    <w:rsid w:val="00CF2D68"/>
    <w:rsid w:val="00CF329B"/>
    <w:rsid w:val="00CF5856"/>
    <w:rsid w:val="00CF597A"/>
    <w:rsid w:val="00D009B0"/>
    <w:rsid w:val="00D032D5"/>
    <w:rsid w:val="00D032DB"/>
    <w:rsid w:val="00D03884"/>
    <w:rsid w:val="00D05BAA"/>
    <w:rsid w:val="00D07FB9"/>
    <w:rsid w:val="00D121B8"/>
    <w:rsid w:val="00D13B7A"/>
    <w:rsid w:val="00D14F14"/>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0350"/>
    <w:rsid w:val="00D51EC5"/>
    <w:rsid w:val="00D52376"/>
    <w:rsid w:val="00D526E0"/>
    <w:rsid w:val="00D57ACB"/>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5E4C"/>
    <w:rsid w:val="00E563CD"/>
    <w:rsid w:val="00E564C0"/>
    <w:rsid w:val="00E570D9"/>
    <w:rsid w:val="00E57F6B"/>
    <w:rsid w:val="00E6083B"/>
    <w:rsid w:val="00E6212D"/>
    <w:rsid w:val="00E6236B"/>
    <w:rsid w:val="00E67A2C"/>
    <w:rsid w:val="00E707DE"/>
    <w:rsid w:val="00E71934"/>
    <w:rsid w:val="00E7342C"/>
    <w:rsid w:val="00E742D4"/>
    <w:rsid w:val="00E75F51"/>
    <w:rsid w:val="00E75FA3"/>
    <w:rsid w:val="00E76943"/>
    <w:rsid w:val="00E81555"/>
    <w:rsid w:val="00E81B99"/>
    <w:rsid w:val="00E86A66"/>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62F0"/>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57A"/>
    <w:rsid w:val="00F95676"/>
    <w:rsid w:val="00F95696"/>
    <w:rsid w:val="00FA0238"/>
    <w:rsid w:val="00FA0979"/>
    <w:rsid w:val="00FA3531"/>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3A7135"/>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C95DA1"/>
    <w:rsid w:val="08D572C1"/>
    <w:rsid w:val="08E510DE"/>
    <w:rsid w:val="08FF7CC3"/>
    <w:rsid w:val="0944018A"/>
    <w:rsid w:val="09520EFD"/>
    <w:rsid w:val="09885115"/>
    <w:rsid w:val="099B6B0C"/>
    <w:rsid w:val="09AF6CB3"/>
    <w:rsid w:val="09B92303"/>
    <w:rsid w:val="09D006AC"/>
    <w:rsid w:val="09D93CA9"/>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C954FA"/>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B61AAE"/>
    <w:rsid w:val="0ECB05FB"/>
    <w:rsid w:val="0ED15CD9"/>
    <w:rsid w:val="0F2D6BFB"/>
    <w:rsid w:val="0F2F0918"/>
    <w:rsid w:val="0F636044"/>
    <w:rsid w:val="0F67709F"/>
    <w:rsid w:val="0F7846DB"/>
    <w:rsid w:val="0F7C4872"/>
    <w:rsid w:val="0F9E7ABF"/>
    <w:rsid w:val="0FAD1963"/>
    <w:rsid w:val="0FCE469A"/>
    <w:rsid w:val="0FEC4DEA"/>
    <w:rsid w:val="0FFC147A"/>
    <w:rsid w:val="104F21B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98587F"/>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8F2C61"/>
    <w:rsid w:val="1B9C2D1B"/>
    <w:rsid w:val="1BEC395B"/>
    <w:rsid w:val="1C060B83"/>
    <w:rsid w:val="1C294764"/>
    <w:rsid w:val="1C4A502D"/>
    <w:rsid w:val="1C6E1D37"/>
    <w:rsid w:val="1C702871"/>
    <w:rsid w:val="1C765853"/>
    <w:rsid w:val="1CA1614F"/>
    <w:rsid w:val="1CA317D4"/>
    <w:rsid w:val="1D335E75"/>
    <w:rsid w:val="1D532BBD"/>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EC45B21"/>
    <w:rsid w:val="1F162DBE"/>
    <w:rsid w:val="1F241322"/>
    <w:rsid w:val="1F3E402E"/>
    <w:rsid w:val="1F6E4F18"/>
    <w:rsid w:val="1F870B40"/>
    <w:rsid w:val="201C27C0"/>
    <w:rsid w:val="2079572D"/>
    <w:rsid w:val="208402F7"/>
    <w:rsid w:val="20B61E4D"/>
    <w:rsid w:val="20D35D78"/>
    <w:rsid w:val="21321F1B"/>
    <w:rsid w:val="213D35E2"/>
    <w:rsid w:val="213D6312"/>
    <w:rsid w:val="2141571A"/>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2D11DE"/>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BD2623"/>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AFC2AE6"/>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6F7476"/>
    <w:rsid w:val="2E794C8D"/>
    <w:rsid w:val="2EA341AA"/>
    <w:rsid w:val="2ED83EA8"/>
    <w:rsid w:val="2EEC1F7C"/>
    <w:rsid w:val="2EF36D23"/>
    <w:rsid w:val="2F4128F5"/>
    <w:rsid w:val="2F57706B"/>
    <w:rsid w:val="2F815BD9"/>
    <w:rsid w:val="2F8C6E2B"/>
    <w:rsid w:val="2F906765"/>
    <w:rsid w:val="2FAC6072"/>
    <w:rsid w:val="2FB80233"/>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436963"/>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581F27"/>
    <w:rsid w:val="38866501"/>
    <w:rsid w:val="38A85780"/>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6427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0A4993"/>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CC36A0"/>
    <w:rsid w:val="48DE2F8F"/>
    <w:rsid w:val="48FF7A08"/>
    <w:rsid w:val="4906551A"/>
    <w:rsid w:val="49082A5D"/>
    <w:rsid w:val="491C643E"/>
    <w:rsid w:val="49682003"/>
    <w:rsid w:val="497C3A9B"/>
    <w:rsid w:val="498B5DDB"/>
    <w:rsid w:val="49BB4F73"/>
    <w:rsid w:val="4A316C77"/>
    <w:rsid w:val="4A3C6604"/>
    <w:rsid w:val="4A460E14"/>
    <w:rsid w:val="4AAF2D97"/>
    <w:rsid w:val="4AB6357D"/>
    <w:rsid w:val="4ADC6C01"/>
    <w:rsid w:val="4AEF2A8D"/>
    <w:rsid w:val="4B25054C"/>
    <w:rsid w:val="4B4B2CC5"/>
    <w:rsid w:val="4BC02D61"/>
    <w:rsid w:val="4BE3352B"/>
    <w:rsid w:val="4BE87EFB"/>
    <w:rsid w:val="4C1E1A78"/>
    <w:rsid w:val="4C2174FF"/>
    <w:rsid w:val="4C2329AA"/>
    <w:rsid w:val="4C3518E2"/>
    <w:rsid w:val="4C5658C8"/>
    <w:rsid w:val="4C827F29"/>
    <w:rsid w:val="4CCA2518"/>
    <w:rsid w:val="4CD55BBD"/>
    <w:rsid w:val="4D240F97"/>
    <w:rsid w:val="4D416F0A"/>
    <w:rsid w:val="4D5F1C23"/>
    <w:rsid w:val="4D654F3D"/>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6B7E7C"/>
    <w:rsid w:val="51726357"/>
    <w:rsid w:val="51B740FC"/>
    <w:rsid w:val="51BA1464"/>
    <w:rsid w:val="51BB25F2"/>
    <w:rsid w:val="51BE3EE9"/>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BE29B9"/>
    <w:rsid w:val="53C060E0"/>
    <w:rsid w:val="53D0549C"/>
    <w:rsid w:val="53F85276"/>
    <w:rsid w:val="540F53DB"/>
    <w:rsid w:val="5428286E"/>
    <w:rsid w:val="54496C8E"/>
    <w:rsid w:val="545C6AF1"/>
    <w:rsid w:val="5463310B"/>
    <w:rsid w:val="54721CD5"/>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776C9"/>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A0529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061262"/>
    <w:rsid w:val="5F3952C4"/>
    <w:rsid w:val="5F433287"/>
    <w:rsid w:val="5F4646CC"/>
    <w:rsid w:val="5F6A76D4"/>
    <w:rsid w:val="5F856F33"/>
    <w:rsid w:val="5FC26661"/>
    <w:rsid w:val="5FDB2465"/>
    <w:rsid w:val="5FE91007"/>
    <w:rsid w:val="604C40AD"/>
    <w:rsid w:val="60532490"/>
    <w:rsid w:val="60670929"/>
    <w:rsid w:val="607C32FC"/>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75838"/>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B6329A"/>
    <w:rsid w:val="6ABA55F7"/>
    <w:rsid w:val="6ACD5AD0"/>
    <w:rsid w:val="6ADA242B"/>
    <w:rsid w:val="6AE20CB8"/>
    <w:rsid w:val="6AFF46A8"/>
    <w:rsid w:val="6B1765A5"/>
    <w:rsid w:val="6B2111D2"/>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5859AD"/>
    <w:rsid w:val="73766428"/>
    <w:rsid w:val="737A1EA8"/>
    <w:rsid w:val="73982B23"/>
    <w:rsid w:val="73A11424"/>
    <w:rsid w:val="73A90B1E"/>
    <w:rsid w:val="73AA2B9B"/>
    <w:rsid w:val="73C44C10"/>
    <w:rsid w:val="73CC3CE8"/>
    <w:rsid w:val="73D566B7"/>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DE4B6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EE22F44"/>
    <w:rsid w:val="7F0551BF"/>
    <w:rsid w:val="7F777FA6"/>
    <w:rsid w:val="7F7913B6"/>
    <w:rsid w:val="7FA1158C"/>
    <w:rsid w:val="7FA9750A"/>
    <w:rsid w:val="7FE9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qFormat="1"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8"/>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link w:val="59"/>
    <w:semiHidden/>
    <w:uiPriority w:val="0"/>
  </w:style>
  <w:style w:type="table" w:default="1" w:styleId="57">
    <w:name w:val="Normal Table"/>
    <w:semiHidden/>
    <w:qFormat/>
    <w:uiPriority w:val="0"/>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semiHidden/>
    <w:qFormat/>
    <w:uiPriority w:val="0"/>
    <w:pPr>
      <w:ind w:left="2520" w:leftChars="1200"/>
    </w:pPr>
  </w:style>
  <w:style w:type="paragraph" w:styleId="13">
    <w:name w:val="List Number 2"/>
    <w:basedOn w:val="1"/>
    <w:qFormat/>
    <w:uiPriority w:val="0"/>
    <w:pPr>
      <w:tabs>
        <w:tab w:val="left" w:pos="780"/>
      </w:tabs>
      <w:spacing w:line="360" w:lineRule="auto"/>
      <w:ind w:left="425" w:hanging="425"/>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semiHidden/>
    <w:qFormat/>
    <w:uiPriority w:val="0"/>
    <w:pPr>
      <w:shd w:val="clear" w:color="auto" w:fill="000080"/>
    </w:pPr>
  </w:style>
  <w:style w:type="paragraph" w:styleId="18">
    <w:name w:val="toa heading"/>
    <w:basedOn w:val="1"/>
    <w:next w:val="1"/>
    <w:semiHidden/>
    <w:qFormat/>
    <w:uiPriority w:val="0"/>
    <w:pPr>
      <w:spacing w:before="120"/>
    </w:pPr>
    <w:rPr>
      <w:rFonts w:ascii="Arial" w:hAnsi="Arial"/>
      <w:sz w:val="24"/>
    </w:rPr>
  </w:style>
  <w:style w:type="paragraph" w:styleId="19">
    <w:name w:val="annotation text"/>
    <w:basedOn w:val="1"/>
    <w:link w:val="69"/>
    <w:semiHidden/>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tabs>
        <w:tab w:val="left" w:pos="1200"/>
      </w:tabs>
      <w:adjustRightInd w:val="0"/>
      <w:snapToGrid w:val="0"/>
      <w:spacing w:line="360" w:lineRule="auto"/>
      <w:ind w:left="1200" w:hanging="360"/>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70"/>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semiHidden/>
    <w:uiPriority w:val="0"/>
    <w:pPr>
      <w:ind w:left="1680" w:leftChars="800"/>
    </w:pPr>
  </w:style>
  <w:style w:type="paragraph" w:styleId="29">
    <w:name w:val="toc 3"/>
    <w:basedOn w:val="1"/>
    <w:next w:val="1"/>
    <w:semiHidden/>
    <w:qFormat/>
    <w:uiPriority w:val="0"/>
    <w:pPr>
      <w:ind w:left="840" w:leftChars="400"/>
    </w:pPr>
  </w:style>
  <w:style w:type="paragraph" w:styleId="30">
    <w:name w:val="Plain Text"/>
    <w:basedOn w:val="1"/>
    <w:link w:val="71"/>
    <w:qFormat/>
    <w:uiPriority w:val="0"/>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72"/>
    <w:uiPriority w:val="0"/>
  </w:style>
  <w:style w:type="paragraph" w:styleId="33">
    <w:name w:val="Body Text Indent 2"/>
    <w:basedOn w:val="1"/>
    <w:link w:val="73"/>
    <w:qFormat/>
    <w:uiPriority w:val="0"/>
    <w:pPr>
      <w:snapToGrid w:val="0"/>
      <w:spacing w:line="560" w:lineRule="atLeast"/>
      <w:ind w:firstLine="540"/>
    </w:pPr>
  </w:style>
  <w:style w:type="paragraph" w:styleId="34">
    <w:name w:val="Balloon Text"/>
    <w:basedOn w:val="1"/>
    <w:semiHidden/>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semiHidden/>
    <w:qFormat/>
    <w:uiPriority w:val="0"/>
    <w:pPr>
      <w:spacing w:line="180" w:lineRule="auto"/>
      <w:jc w:val="center"/>
    </w:pPr>
    <w:rPr>
      <w:sz w:val="30"/>
    </w:rPr>
  </w:style>
  <w:style w:type="paragraph" w:styleId="38">
    <w:name w:val="List Continue 4"/>
    <w:basedOn w:val="1"/>
    <w:uiPriority w:val="0"/>
    <w:pPr>
      <w:adjustRightInd w:val="0"/>
      <w:snapToGrid w:val="0"/>
      <w:spacing w:after="120" w:line="360" w:lineRule="auto"/>
      <w:ind w:left="1680" w:leftChars="800"/>
    </w:pPr>
    <w:rPr>
      <w:sz w:val="24"/>
    </w:rPr>
  </w:style>
  <w:style w:type="paragraph" w:styleId="39">
    <w:name w:val="toc 4"/>
    <w:basedOn w:val="1"/>
    <w:next w:val="1"/>
    <w:semiHidden/>
    <w:qFormat/>
    <w:uiPriority w:val="0"/>
    <w:pPr>
      <w:ind w:left="1260" w:leftChars="600"/>
    </w:pPr>
  </w:style>
  <w:style w:type="paragraph" w:styleId="40">
    <w:name w:val="footnote text"/>
    <w:basedOn w:val="1"/>
    <w:link w:val="74"/>
    <w:semiHidden/>
    <w:qFormat/>
    <w:uiPriority w:val="0"/>
    <w:pPr>
      <w:spacing w:line="360" w:lineRule="auto"/>
    </w:pPr>
    <w:rPr>
      <w:sz w:val="18"/>
    </w:rPr>
  </w:style>
  <w:style w:type="paragraph" w:styleId="41">
    <w:name w:val="toc 6"/>
    <w:basedOn w:val="1"/>
    <w:next w:val="1"/>
    <w:semiHidden/>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semiHidden/>
    <w:uiPriority w:val="0"/>
    <w:pPr>
      <w:tabs>
        <w:tab w:val="right" w:leader="dot" w:pos="8640"/>
      </w:tabs>
      <w:spacing w:line="360" w:lineRule="auto"/>
      <w:ind w:left="400" w:hanging="400"/>
    </w:pPr>
    <w:rPr>
      <w:sz w:val="24"/>
    </w:rPr>
  </w:style>
  <w:style w:type="paragraph" w:styleId="45">
    <w:name w:val="toc 2"/>
    <w:basedOn w:val="1"/>
    <w:next w:val="1"/>
    <w:semiHidden/>
    <w:uiPriority w:val="0"/>
    <w:pPr>
      <w:ind w:left="420" w:leftChars="200"/>
    </w:pPr>
  </w:style>
  <w:style w:type="paragraph" w:styleId="46">
    <w:name w:val="toc 9"/>
    <w:basedOn w:val="1"/>
    <w:next w:val="1"/>
    <w:semiHidden/>
    <w:uiPriority w:val="0"/>
    <w:pPr>
      <w:ind w:left="3360" w:leftChars="1600"/>
    </w:pPr>
  </w:style>
  <w:style w:type="paragraph" w:styleId="47">
    <w:name w:val="Body Text 2"/>
    <w:basedOn w:val="1"/>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semiHidden/>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5"/>
    <w:semiHidden/>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76"/>
    <w:qFormat/>
    <w:uiPriority w:val="0"/>
    <w:pPr>
      <w:spacing w:after="120" w:line="240" w:lineRule="auto"/>
      <w:ind w:left="420" w:leftChars="200" w:firstLine="420" w:firstLineChars="200"/>
    </w:pPr>
  </w:style>
  <w:style w:type="paragraph" w:customStyle="1" w:styleId="59">
    <w:name w:val="_Style 242"/>
    <w:basedOn w:val="1"/>
    <w:link w:val="58"/>
    <w:uiPriority w:val="0"/>
    <w:pPr>
      <w:widowControl/>
      <w:spacing w:after="160" w:line="240" w:lineRule="exact"/>
      <w:jc w:val="left"/>
    </w:pPr>
    <w:rPr>
      <w:rFonts w:ascii="Verdana" w:hAnsi="Verdana" w:eastAsia="仿宋_GB2312"/>
      <w:kern w:val="0"/>
      <w:sz w:val="24"/>
      <w:lang w:eastAsia="en-US"/>
    </w:rPr>
  </w:style>
  <w:style w:type="character" w:styleId="60">
    <w:name w:val="Strong"/>
    <w:qFormat/>
    <w:uiPriority w:val="0"/>
    <w:rPr>
      <w:b/>
    </w:rPr>
  </w:style>
  <w:style w:type="character" w:styleId="61">
    <w:name w:val="page number"/>
    <w:uiPriority w:val="0"/>
    <w:rPr>
      <w:rFonts w:cs="Times New Roman"/>
    </w:rPr>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uiPriority w:val="0"/>
    <w:rPr>
      <w:color w:val="0000FF"/>
      <w:u w:val="single"/>
    </w:rPr>
  </w:style>
  <w:style w:type="character" w:styleId="65">
    <w:name w:val="annotation reference"/>
    <w:semiHidden/>
    <w:qFormat/>
    <w:uiPriority w:val="0"/>
    <w:rPr>
      <w:sz w:val="21"/>
    </w:rPr>
  </w:style>
  <w:style w:type="character" w:styleId="66">
    <w:name w:val="footnote reference"/>
    <w:semiHidden/>
    <w:uiPriority w:val="0"/>
    <w:rPr>
      <w:position w:val="6"/>
      <w:sz w:val="14"/>
      <w:vertAlign w:val="superscript"/>
    </w:rPr>
  </w:style>
  <w:style w:type="character" w:customStyle="1" w:styleId="67">
    <w:name w:val="标题 2 Char"/>
    <w:link w:val="3"/>
    <w:qFormat/>
    <w:locked/>
    <w:uiPriority w:val="0"/>
    <w:rPr>
      <w:rFonts w:ascii="Arial" w:hAnsi="Arial" w:eastAsia="黑体"/>
      <w:b/>
      <w:kern w:val="2"/>
      <w:sz w:val="32"/>
    </w:rPr>
  </w:style>
  <w:style w:type="character" w:customStyle="1" w:styleId="68">
    <w:name w:val="标题 3 Char"/>
    <w:link w:val="4"/>
    <w:qFormat/>
    <w:locked/>
    <w:uiPriority w:val="0"/>
    <w:rPr>
      <w:rFonts w:eastAsia="宋体"/>
      <w:b/>
      <w:kern w:val="2"/>
      <w:sz w:val="32"/>
      <w:lang w:val="en-US" w:eastAsia="zh-CN"/>
    </w:rPr>
  </w:style>
  <w:style w:type="character" w:customStyle="1" w:styleId="69">
    <w:name w:val="批注文字 Char"/>
    <w:link w:val="19"/>
    <w:qFormat/>
    <w:locked/>
    <w:uiPriority w:val="0"/>
    <w:rPr>
      <w:sz w:val="24"/>
    </w:rPr>
  </w:style>
  <w:style w:type="character" w:customStyle="1" w:styleId="70">
    <w:name w:val="正文文本缩进 Char"/>
    <w:link w:val="23"/>
    <w:qFormat/>
    <w:locked/>
    <w:uiPriority w:val="0"/>
    <w:rPr>
      <w:kern w:val="2"/>
      <w:sz w:val="44"/>
    </w:rPr>
  </w:style>
  <w:style w:type="character" w:customStyle="1" w:styleId="71">
    <w:name w:val="纯文本 Char"/>
    <w:link w:val="30"/>
    <w:qFormat/>
    <w:locked/>
    <w:uiPriority w:val="0"/>
    <w:rPr>
      <w:rFonts w:ascii="宋体" w:hAnsi="Courier New"/>
      <w:kern w:val="2"/>
      <w:sz w:val="21"/>
    </w:rPr>
  </w:style>
  <w:style w:type="character" w:customStyle="1" w:styleId="72">
    <w:name w:val="日期 Char"/>
    <w:link w:val="32"/>
    <w:qFormat/>
    <w:locked/>
    <w:uiPriority w:val="0"/>
    <w:rPr>
      <w:kern w:val="2"/>
      <w:sz w:val="28"/>
    </w:rPr>
  </w:style>
  <w:style w:type="character" w:customStyle="1" w:styleId="73">
    <w:name w:val="正文文本缩进 2 Char"/>
    <w:link w:val="33"/>
    <w:qFormat/>
    <w:locked/>
    <w:uiPriority w:val="0"/>
    <w:rPr>
      <w:kern w:val="2"/>
      <w:sz w:val="28"/>
    </w:rPr>
  </w:style>
  <w:style w:type="character" w:customStyle="1" w:styleId="74">
    <w:name w:val="脚注文本 Char"/>
    <w:link w:val="40"/>
    <w:qFormat/>
    <w:locked/>
    <w:uiPriority w:val="0"/>
    <w:rPr>
      <w:kern w:val="2"/>
      <w:sz w:val="18"/>
    </w:rPr>
  </w:style>
  <w:style w:type="character" w:customStyle="1" w:styleId="75">
    <w:name w:val="批注主题 Char"/>
    <w:link w:val="54"/>
    <w:locked/>
    <w:uiPriority w:val="0"/>
    <w:rPr>
      <w:rFonts w:cs="Times New Roman"/>
      <w:sz w:val="24"/>
    </w:rPr>
  </w:style>
  <w:style w:type="character" w:customStyle="1" w:styleId="76">
    <w:name w:val="正文首行缩进 2 Char"/>
    <w:link w:val="56"/>
    <w:qFormat/>
    <w:locked/>
    <w:uiPriority w:val="0"/>
    <w:rPr>
      <w:rFonts w:cs="Times New Roman"/>
      <w:kern w:val="2"/>
      <w:sz w:val="44"/>
    </w:rPr>
  </w:style>
  <w:style w:type="character" w:customStyle="1" w:styleId="77">
    <w:name w:val="Char Char2"/>
    <w:qFormat/>
    <w:uiPriority w:val="0"/>
    <w:rPr>
      <w:rFonts w:eastAsia="宋体"/>
      <w:kern w:val="2"/>
      <w:sz w:val="18"/>
      <w:lang w:val="en-US" w:eastAsia="zh-CN"/>
    </w:rPr>
  </w:style>
  <w:style w:type="character" w:customStyle="1" w:styleId="78">
    <w:name w:val="Char Char11"/>
    <w:qFormat/>
    <w:uiPriority w:val="0"/>
    <w:rPr>
      <w:rFonts w:ascii="宋体"/>
      <w:kern w:val="2"/>
      <w:sz w:val="28"/>
    </w:rPr>
  </w:style>
  <w:style w:type="character" w:customStyle="1" w:styleId="79">
    <w:name w:val="title_emph1"/>
    <w:qFormat/>
    <w:uiPriority w:val="0"/>
    <w:rPr>
      <w:rFonts w:ascii="Arial" w:hAnsi="Arial"/>
      <w:b/>
      <w:sz w:val="20"/>
    </w:rPr>
  </w:style>
  <w:style w:type="character" w:customStyle="1" w:styleId="80">
    <w:name w:val="Char Char3"/>
    <w:qFormat/>
    <w:uiPriority w:val="0"/>
    <w:rPr>
      <w:rFonts w:eastAsia="宋体"/>
      <w:kern w:val="2"/>
      <w:sz w:val="18"/>
      <w:lang w:val="en-US" w:eastAsia="zh-CN"/>
    </w:rPr>
  </w:style>
  <w:style w:type="character" w:customStyle="1" w:styleId="81">
    <w:name w:val="Char Char7"/>
    <w:qFormat/>
    <w:uiPriority w:val="0"/>
    <w:rPr>
      <w:rFonts w:ascii="宋体" w:hAnsi="宋体" w:eastAsia="宋体"/>
      <w:kern w:val="2"/>
      <w:sz w:val="28"/>
    </w:rPr>
  </w:style>
  <w:style w:type="character" w:customStyle="1" w:styleId="82">
    <w:name w:val="H2 Char"/>
    <w:qFormat/>
    <w:uiPriority w:val="0"/>
    <w:rPr>
      <w:rFonts w:ascii="Arial" w:hAnsi="Arial" w:eastAsia="宋体"/>
      <w:kern w:val="2"/>
      <w:sz w:val="28"/>
      <w:lang w:val="en-US" w:eastAsia="zh-CN"/>
    </w:rPr>
  </w:style>
  <w:style w:type="character" w:customStyle="1" w:styleId="83">
    <w:name w:val="content-white1"/>
    <w:qFormat/>
    <w:uiPriority w:val="0"/>
    <w:rPr>
      <w:color w:val="auto"/>
      <w:sz w:val="18"/>
      <w:u w:val="none"/>
    </w:rPr>
  </w:style>
  <w:style w:type="character" w:customStyle="1" w:styleId="84">
    <w:name w:val="Char Char"/>
    <w:qFormat/>
    <w:uiPriority w:val="0"/>
    <w:rPr>
      <w:rFonts w:ascii="宋体" w:hAnsi="宋体" w:eastAsia="宋体"/>
      <w:kern w:val="2"/>
      <w:sz w:val="24"/>
      <w:lang w:val="en-US" w:eastAsia="zh-CN"/>
    </w:rPr>
  </w:style>
  <w:style w:type="character" w:customStyle="1" w:styleId="85">
    <w:name w:val="top-det1"/>
    <w:qFormat/>
    <w:uiPriority w:val="0"/>
    <w:rPr>
      <w:b/>
      <w:color w:val="000000"/>
    </w:rPr>
  </w:style>
  <w:style w:type="character" w:customStyle="1" w:styleId="86">
    <w:name w:val="样式 宋体"/>
    <w:qFormat/>
    <w:uiPriority w:val="0"/>
    <w:rPr>
      <w:rFonts w:ascii="宋体" w:hAnsi="宋体" w:eastAsia="宋体"/>
      <w:sz w:val="28"/>
    </w:rPr>
  </w:style>
  <w:style w:type="character" w:customStyle="1" w:styleId="87">
    <w:name w:val="Table Text Char1 Char"/>
    <w:qFormat/>
    <w:uiPriority w:val="0"/>
    <w:rPr>
      <w:rFonts w:ascii="Arial" w:hAnsi="Arial"/>
      <w:kern w:val="2"/>
      <w:sz w:val="18"/>
      <w:lang w:val="en-US" w:eastAsia="zh-CN"/>
    </w:rPr>
  </w:style>
  <w:style w:type="character" w:customStyle="1" w:styleId="88">
    <w:name w:val="Char Char6"/>
    <w:qFormat/>
    <w:uiPriority w:val="0"/>
    <w:rPr>
      <w:rFonts w:ascii="仿宋_GB2312" w:eastAsia="仿宋_GB2312"/>
      <w:kern w:val="2"/>
      <w:sz w:val="32"/>
    </w:rPr>
  </w:style>
  <w:style w:type="character" w:customStyle="1" w:styleId="89">
    <w:name w:val="crowed11"/>
    <w:qFormat/>
    <w:uiPriority w:val="0"/>
    <w:rPr>
      <w:sz w:val="24"/>
    </w:rPr>
  </w:style>
  <w:style w:type="character" w:customStyle="1" w:styleId="90">
    <w:name w:val="Table Text Char Char Char Char"/>
    <w:link w:val="91"/>
    <w:qFormat/>
    <w:locked/>
    <w:uiPriority w:val="0"/>
    <w:rPr>
      <w:rFonts w:ascii="Arial" w:hAnsi="Arial"/>
      <w:kern w:val="2"/>
      <w:sz w:val="18"/>
      <w:lang w:val="en-US" w:eastAsia="zh-CN"/>
    </w:rPr>
  </w:style>
  <w:style w:type="paragraph" w:customStyle="1" w:styleId="91">
    <w:name w:val="Table Text Char Char Char"/>
    <w:link w:val="90"/>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v151"/>
    <w:qFormat/>
    <w:uiPriority w:val="0"/>
    <w:rPr>
      <w:sz w:val="18"/>
    </w:rPr>
  </w:style>
  <w:style w:type="character" w:customStyle="1" w:styleId="93">
    <w:name w:val="正文 + 三号 Char"/>
    <w:qFormat/>
    <w:uiPriority w:val="0"/>
    <w:rPr>
      <w:rFonts w:eastAsia="宋体"/>
      <w:kern w:val="2"/>
      <w:sz w:val="21"/>
      <w:lang w:val="en-US" w:eastAsia="zh-CN"/>
    </w:rPr>
  </w:style>
  <w:style w:type="character" w:customStyle="1" w:styleId="94">
    <w:name w:val="font1"/>
    <w:uiPriority w:val="0"/>
    <w:rPr>
      <w:color w:val="000000"/>
      <w:sz w:val="18"/>
    </w:rPr>
  </w:style>
  <w:style w:type="character" w:customStyle="1" w:styleId="95">
    <w:name w:val="未命名11"/>
    <w:qFormat/>
    <w:uiPriority w:val="0"/>
    <w:rPr>
      <w:color w:val="77FFFF"/>
      <w:sz w:val="24"/>
    </w:rPr>
  </w:style>
  <w:style w:type="character" w:customStyle="1" w:styleId="96">
    <w:name w:val="小 Char"/>
    <w:uiPriority w:val="0"/>
    <w:rPr>
      <w:rFonts w:ascii="宋体" w:hAnsi="Courier New" w:eastAsia="宋体"/>
      <w:kern w:val="2"/>
      <w:sz w:val="21"/>
      <w:lang w:val="en-US" w:eastAsia="zh-CN"/>
    </w:rPr>
  </w:style>
  <w:style w:type="character" w:customStyle="1" w:styleId="97">
    <w:name w:val="Table Heading Char Char"/>
    <w:uiPriority w:val="0"/>
    <w:rPr>
      <w:rFonts w:ascii="Arial" w:hAnsi="Arial" w:eastAsia="黑体"/>
      <w:kern w:val="2"/>
      <w:sz w:val="18"/>
      <w:lang w:val="en-US" w:eastAsia="zh-CN"/>
    </w:rPr>
  </w:style>
  <w:style w:type="character" w:customStyle="1" w:styleId="98">
    <w:name w:val="标书正文:  0.74 厘米 Char1"/>
    <w:qFormat/>
    <w:uiPriority w:val="0"/>
    <w:rPr>
      <w:rFonts w:eastAsia="宋体"/>
      <w:kern w:val="2"/>
      <w:sz w:val="24"/>
      <w:lang w:val="en-US" w:eastAsia="zh-CN"/>
    </w:rPr>
  </w:style>
  <w:style w:type="character" w:customStyle="1" w:styleId="99">
    <w:name w:val="Char Char4"/>
    <w:qFormat/>
    <w:uiPriority w:val="0"/>
    <w:rPr>
      <w:rFonts w:eastAsia="宋体"/>
      <w:b/>
      <w:kern w:val="2"/>
      <w:sz w:val="21"/>
      <w:lang w:val="en-US" w:eastAsia="zh-CN"/>
    </w:rPr>
  </w:style>
  <w:style w:type="character" w:customStyle="1" w:styleId="100">
    <w:name w:val="Char Char5"/>
    <w:qFormat/>
    <w:uiPriority w:val="0"/>
    <w:rPr>
      <w:rFonts w:ascii="Arial" w:hAnsi="Arial" w:eastAsia="宋体"/>
      <w:b/>
      <w:smallCaps/>
      <w:kern w:val="28"/>
      <w:sz w:val="36"/>
      <w:lang w:val="en-US" w:eastAsia="en-US"/>
    </w:rPr>
  </w:style>
  <w:style w:type="character" w:customStyle="1" w:styleId="101">
    <w:name w:val="文字 Char"/>
    <w:link w:val="102"/>
    <w:qFormat/>
    <w:locked/>
    <w:uiPriority w:val="0"/>
    <w:rPr>
      <w:rFonts w:ascii="宋体"/>
      <w:kern w:val="2"/>
      <w:sz w:val="28"/>
    </w:rPr>
  </w:style>
  <w:style w:type="paragraph" w:customStyle="1" w:styleId="102">
    <w:name w:val="文字"/>
    <w:basedOn w:val="1"/>
    <w:link w:val="101"/>
    <w:qFormat/>
    <w:uiPriority w:val="0"/>
    <w:pPr>
      <w:tabs>
        <w:tab w:val="left" w:pos="8520"/>
      </w:tabs>
      <w:spacing w:line="312" w:lineRule="auto"/>
      <w:ind w:right="-210" w:firstLine="556"/>
    </w:pPr>
    <w:rPr>
      <w:rFonts w:ascii="宋体"/>
    </w:rPr>
  </w:style>
  <w:style w:type="character" w:customStyle="1" w:styleId="103">
    <w:name w:val="Table Text Char"/>
    <w:link w:val="104"/>
    <w:qFormat/>
    <w:locked/>
    <w:uiPriority w:val="0"/>
    <w:rPr>
      <w:rFonts w:ascii="Arial" w:hAnsi="Arial"/>
      <w:kern w:val="2"/>
      <w:sz w:val="18"/>
      <w:lang w:val="en-US" w:eastAsia="zh-CN"/>
    </w:rPr>
  </w:style>
  <w:style w:type="paragraph" w:customStyle="1" w:styleId="104">
    <w:name w:val="Table Text"/>
    <w:link w:val="103"/>
    <w:qFormat/>
    <w:uiPriority w:val="0"/>
    <w:pPr>
      <w:snapToGrid w:val="0"/>
      <w:spacing w:before="80" w:after="80"/>
    </w:pPr>
    <w:rPr>
      <w:rFonts w:ascii="Arial" w:hAnsi="Arial" w:eastAsia="宋体" w:cs="Times New Roman"/>
      <w:kern w:val="2"/>
      <w:sz w:val="18"/>
      <w:lang w:val="en-US" w:eastAsia="zh-CN" w:bidi="ar-SA"/>
    </w:rPr>
  </w:style>
  <w:style w:type="paragraph" w:customStyle="1" w:styleId="10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06">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7">
    <w:name w:val="编号正文"/>
    <w:basedOn w:val="108"/>
    <w:uiPriority w:val="0"/>
    <w:pPr>
      <w:snapToGrid/>
      <w:spacing w:line="360" w:lineRule="auto"/>
      <w:ind w:left="1407" w:hanging="1047"/>
      <w:jc w:val="left"/>
    </w:pPr>
    <w:rPr>
      <w:rFonts w:eastAsia="仿宋_GB2312"/>
    </w:rPr>
  </w:style>
  <w:style w:type="paragraph" w:customStyle="1" w:styleId="1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9">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0">
    <w:name w:val="样式 首行缩进:  0.74 厘米"/>
    <w:basedOn w:val="1"/>
    <w:qFormat/>
    <w:uiPriority w:val="0"/>
    <w:pPr>
      <w:spacing w:line="360" w:lineRule="auto"/>
      <w:ind w:firstLine="420"/>
    </w:pPr>
    <w:rPr>
      <w:sz w:val="24"/>
    </w:rPr>
  </w:style>
  <w:style w:type="paragraph" w:customStyle="1" w:styleId="111">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14">
    <w:name w:val="Char Char Char"/>
    <w:basedOn w:val="1"/>
    <w:qFormat/>
    <w:uiPriority w:val="0"/>
    <w:rPr>
      <w:rFonts w:ascii="Tahoma" w:hAnsi="Tahoma"/>
      <w:sz w:val="24"/>
    </w:rPr>
  </w:style>
  <w:style w:type="paragraph" w:customStyle="1" w:styleId="115">
    <w:name w:val="正文文本缩进 21"/>
    <w:basedOn w:val="1"/>
    <w:qFormat/>
    <w:uiPriority w:val="0"/>
    <w:pPr>
      <w:adjustRightInd w:val="0"/>
      <w:spacing w:before="120"/>
      <w:ind w:firstLine="420"/>
      <w:textAlignment w:val="baseline"/>
    </w:pPr>
    <w:rPr>
      <w:sz w:val="24"/>
    </w:rPr>
  </w:style>
  <w:style w:type="paragraph" w:customStyle="1" w:styleId="116">
    <w:name w:val="标准正文"/>
    <w:basedOn w:val="23"/>
    <w:qFormat/>
    <w:uiPriority w:val="0"/>
    <w:pPr>
      <w:spacing w:before="60" w:after="60" w:line="360" w:lineRule="auto"/>
      <w:ind w:left="0" w:firstLine="482"/>
    </w:pPr>
    <w:rPr>
      <w:rFonts w:ascii="Arial" w:hAnsi="Arial"/>
      <w:sz w:val="24"/>
    </w:rPr>
  </w:style>
  <w:style w:type="paragraph" w:customStyle="1" w:styleId="117">
    <w:name w:val="Title - Revision"/>
    <w:basedOn w:val="53"/>
    <w:qFormat/>
    <w:uiPriority w:val="0"/>
    <w:pPr>
      <w:spacing w:before="720"/>
    </w:pPr>
  </w:style>
  <w:style w:type="paragraph" w:customStyle="1" w:styleId="118">
    <w:name w:val="样式 宋体 五号 行距: 单倍行距"/>
    <w:basedOn w:val="1"/>
    <w:qFormat/>
    <w:uiPriority w:val="0"/>
    <w:pPr>
      <w:adjustRightInd w:val="0"/>
      <w:jc w:val="left"/>
    </w:pPr>
    <w:rPr>
      <w:rFonts w:ascii="宋体" w:hAnsi="宋体"/>
      <w:kern w:val="0"/>
      <w:sz w:val="21"/>
    </w:rPr>
  </w:style>
  <w:style w:type="paragraph" w:customStyle="1" w:styleId="119">
    <w:name w:val="首行缩进 1"/>
    <w:basedOn w:val="1"/>
    <w:qFormat/>
    <w:uiPriority w:val="0"/>
    <w:pPr>
      <w:spacing w:after="120" w:line="360" w:lineRule="auto"/>
      <w:ind w:firstLine="200" w:firstLineChars="200"/>
    </w:pPr>
    <w:rPr>
      <w:sz w:val="24"/>
    </w:rPr>
  </w:style>
  <w:style w:type="paragraph" w:customStyle="1" w:styleId="120">
    <w:name w:val="IN Step"/>
    <w:basedOn w:val="1"/>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1">
    <w:name w:val="Char"/>
    <w:basedOn w:val="1"/>
    <w:qFormat/>
    <w:uiPriority w:val="0"/>
    <w:pPr>
      <w:spacing w:line="240" w:lineRule="atLeast"/>
      <w:ind w:left="420" w:firstLine="420"/>
    </w:pPr>
    <w:rPr>
      <w:kern w:val="0"/>
      <w:sz w:val="21"/>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4">
    <w:name w:val="正文4"/>
    <w:basedOn w:val="1"/>
    <w:qFormat/>
    <w:uiPriority w:val="0"/>
    <w:pPr>
      <w:tabs>
        <w:tab w:val="left" w:pos="1275"/>
      </w:tabs>
      <w:spacing w:before="60" w:after="60" w:line="360" w:lineRule="auto"/>
      <w:ind w:left="820" w:leftChars="400" w:hanging="705"/>
    </w:pPr>
    <w:rPr>
      <w:sz w:val="24"/>
    </w:rPr>
  </w:style>
  <w:style w:type="paragraph" w:customStyle="1" w:styleId="12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7">
    <w:name w:val="摘要"/>
    <w:basedOn w:val="1"/>
    <w:next w:val="3"/>
    <w:qFormat/>
    <w:uiPriority w:val="0"/>
    <w:pPr>
      <w:spacing w:line="360" w:lineRule="auto"/>
    </w:pPr>
    <w:rPr>
      <w:rFonts w:eastAsia="黑体"/>
      <w:sz w:val="20"/>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29">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3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1">
    <w:name w:val="表头样式"/>
    <w:basedOn w:val="1"/>
    <w:uiPriority w:val="0"/>
    <w:pPr>
      <w:autoSpaceDE w:val="0"/>
      <w:autoSpaceDN w:val="0"/>
      <w:adjustRightInd w:val="0"/>
      <w:spacing w:line="360" w:lineRule="auto"/>
      <w:jc w:val="left"/>
    </w:pPr>
    <w:rPr>
      <w:b/>
      <w:kern w:val="0"/>
      <w:sz w:val="21"/>
    </w:rPr>
  </w:style>
  <w:style w:type="paragraph" w:customStyle="1" w:styleId="132">
    <w:name w:val="一级条标题"/>
    <w:basedOn w:val="133"/>
    <w:next w:val="112"/>
    <w:qFormat/>
    <w:uiPriority w:val="0"/>
    <w:pPr>
      <w:spacing w:beforeLines="0" w:afterLines="0"/>
      <w:ind w:left="525"/>
      <w:outlineLvl w:val="2"/>
    </w:pPr>
    <w:rPr>
      <w:sz w:val="21"/>
    </w:rPr>
  </w:style>
  <w:style w:type="paragraph" w:customStyle="1" w:styleId="133">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4">
    <w:name w:val="默认段落字体 Para Char Char Char Char Char Char Char"/>
    <w:basedOn w:val="1"/>
    <w:qFormat/>
    <w:uiPriority w:val="0"/>
    <w:rPr>
      <w:rFonts w:ascii="Tahoma" w:hAnsi="Tahoma"/>
      <w:sz w:val="24"/>
    </w:rPr>
  </w:style>
  <w:style w:type="paragraph" w:customStyle="1" w:styleId="135">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6">
    <w:name w:val="Note"/>
    <w:basedOn w:val="1"/>
    <w:qFormat/>
    <w:uiPriority w:val="0"/>
    <w:pPr>
      <w:pBdr>
        <w:top w:val="single" w:color="auto" w:sz="12" w:space="3"/>
        <w:bottom w:val="single" w:color="auto" w:sz="12" w:space="3"/>
      </w:pBdr>
      <w:spacing w:line="360" w:lineRule="auto"/>
    </w:pPr>
    <w:rPr>
      <w:sz w:val="24"/>
    </w:rPr>
  </w:style>
  <w:style w:type="paragraph" w:customStyle="1" w:styleId="137">
    <w:name w:val="表格内文字"/>
    <w:basedOn w:val="30"/>
    <w:qFormat/>
    <w:uiPriority w:val="0"/>
    <w:pPr>
      <w:adjustRightInd w:val="0"/>
    </w:pPr>
    <w:rPr>
      <w:color w:val="000000"/>
      <w:lang w:val="en-GB"/>
    </w:rPr>
  </w:style>
  <w:style w:type="paragraph" w:customStyle="1" w:styleId="138">
    <w:name w:val="简单回函地址"/>
    <w:basedOn w:val="1"/>
    <w:uiPriority w:val="0"/>
    <w:pPr>
      <w:adjustRightInd w:val="0"/>
      <w:snapToGrid w:val="0"/>
      <w:spacing w:line="360" w:lineRule="auto"/>
    </w:pPr>
    <w:rPr>
      <w:sz w:val="24"/>
    </w:rPr>
  </w:style>
  <w:style w:type="paragraph" w:customStyle="1" w:styleId="139">
    <w:name w:val="段落正文"/>
    <w:basedOn w:val="1"/>
    <w:qFormat/>
    <w:uiPriority w:val="0"/>
    <w:pPr>
      <w:spacing w:beforeLines="50" w:line="360" w:lineRule="auto"/>
      <w:ind w:firstLine="200" w:firstLineChars="200"/>
    </w:pPr>
    <w:rPr>
      <w:spacing w:val="2"/>
      <w:sz w:val="24"/>
    </w:rPr>
  </w:style>
  <w:style w:type="paragraph" w:customStyle="1" w:styleId="140">
    <w:name w:val="1.正文"/>
    <w:basedOn w:val="1"/>
    <w:qFormat/>
    <w:uiPriority w:val="0"/>
    <w:pPr>
      <w:spacing w:line="360" w:lineRule="auto"/>
      <w:ind w:left="540" w:leftChars="225" w:firstLine="540" w:firstLineChars="225"/>
    </w:pPr>
    <w:rPr>
      <w:sz w:val="24"/>
    </w:rPr>
  </w:style>
  <w:style w:type="paragraph" w:customStyle="1" w:styleId="141">
    <w:name w:val="Char1"/>
    <w:basedOn w:val="1"/>
    <w:qFormat/>
    <w:uiPriority w:val="0"/>
    <w:rPr>
      <w:sz w:val="21"/>
    </w:rPr>
  </w:style>
  <w:style w:type="paragraph" w:customStyle="1" w:styleId="142">
    <w:name w:val="正文字缩2字"/>
    <w:basedOn w:val="1"/>
    <w:qFormat/>
    <w:uiPriority w:val="0"/>
    <w:pPr>
      <w:spacing w:before="60" w:after="60" w:line="360" w:lineRule="auto"/>
      <w:ind w:left="200" w:leftChars="200" w:firstLine="200" w:firstLineChars="200"/>
    </w:pPr>
    <w:rPr>
      <w:sz w:val="24"/>
    </w:rPr>
  </w:style>
  <w:style w:type="paragraph" w:customStyle="1" w:styleId="143">
    <w:name w:val="标题无"/>
    <w:basedOn w:val="1"/>
    <w:qFormat/>
    <w:uiPriority w:val="0"/>
    <w:pPr>
      <w:spacing w:line="360" w:lineRule="auto"/>
    </w:pPr>
    <w:rPr>
      <w:sz w:val="24"/>
    </w:rPr>
  </w:style>
  <w:style w:type="paragraph" w:customStyle="1" w:styleId="144">
    <w:name w:val="Char Char 字元 字元 字元 Char Char Char Char"/>
    <w:basedOn w:val="1"/>
    <w:qFormat/>
    <w:uiPriority w:val="0"/>
    <w:pPr>
      <w:adjustRightInd w:val="0"/>
      <w:spacing w:line="360" w:lineRule="auto"/>
    </w:pPr>
    <w:rPr>
      <w:kern w:val="0"/>
      <w:sz w:val="24"/>
    </w:rPr>
  </w:style>
  <w:style w:type="paragraph" w:customStyle="1" w:styleId="145">
    <w:name w:val="Char Char14 Char Char"/>
    <w:basedOn w:val="1"/>
    <w:qFormat/>
    <w:uiPriority w:val="0"/>
    <w:rPr>
      <w:sz w:val="21"/>
      <w:szCs w:val="24"/>
    </w:rPr>
  </w:style>
  <w:style w:type="paragraph" w:customStyle="1" w:styleId="146">
    <w:name w:val="Char Char Char Char Char Char Char"/>
    <w:basedOn w:val="1"/>
    <w:uiPriority w:val="0"/>
    <w:rPr>
      <w:rFonts w:ascii="Tahoma" w:hAnsi="Tahoma"/>
      <w:sz w:val="24"/>
    </w:rPr>
  </w:style>
  <w:style w:type="paragraph" w:customStyle="1" w:styleId="147">
    <w:name w:val="修订1"/>
    <w:uiPriority w:val="0"/>
    <w:rPr>
      <w:rFonts w:ascii="Times New Roman" w:hAnsi="Times New Roman" w:eastAsia="宋体" w:cs="Times New Roman"/>
      <w:kern w:val="2"/>
      <w:sz w:val="21"/>
      <w:lang w:val="en-US" w:eastAsia="zh-CN" w:bidi="ar-SA"/>
    </w:rPr>
  </w:style>
  <w:style w:type="paragraph" w:customStyle="1" w:styleId="14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9">
    <w:name w:val="È¡ÀÊ¡ÎÄ¡À¾"/>
    <w:basedOn w:val="1"/>
    <w:qFormat/>
    <w:uiPriority w:val="0"/>
    <w:pPr>
      <w:widowControl/>
      <w:overflowPunct w:val="0"/>
      <w:autoSpaceDE w:val="0"/>
      <w:autoSpaceDN w:val="0"/>
      <w:adjustRightInd w:val="0"/>
      <w:jc w:val="left"/>
      <w:textAlignment w:val="baseline"/>
    </w:pPr>
    <w:rPr>
      <w:kern w:val="0"/>
      <w:sz w:val="24"/>
    </w:rPr>
  </w:style>
  <w:style w:type="paragraph" w:customStyle="1" w:styleId="150">
    <w:name w:val="样式 正文缩进正文（首行缩进两字）表正文正文非缩进特点标题4段1 + 首行缩进:  2 字符"/>
    <w:basedOn w:val="15"/>
    <w:qFormat/>
    <w:uiPriority w:val="0"/>
    <w:pPr>
      <w:ind w:firstLine="480" w:firstLineChars="200"/>
    </w:pPr>
  </w:style>
  <w:style w:type="paragraph" w:customStyle="1" w:styleId="15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52">
    <w:name w:val="二级列表"/>
    <w:basedOn w:val="139"/>
    <w:next w:val="139"/>
    <w:qFormat/>
    <w:uiPriority w:val="0"/>
    <w:pPr>
      <w:tabs>
        <w:tab w:val="left" w:pos="2120"/>
      </w:tabs>
      <w:ind w:firstLine="0" w:firstLineChars="0"/>
    </w:pPr>
    <w:rPr>
      <w:b/>
    </w:rPr>
  </w:style>
  <w:style w:type="paragraph" w:customStyle="1" w:styleId="153">
    <w:name w:val="样式 行距: 1.5 倍行距1"/>
    <w:basedOn w:val="1"/>
    <w:qFormat/>
    <w:uiPriority w:val="0"/>
    <w:pPr>
      <w:snapToGrid w:val="0"/>
    </w:pPr>
    <w:rPr>
      <w:sz w:val="21"/>
    </w:rPr>
  </w:style>
  <w:style w:type="paragraph" w:customStyle="1" w:styleId="15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5">
    <w:name w:val="表文字"/>
    <w:qFormat/>
    <w:uiPriority w:val="0"/>
    <w:rPr>
      <w:rFonts w:ascii="宋体" w:hAnsi="Times New Roman" w:eastAsia="宋体" w:cs="Times New Roman"/>
      <w:kern w:val="2"/>
      <w:lang w:val="en-US" w:eastAsia="zh-CN" w:bidi="ar-SA"/>
    </w:rPr>
  </w:style>
  <w:style w:type="paragraph" w:customStyle="1" w:styleId="156">
    <w:name w:val="文章正文"/>
    <w:basedOn w:val="1"/>
    <w:qFormat/>
    <w:uiPriority w:val="0"/>
    <w:pPr>
      <w:ind w:firstLine="560" w:firstLineChars="200"/>
    </w:pPr>
    <w:rPr>
      <w:rFonts w:ascii="仿宋_GB2312" w:hAnsi="宋体" w:eastAsia="仿宋_GB2312"/>
      <w:color w:val="000000"/>
    </w:rPr>
  </w:style>
  <w:style w:type="paragraph" w:customStyle="1" w:styleId="157">
    <w:name w:val="列表项目"/>
    <w:basedOn w:val="1"/>
    <w:uiPriority w:val="0"/>
    <w:pPr>
      <w:tabs>
        <w:tab w:val="left" w:pos="420"/>
      </w:tabs>
      <w:spacing w:line="288" w:lineRule="auto"/>
      <w:ind w:left="840" w:leftChars="200" w:hanging="420" w:hangingChars="200"/>
    </w:pPr>
    <w:rPr>
      <w:sz w:val="21"/>
    </w:rPr>
  </w:style>
  <w:style w:type="paragraph" w:customStyle="1" w:styleId="158">
    <w:name w:val="Item Lis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9">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1">
    <w:name w:val="正文表格"/>
    <w:basedOn w:val="1"/>
    <w:uiPriority w:val="0"/>
    <w:pPr>
      <w:adjustRightInd w:val="0"/>
      <w:spacing w:before="40" w:after="40"/>
    </w:pPr>
    <w:rPr>
      <w:sz w:val="24"/>
    </w:rPr>
  </w:style>
  <w:style w:type="paragraph" w:customStyle="1" w:styleId="16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3">
    <w:name w:val="内容标题"/>
    <w:basedOn w:val="17"/>
    <w:qFormat/>
    <w:uiPriority w:val="0"/>
    <w:rPr>
      <w:rFonts w:ascii="Tahoma" w:hAnsi="Tahoma"/>
      <w:sz w:val="24"/>
    </w:rPr>
  </w:style>
  <w:style w:type="paragraph" w:customStyle="1" w:styleId="164">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5">
    <w:name w:val="Style Heading 3h3Heading 3 - oldLevel 3 HeadH3level_3PIM 3se..."/>
    <w:basedOn w:val="4"/>
    <w:uiPriority w:val="0"/>
    <w:pPr>
      <w:tabs>
        <w:tab w:val="left" w:pos="709"/>
        <w:tab w:val="left" w:pos="1620"/>
      </w:tabs>
      <w:ind w:left="1620" w:hanging="360"/>
    </w:pPr>
  </w:style>
  <w:style w:type="paragraph" w:customStyle="1" w:styleId="166">
    <w:name w:val="_"/>
    <w:basedOn w:val="1"/>
    <w:uiPriority w:val="0"/>
    <w:pPr>
      <w:adjustRightInd w:val="0"/>
      <w:spacing w:line="360" w:lineRule="auto"/>
      <w:ind w:left="480" w:firstLine="200" w:firstLineChars="200"/>
      <w:textAlignment w:val="baseline"/>
    </w:pPr>
    <w:rPr>
      <w:kern w:val="0"/>
      <w:sz w:val="24"/>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样式2"/>
    <w:basedOn w:val="5"/>
    <w:qFormat/>
    <w:uiPriority w:val="0"/>
    <w:pPr>
      <w:tabs>
        <w:tab w:val="left" w:pos="720"/>
      </w:tabs>
      <w:spacing w:before="560" w:line="400" w:lineRule="exact"/>
      <w:ind w:left="420" w:hanging="420"/>
      <w:jc w:val="center"/>
      <w:outlineLvl w:val="0"/>
    </w:pPr>
    <w:rPr>
      <w:b w:val="0"/>
      <w:sz w:val="44"/>
    </w:rPr>
  </w:style>
  <w:style w:type="paragraph" w:customStyle="1" w:styleId="169">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0">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1">
    <w:name w:val="图例"/>
    <w:basedOn w:val="1"/>
    <w:qFormat/>
    <w:uiPriority w:val="0"/>
    <w:pPr>
      <w:spacing w:before="120" w:after="120" w:line="360" w:lineRule="auto"/>
      <w:jc w:val="center"/>
    </w:pPr>
    <w:rPr>
      <w:rFonts w:eastAsia="仿宋_GB2312"/>
      <w:b/>
      <w:sz w:val="24"/>
    </w:rPr>
  </w:style>
  <w:style w:type="paragraph" w:customStyle="1" w:styleId="172">
    <w:name w:val="1"/>
    <w:basedOn w:val="1"/>
    <w:next w:val="30"/>
    <w:uiPriority w:val="0"/>
    <w:rPr>
      <w:rFonts w:ascii="宋体" w:hAnsi="Courier New"/>
      <w:sz w:val="21"/>
    </w:rPr>
  </w:style>
  <w:style w:type="paragraph" w:customStyle="1" w:styleId="173">
    <w:name w:val="附录3"/>
    <w:basedOn w:val="1"/>
    <w:next w:val="1"/>
    <w:qFormat/>
    <w:uiPriority w:val="0"/>
    <w:pPr>
      <w:tabs>
        <w:tab w:val="left" w:pos="851"/>
      </w:tabs>
      <w:ind w:left="425" w:hanging="425"/>
      <w:outlineLvl w:val="2"/>
    </w:pPr>
    <w:rPr>
      <w:rFonts w:eastAsia="黑体"/>
      <w:b/>
      <w:sz w:val="32"/>
    </w:rPr>
  </w:style>
  <w:style w:type="paragraph" w:customStyle="1" w:styleId="174">
    <w:name w:val="表头"/>
    <w:basedOn w:val="175"/>
    <w:qFormat/>
    <w:uiPriority w:val="0"/>
    <w:pPr>
      <w:jc w:val="center"/>
    </w:pPr>
    <w:rPr>
      <w:b/>
      <w:bCs/>
    </w:rPr>
  </w:style>
  <w:style w:type="paragraph" w:customStyle="1" w:styleId="175">
    <w:name w:val="表格正文"/>
    <w:basedOn w:val="1"/>
    <w:qFormat/>
    <w:uiPriority w:val="0"/>
    <w:rPr>
      <w:rFonts w:ascii="Calibri" w:hAnsi="Calibri" w:eastAsia="仿宋" w:cs="宋体"/>
      <w:sz w:val="24"/>
    </w:rPr>
  </w:style>
  <w:style w:type="paragraph" w:customStyle="1" w:styleId="176">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8">
    <w:name w:val="正文（首行不缩进）"/>
    <w:basedOn w:val="1"/>
    <w:qFormat/>
    <w:uiPriority w:val="0"/>
    <w:pPr>
      <w:autoSpaceDE w:val="0"/>
      <w:autoSpaceDN w:val="0"/>
      <w:adjustRightInd w:val="0"/>
      <w:spacing w:line="360" w:lineRule="auto"/>
      <w:jc w:val="left"/>
    </w:pPr>
    <w:rPr>
      <w:kern w:val="0"/>
      <w:sz w:val="21"/>
    </w:rPr>
  </w:style>
  <w:style w:type="paragraph" w:customStyle="1" w:styleId="179">
    <w:name w:val="首行缩进"/>
    <w:basedOn w:val="1"/>
    <w:qFormat/>
    <w:uiPriority w:val="0"/>
    <w:pPr>
      <w:tabs>
        <w:tab w:val="left" w:pos="540"/>
      </w:tabs>
      <w:spacing w:line="360" w:lineRule="auto"/>
      <w:ind w:left="540"/>
    </w:pPr>
    <w:rPr>
      <w:rFonts w:eastAsia="仿宋_GB2312"/>
    </w:rPr>
  </w:style>
  <w:style w:type="paragraph" w:customStyle="1" w:styleId="180">
    <w:name w:val="文本1"/>
    <w:basedOn w:val="1"/>
    <w:qFormat/>
    <w:uiPriority w:val="0"/>
    <w:pPr>
      <w:adjustRightInd w:val="0"/>
      <w:spacing w:line="312" w:lineRule="atLeast"/>
      <w:jc w:val="center"/>
      <w:textAlignment w:val="baseline"/>
    </w:pPr>
    <w:rPr>
      <w:kern w:val="0"/>
      <w:sz w:val="18"/>
    </w:rPr>
  </w:style>
  <w:style w:type="paragraph" w:customStyle="1" w:styleId="181">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Char1 Char Char Char"/>
    <w:basedOn w:val="1"/>
    <w:uiPriority w:val="0"/>
    <w:rPr>
      <w:rFonts w:ascii="Tahoma" w:hAnsi="Tahoma"/>
      <w:sz w:val="24"/>
    </w:rPr>
  </w:style>
  <w:style w:type="paragraph" w:customStyle="1" w:styleId="18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84">
    <w:name w:val="关键词"/>
    <w:basedOn w:val="1"/>
    <w:next w:val="1"/>
    <w:qFormat/>
    <w:uiPriority w:val="0"/>
    <w:pPr>
      <w:spacing w:line="360" w:lineRule="auto"/>
    </w:pPr>
    <w:rPr>
      <w:rFonts w:eastAsia="黑体"/>
      <w:sz w:val="20"/>
    </w:rPr>
  </w:style>
  <w:style w:type="paragraph" w:customStyle="1" w:styleId="185">
    <w:name w:val="IN Feature"/>
    <w:next w:val="12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86">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8">
    <w:name w:val="Char Char Char Char Char Char Char1"/>
    <w:basedOn w:val="17"/>
    <w:qFormat/>
    <w:uiPriority w:val="0"/>
    <w:rPr>
      <w:rFonts w:ascii="宋体" w:hAnsi="Tahoma"/>
    </w:rPr>
  </w:style>
  <w:style w:type="paragraph" w:customStyle="1" w:styleId="189">
    <w:name w:val="正文文本 21"/>
    <w:basedOn w:val="1"/>
    <w:uiPriority w:val="0"/>
    <w:pPr>
      <w:adjustRightInd w:val="0"/>
      <w:spacing w:before="120" w:line="360" w:lineRule="auto"/>
      <w:ind w:firstLine="480"/>
      <w:textAlignment w:val="baseline"/>
    </w:pPr>
    <w:rPr>
      <w:sz w:val="24"/>
    </w:rPr>
  </w:style>
  <w:style w:type="paragraph" w:customStyle="1" w:styleId="190">
    <w:name w:val="表格1"/>
    <w:basedOn w:val="1"/>
    <w:next w:val="1"/>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1">
    <w:name w:val="Title - Date"/>
    <w:basedOn w:val="53"/>
    <w:next w:val="1"/>
    <w:qFormat/>
    <w:uiPriority w:val="0"/>
    <w:pPr>
      <w:spacing w:before="240" w:after="720"/>
    </w:pPr>
    <w:rPr>
      <w:sz w:val="28"/>
    </w:rPr>
  </w:style>
  <w:style w:type="paragraph" w:customStyle="1" w:styleId="192">
    <w:name w:val="表格文本"/>
    <w:qFormat/>
    <w:uiPriority w:val="0"/>
    <w:pPr>
      <w:tabs>
        <w:tab w:val="decimal" w:pos="0"/>
      </w:tabs>
    </w:pPr>
    <w:rPr>
      <w:rFonts w:ascii="Arial" w:hAnsi="Arial" w:eastAsia="宋体" w:cs="Times New Roman"/>
      <w:sz w:val="21"/>
      <w:lang w:val="en-US" w:eastAsia="zh-CN" w:bidi="ar-SA"/>
    </w:rPr>
  </w:style>
  <w:style w:type="paragraph" w:customStyle="1" w:styleId="19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4">
    <w:name w:val="Char Char Char Char Char Char Char Char Char Char Char Char Char Char Char Char"/>
    <w:basedOn w:val="1"/>
    <w:qFormat/>
    <w:uiPriority w:val="0"/>
    <w:pPr>
      <w:tabs>
        <w:tab w:val="left" w:pos="360"/>
      </w:tabs>
    </w:pPr>
    <w:rPr>
      <w:sz w:val="24"/>
    </w:rPr>
  </w:style>
  <w:style w:type="paragraph" w:customStyle="1" w:styleId="19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6">
    <w:name w:val="默认段落字体 Para Char Char Char Char Char Char Char Char Char1 Char Char Char Char"/>
    <w:basedOn w:val="1"/>
    <w:qFormat/>
    <w:uiPriority w:val="0"/>
    <w:rPr>
      <w:rFonts w:ascii="Tahoma" w:hAnsi="Tahoma"/>
      <w:sz w:val="24"/>
    </w:rPr>
  </w:style>
  <w:style w:type="paragraph" w:customStyle="1" w:styleId="197">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8">
    <w:name w:val="Char Char Char Char Char"/>
    <w:basedOn w:val="1"/>
    <w:qFormat/>
    <w:uiPriority w:val="0"/>
    <w:pPr>
      <w:tabs>
        <w:tab w:val="left" w:pos="425"/>
      </w:tabs>
      <w:ind w:left="1620" w:hanging="360"/>
    </w:pPr>
    <w:rPr>
      <w:rFonts w:ascii="Tahoma" w:hAnsi="Tahoma"/>
      <w:sz w:val="24"/>
    </w:rPr>
  </w:style>
  <w:style w:type="paragraph" w:customStyle="1" w:styleId="199">
    <w:name w:val="Char1 Char Char Char1"/>
    <w:basedOn w:val="1"/>
    <w:qFormat/>
    <w:uiPriority w:val="0"/>
    <w:rPr>
      <w:rFonts w:ascii="Tahoma" w:hAnsi="Tahoma"/>
      <w:sz w:val="30"/>
    </w:rPr>
  </w:style>
  <w:style w:type="paragraph" w:customStyle="1" w:styleId="200">
    <w:name w:val="正文 + 三号"/>
    <w:basedOn w:val="1"/>
    <w:uiPriority w:val="0"/>
    <w:rPr>
      <w:sz w:val="21"/>
    </w:rPr>
  </w:style>
  <w:style w:type="paragraph" w:customStyle="1" w:styleId="201">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0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03">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4">
    <w:name w:val="Char Char1 Char"/>
    <w:basedOn w:val="1"/>
    <w:uiPriority w:val="0"/>
    <w:rPr>
      <w:rFonts w:ascii="Tahoma" w:hAnsi="Tahoma"/>
      <w:sz w:val="24"/>
      <w:szCs w:val="24"/>
    </w:rPr>
  </w:style>
  <w:style w:type="paragraph" w:customStyle="1" w:styleId="205">
    <w:name w:val="样式 样式 首行缩进:  2 字符 + 首行缩进:  2 字符"/>
    <w:basedOn w:val="1"/>
    <w:qFormat/>
    <w:uiPriority w:val="0"/>
    <w:pPr>
      <w:spacing w:line="360" w:lineRule="auto"/>
      <w:ind w:firstLine="480" w:firstLineChars="200"/>
    </w:pPr>
    <w:rPr>
      <w:sz w:val="24"/>
    </w:rPr>
  </w:style>
  <w:style w:type="paragraph" w:customStyle="1" w:styleId="206">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07">
    <w:name w:val="Table Contents"/>
    <w:basedOn w:val="22"/>
    <w:qFormat/>
    <w:uiPriority w:val="0"/>
    <w:pPr>
      <w:suppressAutoHyphens/>
      <w:jc w:val="left"/>
    </w:pPr>
    <w:rPr>
      <w:rFonts w:ascii="Times New Roman" w:eastAsia="宋体"/>
      <w:kern w:val="0"/>
      <w:sz w:val="24"/>
    </w:rPr>
  </w:style>
  <w:style w:type="paragraph" w:customStyle="1" w:styleId="208">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09">
    <w:name w:val="样式1xz"/>
    <w:basedOn w:val="1"/>
    <w:qFormat/>
    <w:uiPriority w:val="0"/>
    <w:pPr>
      <w:tabs>
        <w:tab w:val="left" w:pos="1050"/>
        <w:tab w:val="right" w:leader="dot" w:pos="8296"/>
      </w:tabs>
    </w:pPr>
    <w:rPr>
      <w:caps/>
      <w:spacing w:val="20"/>
      <w:sz w:val="24"/>
    </w:rPr>
  </w:style>
  <w:style w:type="paragraph" w:customStyle="1" w:styleId="210">
    <w:name w:val="样式1"/>
    <w:basedOn w:val="5"/>
    <w:qFormat/>
    <w:uiPriority w:val="0"/>
    <w:pPr>
      <w:tabs>
        <w:tab w:val="left" w:pos="720"/>
      </w:tabs>
      <w:spacing w:before="500" w:after="260" w:line="560" w:lineRule="atLeast"/>
      <w:ind w:left="420" w:hanging="420"/>
    </w:pPr>
  </w:style>
  <w:style w:type="paragraph" w:customStyle="1" w:styleId="211">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图片文字"/>
    <w:basedOn w:val="1"/>
    <w:qFormat/>
    <w:uiPriority w:val="0"/>
    <w:pPr>
      <w:spacing w:line="240" w:lineRule="atLeast"/>
      <w:jc w:val="center"/>
    </w:pPr>
    <w:rPr>
      <w:sz w:val="21"/>
    </w:rPr>
  </w:style>
  <w:style w:type="paragraph" w:customStyle="1" w:styleId="213">
    <w:name w:val="af"/>
    <w:basedOn w:val="1"/>
    <w:qFormat/>
    <w:uiPriority w:val="0"/>
    <w:pPr>
      <w:widowControl/>
      <w:spacing w:line="300" w:lineRule="atLeast"/>
      <w:jc w:val="left"/>
    </w:pPr>
    <w:rPr>
      <w:rFonts w:ascii="宋体" w:hAnsi="宋体"/>
      <w:kern w:val="0"/>
      <w:sz w:val="18"/>
    </w:rPr>
  </w:style>
  <w:style w:type="paragraph" w:customStyle="1" w:styleId="214">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16">
    <w:name w:val="表头文本"/>
    <w:qFormat/>
    <w:uiPriority w:val="0"/>
    <w:pPr>
      <w:jc w:val="center"/>
    </w:pPr>
    <w:rPr>
      <w:rFonts w:ascii="Arial" w:hAnsi="Arial" w:eastAsia="宋体" w:cs="Times New Roman"/>
      <w:b/>
      <w:sz w:val="21"/>
      <w:lang w:val="en-US" w:eastAsia="zh-CN" w:bidi="ar-SA"/>
    </w:rPr>
  </w:style>
  <w:style w:type="paragraph" w:customStyle="1" w:styleId="217">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18">
    <w:name w:val="二级条标题"/>
    <w:basedOn w:val="132"/>
    <w:next w:val="112"/>
    <w:qFormat/>
    <w:uiPriority w:val="0"/>
    <w:pPr>
      <w:ind w:left="840"/>
      <w:outlineLvl w:val="3"/>
    </w:pPr>
  </w:style>
  <w:style w:type="paragraph" w:customStyle="1" w:styleId="219">
    <w:name w:val="正文1"/>
    <w:basedOn w:val="1"/>
    <w:uiPriority w:val="0"/>
    <w:pPr>
      <w:spacing w:line="300" w:lineRule="auto"/>
      <w:ind w:firstLine="200" w:firstLineChars="200"/>
    </w:pPr>
    <w:rPr>
      <w:sz w:val="24"/>
    </w:rPr>
  </w:style>
  <w:style w:type="paragraph" w:customStyle="1" w:styleId="220">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221">
    <w:name w:val="样式3"/>
    <w:basedOn w:val="2"/>
    <w:next w:val="2"/>
    <w:uiPriority w:val="0"/>
    <w:pPr>
      <w:keepLines/>
      <w:adjustRightInd w:val="0"/>
      <w:spacing w:before="340" w:after="330" w:line="576" w:lineRule="auto"/>
    </w:pPr>
    <w:rPr>
      <w:rFonts w:ascii="Times New Roman" w:eastAsia="黑体"/>
      <w:b/>
      <w:kern w:val="44"/>
      <w:sz w:val="44"/>
    </w:rPr>
  </w:style>
  <w:style w:type="paragraph" w:customStyle="1" w:styleId="222">
    <w:name w:val="样式 标题 6第五层条 + 三号 段前: 0.5 行"/>
    <w:basedOn w:val="7"/>
    <w:uiPriority w:val="0"/>
    <w:pPr>
      <w:widowControl/>
      <w:adjustRightInd/>
      <w:snapToGrid/>
      <w:spacing w:beforeLines="50"/>
      <w:jc w:val="left"/>
    </w:pPr>
    <w:rPr>
      <w:kern w:val="24"/>
      <w:sz w:val="28"/>
    </w:rPr>
  </w:style>
  <w:style w:type="paragraph" w:customStyle="1" w:styleId="223">
    <w:name w:val="Pull Quote"/>
    <w:basedOn w:val="1"/>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4">
    <w:name w:val="xl53"/>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5">
    <w:name w:val="Char2"/>
    <w:basedOn w:val="1"/>
    <w:uiPriority w:val="0"/>
    <w:pPr>
      <w:spacing w:line="240" w:lineRule="atLeast"/>
      <w:ind w:left="420" w:firstLine="420"/>
    </w:pPr>
    <w:rPr>
      <w:kern w:val="0"/>
      <w:sz w:val="21"/>
    </w:rPr>
  </w:style>
  <w:style w:type="paragraph" w:customStyle="1" w:styleId="226">
    <w:name w:val="没有缩进（为图形使用）"/>
    <w:basedOn w:val="1"/>
    <w:uiPriority w:val="0"/>
    <w:pPr>
      <w:spacing w:before="120" w:after="120" w:line="360" w:lineRule="auto"/>
    </w:pPr>
    <w:rPr>
      <w:sz w:val="24"/>
    </w:rPr>
  </w:style>
  <w:style w:type="paragraph" w:customStyle="1" w:styleId="227">
    <w:name w:val="Char Char1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228">
    <w:name w:val="00"/>
    <w:basedOn w:val="1"/>
    <w:uiPriority w:val="0"/>
    <w:pPr>
      <w:autoSpaceDE w:val="0"/>
      <w:autoSpaceDN w:val="0"/>
      <w:adjustRightInd w:val="0"/>
      <w:jc w:val="left"/>
    </w:pPr>
    <w:rPr>
      <w:rFonts w:ascii="黑体" w:eastAsia="黑体"/>
      <w:b/>
      <w:kern w:val="0"/>
      <w:sz w:val="20"/>
    </w:rPr>
  </w:style>
  <w:style w:type="paragraph" w:customStyle="1" w:styleId="229">
    <w:name w:val="Char2 Char Char Char Char Char Char"/>
    <w:basedOn w:val="1"/>
    <w:uiPriority w:val="0"/>
    <w:rPr>
      <w:rFonts w:ascii="仿宋_GB2312"/>
      <w:b/>
      <w:sz w:val="30"/>
    </w:rPr>
  </w:style>
  <w:style w:type="paragraph" w:customStyle="1" w:styleId="230">
    <w:name w:val="表号"/>
    <w:basedOn w:val="1"/>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1">
    <w:name w:val="标题3——2"/>
    <w:basedOn w:val="4"/>
    <w:next w:val="55"/>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2">
    <w:name w:val="样式 正文首行缩进 2 + 首行缩进:  2 字符"/>
    <w:basedOn w:val="1"/>
    <w:uiPriority w:val="0"/>
    <w:pPr>
      <w:tabs>
        <w:tab w:val="left" w:pos="987"/>
      </w:tabs>
      <w:adjustRightInd w:val="0"/>
      <w:snapToGrid w:val="0"/>
      <w:spacing w:line="360" w:lineRule="auto"/>
      <w:ind w:left="987" w:hanging="420"/>
    </w:pPr>
    <w:rPr>
      <w:rFonts w:ascii="Arial" w:hAnsi="Arial"/>
      <w:b/>
      <w:sz w:val="24"/>
    </w:rPr>
  </w:style>
  <w:style w:type="paragraph" w:customStyle="1" w:styleId="233">
    <w:name w:val="附录4"/>
    <w:basedOn w:val="1"/>
    <w:next w:val="1"/>
    <w:uiPriority w:val="0"/>
    <w:pPr>
      <w:widowControl/>
      <w:tabs>
        <w:tab w:val="left" w:pos="1134"/>
      </w:tabs>
      <w:spacing w:line="300" w:lineRule="auto"/>
      <w:ind w:left="1361" w:hanging="1361"/>
      <w:outlineLvl w:val="3"/>
    </w:pPr>
    <w:rPr>
      <w:rFonts w:ascii="Arial" w:hAnsi="Arial" w:eastAsia="黑体"/>
      <w:kern w:val="0"/>
    </w:rPr>
  </w:style>
  <w:style w:type="paragraph" w:customStyle="1" w:styleId="234">
    <w:name w:val="标书正文:  0.74 厘米"/>
    <w:basedOn w:val="1"/>
    <w:uiPriority w:val="0"/>
    <w:pPr>
      <w:snapToGrid w:val="0"/>
      <w:spacing w:line="360" w:lineRule="auto"/>
      <w:ind w:firstLine="420"/>
    </w:pPr>
    <w:rPr>
      <w:sz w:val="24"/>
    </w:rPr>
  </w:style>
  <w:style w:type="paragraph" w:customStyle="1" w:styleId="235">
    <w:name w:val="文本框样式1"/>
    <w:basedOn w:val="1"/>
    <w:uiPriority w:val="0"/>
    <w:pPr>
      <w:adjustRightInd w:val="0"/>
      <w:snapToGrid w:val="0"/>
      <w:spacing w:before="60" w:line="180" w:lineRule="exact"/>
      <w:jc w:val="center"/>
    </w:pPr>
    <w:rPr>
      <w:sz w:val="21"/>
    </w:rPr>
  </w:style>
  <w:style w:type="paragraph" w:customStyle="1" w:styleId="236">
    <w:name w:val="Item Step"/>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7">
    <w:name w:val="操作步骤"/>
    <w:basedOn w:val="1"/>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8">
    <w:name w:val="样式4"/>
    <w:basedOn w:val="5"/>
    <w:uiPriority w:val="0"/>
    <w:pPr>
      <w:adjustRightInd w:val="0"/>
      <w:snapToGrid w:val="0"/>
    </w:pPr>
  </w:style>
  <w:style w:type="paragraph" w:customStyle="1" w:styleId="239">
    <w:name w:val="List Paragraph"/>
    <w:basedOn w:val="1"/>
    <w:uiPriority w:val="0"/>
    <w:pPr>
      <w:ind w:firstLine="420" w:firstLineChars="200"/>
    </w:pPr>
  </w:style>
  <w:style w:type="character" w:customStyle="1" w:styleId="240">
    <w:name w:val="日期 字符"/>
    <w:uiPriority w:val="0"/>
    <w:rPr>
      <w:rFonts w:ascii="Times New Roman" w:hAnsi="Times New Roman" w:eastAsia="宋体"/>
      <w:sz w:val="20"/>
    </w:rPr>
  </w:style>
  <w:style w:type="paragraph" w:customStyle="1" w:styleId="241">
    <w:name w:val="List Paragraph1"/>
    <w:basedOn w:val="1"/>
    <w:uiPriority w:val="0"/>
    <w:pPr>
      <w:ind w:firstLine="420" w:firstLineChars="200"/>
    </w:pPr>
    <w:rPr>
      <w:rFonts w:ascii="Calibri" w:hAnsi="Calibri" w:cs="Calibri"/>
      <w:sz w:val="21"/>
      <w:szCs w:val="21"/>
    </w:rPr>
  </w:style>
  <w:style w:type="paragraph" w:customStyle="1" w:styleId="242">
    <w:name w:val="Body Text Indent 2"/>
    <w:basedOn w:val="1"/>
    <w:uiPriority w:val="0"/>
    <w:pPr>
      <w:snapToGrid w:val="0"/>
      <w:spacing w:line="560" w:lineRule="atLeast"/>
      <w:ind w:firstLine="54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63</Pages>
  <Words>29763</Words>
  <Characters>31994</Characters>
  <Lines>261</Lines>
  <Paragraphs>73</Paragraphs>
  <TotalTime>3</TotalTime>
  <ScaleCrop>false</ScaleCrop>
  <LinksUpToDate>false</LinksUpToDate>
  <CharactersWithSpaces>33444</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2023-05-09T08:29:00Z</dcterms:created>
  <dc:creator>罗成</dc:creator>
  <cp:lastModifiedBy>奥利佛</cp:lastModifiedBy>
  <cp:lastPrinted>2022-10-31T09:40:00Z</cp:lastPrinted>
  <dcterms:modified xsi:type="dcterms:W3CDTF">2023-05-10T11:43:30Z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737B7FF49C9741BDBC5F57BA3EA08AE6</vt:lpwstr>
  </property>
</Properties>
</file>