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仿宋" w:hAnsi="仿宋" w:eastAsia="仿宋" w:cs="仿宋"/>
          <w:sz w:val="44"/>
          <w:szCs w:val="44"/>
        </w:rPr>
      </w:pPr>
    </w:p>
    <w:p>
      <w:pPr>
        <w:spacing w:line="760" w:lineRule="exact"/>
        <w:jc w:val="center"/>
        <w:rPr>
          <w:rFonts w:ascii="方正小标宋_GBK" w:hAnsi="仿宋" w:eastAsia="方正小标宋_GBK" w:cs="仿宋"/>
          <w:sz w:val="72"/>
          <w:szCs w:val="72"/>
        </w:rPr>
      </w:pPr>
      <w:r>
        <w:rPr>
          <w:rFonts w:hint="eastAsia" w:ascii="方正小标宋_GBK" w:hAnsi="仿宋" w:eastAsia="方正小标宋_GBK" w:cs="仿宋"/>
          <w:sz w:val="72"/>
          <w:szCs w:val="72"/>
        </w:rPr>
        <w:t>重庆医科大学</w:t>
      </w:r>
    </w:p>
    <w:p>
      <w:pPr>
        <w:spacing w:line="760" w:lineRule="exact"/>
        <w:jc w:val="center"/>
        <w:outlineLvl w:val="0"/>
        <w:rPr>
          <w:rFonts w:ascii="方正小标宋_GBK" w:hAnsi="仿宋" w:eastAsia="方正小标宋_GBK" w:cs="仿宋"/>
          <w:sz w:val="72"/>
          <w:szCs w:val="72"/>
        </w:rPr>
      </w:pPr>
      <w:bookmarkStart w:id="0" w:name="_Toc150506519"/>
      <w:r>
        <w:rPr>
          <w:rFonts w:hint="eastAsia" w:ascii="方正小标宋_GBK" w:hAnsi="仿宋" w:eastAsia="方正小标宋_GBK" w:cs="仿宋"/>
          <w:sz w:val="72"/>
          <w:szCs w:val="72"/>
        </w:rPr>
        <w:t>竞争性磋商文件</w:t>
      </w:r>
      <w:bookmarkEnd w:id="0"/>
    </w:p>
    <w:p>
      <w:pPr>
        <w:spacing w:line="760" w:lineRule="exact"/>
        <w:rPr>
          <w:rFonts w:ascii="仿宋" w:hAnsi="仿宋" w:eastAsia="仿宋" w:cs="仿宋"/>
          <w:spacing w:val="80"/>
          <w:sz w:val="44"/>
          <w:szCs w:val="44"/>
        </w:rPr>
      </w:pPr>
    </w:p>
    <w:p>
      <w:pPr>
        <w:spacing w:line="760" w:lineRule="exact"/>
        <w:rPr>
          <w:rFonts w:ascii="仿宋" w:hAnsi="仿宋" w:eastAsia="仿宋" w:cs="仿宋"/>
          <w:sz w:val="44"/>
          <w:szCs w:val="44"/>
        </w:rPr>
      </w:pPr>
    </w:p>
    <w:p>
      <w:pPr>
        <w:spacing w:line="760" w:lineRule="exact"/>
        <w:ind w:firstLine="883" w:firstLineChars="200"/>
        <w:rPr>
          <w:rFonts w:ascii="仿宋" w:hAnsi="仿宋" w:eastAsia="仿宋" w:cs="仿宋"/>
          <w:b/>
          <w:bCs/>
          <w:sz w:val="44"/>
          <w:szCs w:val="44"/>
        </w:rPr>
      </w:pPr>
      <w:r>
        <w:rPr>
          <w:rFonts w:hint="eastAsia" w:ascii="仿宋" w:hAnsi="仿宋" w:eastAsia="仿宋" w:cs="仿宋"/>
          <w:b/>
          <w:bCs/>
          <w:sz w:val="44"/>
          <w:szCs w:val="44"/>
        </w:rPr>
        <w:t>采购计划编号：</w:t>
      </w:r>
      <w:r>
        <w:rPr>
          <w:rFonts w:ascii="仿宋" w:hAnsi="仿宋" w:eastAsia="仿宋" w:cs="仿宋"/>
          <w:b/>
          <w:bCs/>
          <w:sz w:val="44"/>
          <w:szCs w:val="44"/>
        </w:rPr>
        <w:t>GJJYXY20240001</w:t>
      </w:r>
    </w:p>
    <w:p>
      <w:pPr>
        <w:spacing w:line="760" w:lineRule="exact"/>
        <w:ind w:firstLine="883" w:firstLineChars="200"/>
        <w:rPr>
          <w:rFonts w:ascii="仿宋" w:hAnsi="仿宋" w:eastAsia="仿宋" w:cs="仿宋"/>
          <w:b/>
          <w:bCs/>
          <w:sz w:val="44"/>
          <w:szCs w:val="44"/>
        </w:rPr>
      </w:pPr>
      <w:r>
        <w:rPr>
          <w:rFonts w:hint="eastAsia" w:ascii="仿宋" w:hAnsi="仿宋" w:eastAsia="仿宋" w:cs="仿宋"/>
          <w:b/>
          <w:bCs/>
          <w:sz w:val="44"/>
          <w:szCs w:val="44"/>
        </w:rPr>
        <w:t>采购项目名称:国际教育学院缙云校区竹苑1</w:t>
      </w:r>
    </w:p>
    <w:p>
      <w:pPr>
        <w:spacing w:line="760" w:lineRule="exact"/>
        <w:ind w:firstLine="883" w:firstLineChars="200"/>
        <w:rPr>
          <w:rFonts w:ascii="仿宋" w:hAnsi="仿宋" w:eastAsia="仿宋" w:cs="仿宋"/>
          <w:sz w:val="44"/>
          <w:szCs w:val="44"/>
        </w:rPr>
      </w:pPr>
      <w:r>
        <w:rPr>
          <w:rFonts w:ascii="仿宋" w:hAnsi="仿宋" w:eastAsia="仿宋" w:cs="仿宋"/>
          <w:b/>
          <w:bCs/>
          <w:sz w:val="44"/>
          <w:szCs w:val="44"/>
        </w:rPr>
        <w:t xml:space="preserve">             </w:t>
      </w:r>
      <w:r>
        <w:rPr>
          <w:rFonts w:hint="eastAsia" w:ascii="仿宋" w:hAnsi="仿宋" w:eastAsia="仿宋" w:cs="仿宋"/>
          <w:b/>
          <w:bCs/>
          <w:sz w:val="44"/>
          <w:szCs w:val="44"/>
        </w:rPr>
        <w:t>号楼园区文化改造服务</w:t>
      </w:r>
    </w:p>
    <w:p>
      <w:pPr>
        <w:spacing w:line="760" w:lineRule="exact"/>
        <w:jc w:val="center"/>
        <w:rPr>
          <w:rFonts w:ascii="仿宋" w:hAnsi="仿宋" w:eastAsia="仿宋" w:cs="仿宋"/>
          <w:sz w:val="44"/>
          <w:szCs w:val="44"/>
        </w:rPr>
      </w:pPr>
    </w:p>
    <w:p>
      <w:pPr>
        <w:spacing w:line="760" w:lineRule="exact"/>
        <w:jc w:val="center"/>
        <w:rPr>
          <w:rFonts w:ascii="仿宋" w:hAnsi="仿宋" w:eastAsia="仿宋" w:cs="仿宋"/>
          <w:sz w:val="44"/>
          <w:szCs w:val="44"/>
        </w:rPr>
      </w:pPr>
    </w:p>
    <w:p>
      <w:pPr>
        <w:spacing w:line="760" w:lineRule="exact"/>
        <w:jc w:val="center"/>
        <w:rPr>
          <w:rFonts w:ascii="仿宋" w:hAnsi="仿宋" w:eastAsia="仿宋" w:cs="仿宋"/>
          <w:sz w:val="44"/>
          <w:szCs w:val="44"/>
        </w:rPr>
      </w:pPr>
    </w:p>
    <w:p>
      <w:pPr>
        <w:spacing w:line="760" w:lineRule="exact"/>
        <w:jc w:val="center"/>
        <w:rPr>
          <w:rFonts w:ascii="仿宋" w:hAnsi="仿宋" w:eastAsia="仿宋" w:cs="仿宋"/>
          <w:sz w:val="32"/>
          <w:szCs w:val="32"/>
        </w:rPr>
      </w:pPr>
      <w:r>
        <w:rPr>
          <w:rFonts w:hint="eastAsia" w:ascii="仿宋" w:hAnsi="仿宋" w:eastAsia="仿宋" w:cs="仿宋"/>
          <w:sz w:val="32"/>
          <w:szCs w:val="32"/>
        </w:rPr>
        <w:t>采购人：重庆医科大学</w:t>
      </w:r>
    </w:p>
    <w:p>
      <w:pPr>
        <w:spacing w:line="760" w:lineRule="exact"/>
        <w:jc w:val="center"/>
        <w:rPr>
          <w:rFonts w:ascii="宋体" w:hAnsi="宋体"/>
          <w:sz w:val="24"/>
          <w:szCs w:val="22"/>
        </w:rPr>
        <w:sectPr>
          <w:headerReference r:id="rId3" w:type="default"/>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sz w:val="32"/>
          <w:szCs w:val="32"/>
        </w:rPr>
        <w:t xml:space="preserve"> 二〇二四年七月</w:t>
      </w:r>
      <w:r>
        <w:rPr>
          <w:rFonts w:ascii="宋体" w:hAnsi="宋体"/>
          <w:sz w:val="24"/>
          <w:szCs w:val="22"/>
        </w:rPr>
        <w:tab/>
      </w:r>
    </w:p>
    <w:p>
      <w:pPr>
        <w:pStyle w:val="4"/>
        <w:rPr>
          <w:rFonts w:cs="宋体"/>
        </w:rPr>
      </w:pPr>
      <w:bookmarkStart w:id="1" w:name="_Toc29501"/>
      <w:bookmarkStart w:id="2" w:name="_Toc150506520"/>
      <w:r>
        <w:rPr>
          <w:rFonts w:hint="eastAsia"/>
        </w:rPr>
        <w:t>第一篇  采购邀请书</w:t>
      </w:r>
      <w:bookmarkEnd w:id="1"/>
      <w:bookmarkEnd w:id="2"/>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现对</w:t>
      </w:r>
      <w:r>
        <w:rPr>
          <w:rFonts w:hint="eastAsia" w:ascii="宋体" w:hAnsi="宋体" w:cs="宋体"/>
          <w:sz w:val="24"/>
          <w:szCs w:val="24"/>
          <w:u w:val="single"/>
        </w:rPr>
        <w:t>重庆医科大学国际教育学院缙云校区竹苑1号楼园区文化改造服务</w:t>
      </w:r>
      <w:r>
        <w:rPr>
          <w:rFonts w:hint="eastAsia" w:ascii="宋体" w:hAnsi="宋体" w:cs="宋体"/>
          <w:sz w:val="24"/>
          <w:szCs w:val="24"/>
        </w:rPr>
        <w:t>项目进行竞争性磋商采购。欢迎有资格的供应商前来参与磋商。</w:t>
      </w:r>
    </w:p>
    <w:p>
      <w:pPr>
        <w:pStyle w:val="5"/>
      </w:pPr>
      <w:bookmarkStart w:id="3" w:name="_Toc30910_WPSOffice_Level2"/>
      <w:bookmarkStart w:id="4" w:name="_Toc11077374"/>
      <w:bookmarkStart w:id="5" w:name="_Toc313893526"/>
      <w:bookmarkStart w:id="6" w:name="_Toc150506521"/>
      <w:bookmarkStart w:id="7" w:name="_Toc4291"/>
      <w:bookmarkStart w:id="8" w:name="_Toc21790_WPSOffice_Level2"/>
      <w:bookmarkStart w:id="9" w:name="_Toc317775175"/>
      <w:r>
        <w:rPr>
          <w:rFonts w:hint="eastAsia"/>
        </w:rPr>
        <w:t>一、竞争性磋商内容</w:t>
      </w:r>
      <w:bookmarkEnd w:id="3"/>
      <w:bookmarkEnd w:id="4"/>
      <w:bookmarkEnd w:id="5"/>
      <w:bookmarkEnd w:id="6"/>
      <w:bookmarkEnd w:id="7"/>
      <w:bookmarkEnd w:id="8"/>
      <w:bookmarkEnd w:id="9"/>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1857"/>
        <w:gridCol w:w="231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jc w:val="center"/>
        </w:trPr>
        <w:tc>
          <w:tcPr>
            <w:tcW w:w="3768"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857"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最高限价（元）</w:t>
            </w:r>
          </w:p>
        </w:tc>
        <w:tc>
          <w:tcPr>
            <w:tcW w:w="2315"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磋商保证金（元）</w:t>
            </w:r>
          </w:p>
          <w:p>
            <w:pPr>
              <w:pStyle w:val="2"/>
              <w:ind w:firstLine="480" w:firstLineChars="200"/>
            </w:pPr>
            <w:r>
              <w:rPr>
                <w:rFonts w:hint="eastAsia" w:ascii="宋体" w:hAnsi="宋体" w:eastAsia="宋体" w:cs="宋体"/>
                <w:b/>
                <w:bCs/>
                <w:kern w:val="0"/>
                <w:sz w:val="24"/>
                <w:szCs w:val="24"/>
              </w:rPr>
              <w:t>最高限价2</w:t>
            </w:r>
            <w:r>
              <w:rPr>
                <w:rFonts w:ascii="宋体" w:hAnsi="宋体" w:eastAsia="宋体" w:cs="宋体"/>
                <w:b/>
                <w:bCs/>
                <w:kern w:val="0"/>
                <w:sz w:val="24"/>
                <w:szCs w:val="24"/>
              </w:rPr>
              <w:t>%</w:t>
            </w:r>
          </w:p>
        </w:tc>
        <w:tc>
          <w:tcPr>
            <w:tcW w:w="1351"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3768"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bookmarkStart w:id="10" w:name="_Hlk344477914"/>
            <w:r>
              <w:rPr>
                <w:rFonts w:hint="eastAsia" w:ascii="宋体" w:hAnsi="宋体" w:cs="宋体"/>
                <w:sz w:val="24"/>
                <w:szCs w:val="24"/>
              </w:rPr>
              <w:t>重庆医科大学国际教育学院</w:t>
            </w:r>
            <w:r>
              <w:rPr>
                <w:rFonts w:hint="eastAsia" w:ascii="宋体" w:hAnsi="宋体" w:cs="宋体"/>
                <w:sz w:val="24"/>
                <w:szCs w:val="24"/>
                <w:u w:val="single"/>
              </w:rPr>
              <w:t>缙云校区</w:t>
            </w:r>
            <w:r>
              <w:rPr>
                <w:rFonts w:hint="eastAsia" w:ascii="宋体" w:hAnsi="宋体" w:cs="宋体"/>
                <w:sz w:val="24"/>
                <w:szCs w:val="24"/>
              </w:rPr>
              <w:t>竹苑1号楼园区文化改造服务</w:t>
            </w:r>
          </w:p>
        </w:tc>
        <w:tc>
          <w:tcPr>
            <w:tcW w:w="1857"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295000</w:t>
            </w:r>
            <w:r>
              <w:rPr>
                <w:rFonts w:hint="eastAsia" w:ascii="宋体" w:hAnsi="宋体" w:cs="宋体"/>
                <w:kern w:val="0"/>
                <w:sz w:val="24"/>
                <w:szCs w:val="24"/>
              </w:rPr>
              <w:t>.00</w:t>
            </w:r>
          </w:p>
        </w:tc>
        <w:tc>
          <w:tcPr>
            <w:tcW w:w="2315" w:type="dxa"/>
            <w:tcBorders>
              <w:top w:val="single" w:color="auto" w:sz="4" w:space="0"/>
              <w:left w:val="single" w:color="auto" w:sz="4" w:space="0"/>
              <w:right w:val="single" w:color="auto" w:sz="4" w:space="0"/>
            </w:tcBorders>
            <w:vAlign w:val="center"/>
          </w:tcPr>
          <w:p>
            <w:pPr>
              <w:pStyle w:val="16"/>
              <w:spacing w:line="400" w:lineRule="exact"/>
              <w:ind w:firstLine="0"/>
              <w:jc w:val="center"/>
              <w:rPr>
                <w:rFonts w:ascii="宋体" w:hAnsi="宋体" w:cs="宋体"/>
                <w:szCs w:val="24"/>
              </w:rPr>
            </w:pPr>
            <w:r>
              <w:rPr>
                <w:rFonts w:ascii="宋体" w:hAnsi="宋体" w:cs="宋体"/>
                <w:szCs w:val="24"/>
              </w:rPr>
              <w:t>5900</w:t>
            </w:r>
            <w:r>
              <w:rPr>
                <w:rFonts w:hint="eastAsia" w:ascii="宋体" w:hAnsi="宋体" w:cs="宋体"/>
                <w:szCs w:val="24"/>
              </w:rPr>
              <w:t>元</w:t>
            </w:r>
          </w:p>
        </w:tc>
        <w:tc>
          <w:tcPr>
            <w:tcW w:w="1351" w:type="dxa"/>
            <w:tcBorders>
              <w:top w:val="single" w:color="auto" w:sz="4" w:space="0"/>
              <w:left w:val="single" w:color="auto" w:sz="4" w:space="0"/>
              <w:right w:val="single" w:color="auto" w:sz="4" w:space="0"/>
            </w:tcBorders>
            <w:vAlign w:val="center"/>
          </w:tcPr>
          <w:p>
            <w:pPr>
              <w:jc w:val="center"/>
              <w:rPr>
                <w:rFonts w:ascii="宋体" w:hAnsi="宋体" w:cs="宋体"/>
                <w:b/>
                <w:sz w:val="24"/>
                <w:szCs w:val="24"/>
              </w:rPr>
            </w:pPr>
          </w:p>
        </w:tc>
      </w:tr>
      <w:bookmarkEnd w:id="10"/>
    </w:tbl>
    <w:p>
      <w:pPr>
        <w:pStyle w:val="5"/>
      </w:pPr>
      <w:bookmarkStart w:id="11" w:name="_Toc15101_WPSOffice_Level2"/>
      <w:bookmarkStart w:id="12" w:name="_Toc1752_WPSOffice_Level2"/>
      <w:bookmarkStart w:id="13" w:name="_Toc11077375"/>
      <w:bookmarkStart w:id="14" w:name="_Toc10980"/>
      <w:bookmarkStart w:id="15" w:name="_Toc150506522"/>
      <w:bookmarkStart w:id="16" w:name="_Toc373860293"/>
      <w:bookmarkStart w:id="17" w:name="_Toc317775178"/>
      <w:r>
        <w:rPr>
          <w:rFonts w:hint="eastAsia"/>
        </w:rPr>
        <w:t>二、资金来源</w:t>
      </w:r>
      <w:bookmarkEnd w:id="11"/>
      <w:bookmarkEnd w:id="12"/>
      <w:bookmarkEnd w:id="13"/>
      <w:bookmarkEnd w:id="14"/>
      <w:bookmarkEnd w:id="15"/>
    </w:p>
    <w:p>
      <w:pPr>
        <w:spacing w:line="360" w:lineRule="auto"/>
        <w:ind w:firstLine="480" w:firstLineChars="200"/>
        <w:rPr>
          <w:rFonts w:ascii="宋体" w:hAnsi="宋体" w:cs="宋体"/>
          <w:sz w:val="24"/>
          <w:szCs w:val="24"/>
        </w:rPr>
      </w:pPr>
      <w:r>
        <w:rPr>
          <w:rFonts w:hint="eastAsia" w:ascii="宋体" w:hAnsi="宋体" w:cs="宋体"/>
          <w:sz w:val="24"/>
          <w:szCs w:val="24"/>
        </w:rPr>
        <w:t>单位自筹资金，采购预算</w:t>
      </w:r>
      <w:r>
        <w:rPr>
          <w:rFonts w:ascii="宋体" w:hAnsi="宋体" w:cs="宋体"/>
          <w:kern w:val="0"/>
          <w:sz w:val="24"/>
          <w:szCs w:val="24"/>
        </w:rPr>
        <w:t>295000</w:t>
      </w:r>
      <w:r>
        <w:rPr>
          <w:rFonts w:hint="eastAsia" w:ascii="宋体" w:hAnsi="宋体" w:cs="宋体"/>
          <w:kern w:val="0"/>
          <w:sz w:val="24"/>
          <w:szCs w:val="24"/>
        </w:rPr>
        <w:t>.00</w:t>
      </w:r>
      <w:r>
        <w:rPr>
          <w:rFonts w:hint="eastAsia" w:ascii="宋体" w:hAnsi="宋体" w:cs="宋体"/>
          <w:sz w:val="24"/>
          <w:szCs w:val="24"/>
        </w:rPr>
        <w:t>元（人民币贰拾玖万伍仟元</w:t>
      </w:r>
      <w:bookmarkStart w:id="270" w:name="_GoBack"/>
      <w:bookmarkEnd w:id="270"/>
      <w:r>
        <w:rPr>
          <w:rFonts w:hint="eastAsia" w:ascii="宋体" w:hAnsi="宋体" w:cs="宋体"/>
          <w:sz w:val="24"/>
          <w:szCs w:val="24"/>
        </w:rPr>
        <w:t>）。</w:t>
      </w:r>
    </w:p>
    <w:p>
      <w:pPr>
        <w:pStyle w:val="5"/>
      </w:pPr>
      <w:bookmarkStart w:id="18" w:name="_Toc11077376"/>
      <w:bookmarkStart w:id="19" w:name="_Toc7968"/>
      <w:bookmarkStart w:id="20" w:name="_Toc7765_WPSOffice_Level2"/>
      <w:bookmarkStart w:id="21" w:name="_Toc29899_WPSOffice_Level2"/>
      <w:bookmarkStart w:id="22" w:name="_Toc150506523"/>
      <w:r>
        <w:rPr>
          <w:rFonts w:hint="eastAsia"/>
        </w:rPr>
        <w:t>三、供应商资格条件</w:t>
      </w:r>
      <w:bookmarkEnd w:id="18"/>
      <w:bookmarkEnd w:id="19"/>
      <w:bookmarkEnd w:id="20"/>
      <w:bookmarkEnd w:id="21"/>
      <w:bookmarkEnd w:id="22"/>
    </w:p>
    <w:p>
      <w:pPr>
        <w:spacing w:line="360" w:lineRule="auto"/>
        <w:ind w:firstLine="480" w:firstLineChars="200"/>
        <w:rPr>
          <w:rFonts w:ascii="宋体" w:hAnsi="宋体" w:cs="宋体"/>
          <w:sz w:val="24"/>
          <w:szCs w:val="24"/>
        </w:rPr>
      </w:pPr>
      <w:bookmarkStart w:id="23" w:name="_Toc17285"/>
      <w:bookmarkStart w:id="24" w:name="_Toc14309_WPSOffice_Level2"/>
      <w:bookmarkStart w:id="25" w:name="_Toc21783132"/>
      <w:r>
        <w:rPr>
          <w:rFonts w:hint="eastAsia" w:ascii="宋体" w:hAnsi="宋体" w:cs="宋体"/>
          <w:sz w:val="24"/>
          <w:szCs w:val="24"/>
        </w:rPr>
        <w:t>（一）满足基本资格条件：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pPr>
        <w:spacing w:line="360" w:lineRule="auto"/>
        <w:ind w:firstLine="480" w:firstLineChars="200"/>
        <w:rPr>
          <w:rFonts w:ascii="宋体" w:hAnsi="宋体" w:cs="宋体"/>
          <w:sz w:val="24"/>
          <w:szCs w:val="24"/>
        </w:rPr>
      </w:pPr>
      <w:r>
        <w:rPr>
          <w:rFonts w:hint="eastAsia" w:ascii="宋体" w:hAnsi="宋体" w:cs="宋体"/>
          <w:sz w:val="24"/>
          <w:szCs w:val="24"/>
        </w:rPr>
        <w:t>5、参加采购活动前三年内，在经营活动中没有重大违法记录；</w:t>
      </w:r>
    </w:p>
    <w:p>
      <w:pPr>
        <w:spacing w:line="360" w:lineRule="auto"/>
        <w:ind w:firstLine="480" w:firstLineChars="200"/>
        <w:rPr>
          <w:rFonts w:ascii="宋体" w:hAnsi="宋体" w:cs="宋体"/>
          <w:sz w:val="24"/>
          <w:szCs w:val="24"/>
        </w:rPr>
      </w:pPr>
      <w:r>
        <w:rPr>
          <w:rFonts w:hint="eastAsia" w:ascii="宋体" w:hAnsi="宋体" w:cs="宋体"/>
          <w:sz w:val="24"/>
          <w:szCs w:val="24"/>
        </w:rPr>
        <w:t>6、法律、行政法规规定的其他条件。</w:t>
      </w:r>
    </w:p>
    <w:p>
      <w:pPr>
        <w:spacing w:line="360" w:lineRule="auto"/>
        <w:ind w:firstLine="480" w:firstLineChars="200"/>
        <w:rPr>
          <w:rFonts w:ascii="宋体" w:hAnsi="宋体" w:cs="宋体"/>
          <w:sz w:val="24"/>
          <w:szCs w:val="24"/>
        </w:rPr>
      </w:pPr>
      <w:r>
        <w:rPr>
          <w:rFonts w:hint="eastAsia" w:ascii="宋体" w:hAnsi="宋体" w:cs="宋体"/>
          <w:sz w:val="24"/>
          <w:szCs w:val="24"/>
        </w:rPr>
        <w:t>（二）本项目的特定资格要求：无</w:t>
      </w:r>
    </w:p>
    <w:p>
      <w:pPr>
        <w:pStyle w:val="5"/>
      </w:pPr>
      <w:bookmarkStart w:id="26" w:name="_Toc150506524"/>
      <w:r>
        <w:rPr>
          <w:rFonts w:hint="eastAsia"/>
        </w:rPr>
        <w:t>四、磋商有关说明</w:t>
      </w:r>
      <w:bookmarkEnd w:id="23"/>
      <w:bookmarkEnd w:id="24"/>
      <w:bookmarkEnd w:id="25"/>
      <w:bookmarkEnd w:id="26"/>
    </w:p>
    <w:p>
      <w:pPr>
        <w:spacing w:line="360" w:lineRule="auto"/>
        <w:ind w:firstLine="480" w:firstLineChars="200"/>
        <w:rPr>
          <w:rFonts w:ascii="宋体" w:hAnsi="宋体" w:cs="宋体"/>
          <w:sz w:val="24"/>
          <w:szCs w:val="24"/>
        </w:rPr>
      </w:pPr>
      <w:bookmarkStart w:id="27" w:name="_Toc14398"/>
      <w:bookmarkStart w:id="28" w:name="_Toc21426_WPSOffice_Level2"/>
      <w:bookmarkStart w:id="29" w:name="_Toc21783133"/>
      <w:bookmarkStart w:id="30" w:name="_Toc373860294"/>
      <w:r>
        <w:rPr>
          <w:rFonts w:hint="eastAsia" w:ascii="宋体" w:hAnsi="宋体" w:cs="宋体"/>
          <w:sz w:val="24"/>
          <w:szCs w:val="24"/>
        </w:rPr>
        <w:t>（一）根据《重庆市财政局关于印发〈重庆市政府采购供应商注册及诚信管理暂行办法〉的通知》（渝财采购〔2015〕45号）规定，供应商应按要求进行注册，“行采家”平台（www.gec123.com），登记加入“行采家供应商库”。</w:t>
      </w:r>
    </w:p>
    <w:p>
      <w:pPr>
        <w:spacing w:line="360" w:lineRule="auto"/>
        <w:ind w:firstLine="480" w:firstLineChars="200"/>
        <w:rPr>
          <w:rFonts w:ascii="宋体" w:hAnsi="宋体" w:cs="宋体"/>
          <w:sz w:val="24"/>
          <w:szCs w:val="24"/>
        </w:rPr>
      </w:pPr>
      <w:r>
        <w:rPr>
          <w:rFonts w:hint="eastAsia" w:ascii="宋体" w:hAnsi="宋体" w:cs="宋体"/>
          <w:sz w:val="24"/>
          <w:szCs w:val="24"/>
        </w:rPr>
        <w:t>（二）凡有意参加磋商的供应商，请于公告发布之日（202</w:t>
      </w:r>
      <w:r>
        <w:rPr>
          <w:rFonts w:ascii="宋体" w:hAnsi="宋体" w:cs="宋体"/>
          <w:sz w:val="24"/>
          <w:szCs w:val="24"/>
        </w:rPr>
        <w:t>4</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19</w:t>
      </w:r>
      <w:r>
        <w:rPr>
          <w:rFonts w:hint="eastAsia" w:ascii="宋体" w:hAnsi="宋体" w:cs="宋体"/>
          <w:sz w:val="24"/>
          <w:szCs w:val="24"/>
        </w:rPr>
        <w:t>日）起至提交首次响应文件截止时间之前，在重庆医科大学校园网上（主页-服务大厅-招投标信息）下载本项目竞争性磋商文件以及图纸、补遗等磋商前公布的所有项目资料，无论供应商下载与否，均视为已知晓所有磋商实质性要求内容。</w:t>
      </w:r>
    </w:p>
    <w:p>
      <w:pPr>
        <w:spacing w:line="560" w:lineRule="exact"/>
        <w:ind w:firstLine="560" w:firstLineChars="200"/>
        <w:rPr>
          <w:rFonts w:ascii="仿宋" w:hAnsi="仿宋" w:eastAsia="仿宋" w:cs="仿宋"/>
          <w:szCs w:val="28"/>
        </w:rPr>
      </w:pPr>
      <w:r>
        <w:rPr>
          <w:rFonts w:hint="eastAsia" w:ascii="仿宋" w:hAnsi="仿宋" w:eastAsia="仿宋" w:cs="仿宋"/>
          <w:szCs w:val="28"/>
        </w:rPr>
        <w:t>（三）报名方式</w:t>
      </w:r>
    </w:p>
    <w:p>
      <w:pPr>
        <w:spacing w:line="560" w:lineRule="exact"/>
        <w:ind w:firstLine="560" w:firstLineChars="200"/>
        <w:rPr>
          <w:rFonts w:ascii="仿宋" w:hAnsi="仿宋" w:eastAsia="仿宋" w:cs="仿宋"/>
          <w:szCs w:val="28"/>
          <w:highlight w:val="none"/>
        </w:rPr>
      </w:pPr>
      <w:bookmarkStart w:id="31" w:name="_Toc535312134"/>
      <w:bookmarkStart w:id="32" w:name="_Toc525047161"/>
      <w:bookmarkStart w:id="33" w:name="_Toc521053053"/>
      <w:r>
        <w:rPr>
          <w:rFonts w:hint="eastAsia" w:ascii="仿宋" w:hAnsi="仿宋" w:eastAsia="仿宋" w:cs="仿宋"/>
          <w:szCs w:val="28"/>
          <w:highlight w:val="none"/>
        </w:rPr>
        <w:t>1.报名期限：2024年7月19日08:30至2024年7月25日17:30（法定公休日、法定节假日除外）</w:t>
      </w:r>
    </w:p>
    <w:p>
      <w:pPr>
        <w:spacing w:line="560" w:lineRule="exact"/>
        <w:ind w:firstLine="560" w:firstLineChars="200"/>
        <w:rPr>
          <w:rFonts w:ascii="仿宋" w:hAnsi="仿宋" w:eastAsia="仿宋" w:cs="仿宋"/>
          <w:szCs w:val="28"/>
        </w:rPr>
      </w:pPr>
      <w:r>
        <w:rPr>
          <w:rFonts w:hint="eastAsia" w:ascii="仿宋" w:hAnsi="仿宋" w:eastAsia="仿宋" w:cs="仿宋"/>
          <w:szCs w:val="28"/>
        </w:rPr>
        <w:t>2.在报名期限内，将报名表（注明采购计划编号、采购项目名称）、供应商名称及地址、联系人姓名及联系方式、电子邮箱地址等相关信息，</w:t>
      </w:r>
      <w:r>
        <w:fldChar w:fldCharType="begin"/>
      </w:r>
      <w:r>
        <w:instrText xml:space="preserve"> HYPERLINK "mailto:在报名截止时间前发送至cie@cqmu.edu.cn" </w:instrText>
      </w:r>
      <w:r>
        <w:fldChar w:fldCharType="separate"/>
      </w:r>
      <w:r>
        <w:rPr>
          <w:rStyle w:val="15"/>
          <w:rFonts w:hint="eastAsia" w:ascii="仿宋" w:hAnsi="仿宋" w:eastAsia="仿宋" w:cs="仿宋"/>
          <w:szCs w:val="28"/>
        </w:rPr>
        <w:t>在报名截止时间前发送至</w:t>
      </w:r>
      <w:r>
        <w:rPr>
          <w:rStyle w:val="15"/>
          <w:rFonts w:ascii="仿宋" w:hAnsi="仿宋" w:eastAsia="仿宋" w:cs="仿宋"/>
          <w:szCs w:val="28"/>
        </w:rPr>
        <w:t>ci</w:t>
      </w:r>
      <w:r>
        <w:rPr>
          <w:rStyle w:val="15"/>
          <w:rFonts w:hint="eastAsia" w:ascii="仿宋" w:hAnsi="仿宋" w:eastAsia="仿宋" w:cs="仿宋"/>
          <w:szCs w:val="28"/>
        </w:rPr>
        <w:t>e</w:t>
      </w:r>
      <w:r>
        <w:rPr>
          <w:rStyle w:val="15"/>
          <w:rFonts w:ascii="仿宋" w:hAnsi="仿宋" w:eastAsia="仿宋" w:cs="仿宋"/>
          <w:szCs w:val="28"/>
        </w:rPr>
        <w:t>@cqmu.edu.cn</w:t>
      </w:r>
      <w:r>
        <w:rPr>
          <w:rStyle w:val="15"/>
          <w:rFonts w:ascii="仿宋" w:hAnsi="仿宋" w:eastAsia="仿宋" w:cs="仿宋"/>
          <w:szCs w:val="28"/>
        </w:rPr>
        <w:fldChar w:fldCharType="end"/>
      </w:r>
      <w:r>
        <w:rPr>
          <w:rFonts w:hint="eastAsia" w:ascii="仿宋" w:hAnsi="仿宋" w:eastAsia="仿宋" w:cs="仿宋"/>
          <w:szCs w:val="28"/>
        </w:rPr>
        <w:t>邮箱。只有在规定时间内发送了报名信息的供应商的响应文件才被接收。</w:t>
      </w:r>
    </w:p>
    <w:p>
      <w:pPr>
        <w:spacing w:line="560" w:lineRule="exact"/>
        <w:ind w:firstLine="560" w:firstLineChars="200"/>
        <w:rPr>
          <w:rFonts w:ascii="仿宋" w:hAnsi="仿宋" w:eastAsia="仿宋" w:cs="仿宋"/>
          <w:szCs w:val="28"/>
        </w:rPr>
      </w:pPr>
      <w:r>
        <w:rPr>
          <w:rFonts w:hint="eastAsia" w:ascii="仿宋" w:hAnsi="仿宋" w:eastAsia="仿宋" w:cs="仿宋"/>
          <w:szCs w:val="28"/>
        </w:rPr>
        <w:t>3.收到报名信息后，我校将为其办理进校备案，只有办理了备案的人员才能进入学校。</w:t>
      </w:r>
    </w:p>
    <w:p>
      <w:pPr>
        <w:spacing w:line="560" w:lineRule="exact"/>
        <w:rPr>
          <w:rFonts w:ascii="仿宋" w:hAnsi="仿宋" w:eastAsia="仿宋" w:cs="仿宋"/>
          <w:szCs w:val="28"/>
        </w:rPr>
      </w:pPr>
      <w:r>
        <w:rPr>
          <w:rFonts w:hint="eastAsia" w:ascii="仿宋" w:hAnsi="仿宋" w:eastAsia="仿宋" w:cs="仿宋"/>
          <w:szCs w:val="28"/>
        </w:rPr>
        <w:t>（四）供应商须满足以下两种要件，其响应文件才被接受：</w:t>
      </w:r>
    </w:p>
    <w:p>
      <w:pPr>
        <w:spacing w:line="560" w:lineRule="exact"/>
        <w:ind w:firstLine="560" w:firstLineChars="200"/>
        <w:rPr>
          <w:rFonts w:ascii="仿宋" w:hAnsi="仿宋" w:eastAsia="仿宋" w:cs="仿宋"/>
          <w:szCs w:val="28"/>
        </w:rPr>
      </w:pPr>
      <w:r>
        <w:rPr>
          <w:rFonts w:hint="eastAsia" w:ascii="仿宋" w:hAnsi="仿宋" w:eastAsia="仿宋" w:cs="仿宋"/>
          <w:szCs w:val="28"/>
        </w:rPr>
        <w:t>1.</w:t>
      </w:r>
      <w:r>
        <w:rPr>
          <w:rFonts w:ascii="仿宋" w:hAnsi="仿宋" w:eastAsia="仿宋" w:cs="仿宋"/>
          <w:szCs w:val="28"/>
        </w:rPr>
        <w:t xml:space="preserve"> </w:t>
      </w:r>
      <w:r>
        <w:rPr>
          <w:rFonts w:hint="eastAsia" w:ascii="仿宋" w:hAnsi="仿宋" w:eastAsia="仿宋" w:cs="仿宋"/>
          <w:szCs w:val="28"/>
        </w:rPr>
        <w:t>按时递交了响应文件；</w:t>
      </w:r>
    </w:p>
    <w:p>
      <w:pPr>
        <w:spacing w:line="560" w:lineRule="exact"/>
        <w:ind w:firstLine="560" w:firstLineChars="200"/>
        <w:rPr>
          <w:rFonts w:ascii="仿宋" w:hAnsi="仿宋" w:eastAsia="仿宋" w:cs="仿宋"/>
          <w:szCs w:val="28"/>
        </w:rPr>
      </w:pPr>
      <w:r>
        <w:rPr>
          <w:rFonts w:hint="eastAsia" w:ascii="仿宋" w:hAnsi="仿宋" w:eastAsia="仿宋" w:cs="仿宋"/>
          <w:szCs w:val="28"/>
        </w:rPr>
        <w:t>2.</w:t>
      </w:r>
      <w:r>
        <w:rPr>
          <w:rFonts w:ascii="仿宋" w:hAnsi="仿宋" w:eastAsia="仿宋" w:cs="仿宋"/>
          <w:szCs w:val="28"/>
        </w:rPr>
        <w:t xml:space="preserve"> </w:t>
      </w:r>
      <w:r>
        <w:rPr>
          <w:rFonts w:hint="eastAsia" w:ascii="仿宋" w:hAnsi="仿宋" w:eastAsia="仿宋" w:cs="仿宋"/>
          <w:szCs w:val="28"/>
        </w:rPr>
        <w:t>按时报名签到。</w:t>
      </w:r>
    </w:p>
    <w:p>
      <w:pPr>
        <w:pStyle w:val="12"/>
        <w:shd w:val="clear" w:color="auto" w:fill="FFFFFF"/>
        <w:spacing w:before="0" w:beforeAutospacing="0" w:after="0" w:afterAutospacing="0" w:line="480" w:lineRule="atLeast"/>
        <w:rPr>
          <w:rFonts w:ascii="仿宋" w:hAnsi="仿宋" w:eastAsia="仿宋" w:cs="仿宋"/>
          <w:szCs w:val="28"/>
        </w:rPr>
      </w:pPr>
      <w:r>
        <w:rPr>
          <w:rFonts w:hint="eastAsia" w:ascii="仿宋" w:hAnsi="仿宋" w:eastAsia="仿宋" w:cs="仿宋"/>
          <w:kern w:val="2"/>
          <w:sz w:val="28"/>
          <w:szCs w:val="28"/>
        </w:rPr>
        <w:t>（五）磋商地点：</w:t>
      </w:r>
      <w:r>
        <w:rPr>
          <w:rFonts w:hint="eastAsia" w:ascii="仿宋" w:hAnsi="仿宋" w:eastAsia="仿宋" w:cs="仿宋"/>
          <w:b/>
          <w:kern w:val="2"/>
          <w:sz w:val="28"/>
          <w:szCs w:val="28"/>
        </w:rPr>
        <w:t>重庆医科大学袁家岗校区校门外重庆医科大学开标室（面对学校大门右手边门面，其中一个写有鸿达堂药房）</w:t>
      </w:r>
    </w:p>
    <w:p>
      <w:pPr>
        <w:spacing w:line="560" w:lineRule="exact"/>
        <w:rPr>
          <w:rFonts w:ascii="仿宋" w:hAnsi="仿宋" w:eastAsia="仿宋" w:cs="仿宋"/>
          <w:szCs w:val="28"/>
        </w:rPr>
      </w:pPr>
      <w:r>
        <w:rPr>
          <w:rFonts w:hint="eastAsia" w:ascii="仿宋" w:hAnsi="仿宋" w:eastAsia="仿宋" w:cs="仿宋"/>
          <w:szCs w:val="28"/>
        </w:rPr>
        <w:t>（六）提交响应文件开始时间：202</w:t>
      </w:r>
      <w:r>
        <w:rPr>
          <w:rFonts w:ascii="仿宋" w:hAnsi="仿宋" w:eastAsia="仿宋" w:cs="仿宋"/>
          <w:szCs w:val="28"/>
        </w:rPr>
        <w:t>4</w:t>
      </w:r>
      <w:r>
        <w:rPr>
          <w:rFonts w:hint="eastAsia" w:ascii="仿宋" w:hAnsi="仿宋" w:eastAsia="仿宋" w:cs="仿宋"/>
          <w:szCs w:val="28"/>
        </w:rPr>
        <w:t>年</w:t>
      </w:r>
      <w:r>
        <w:rPr>
          <w:rFonts w:ascii="仿宋" w:hAnsi="仿宋" w:eastAsia="仿宋" w:cs="仿宋"/>
          <w:szCs w:val="28"/>
        </w:rPr>
        <w:t>7</w:t>
      </w:r>
      <w:r>
        <w:rPr>
          <w:rFonts w:hint="eastAsia" w:ascii="仿宋" w:hAnsi="仿宋" w:eastAsia="仿宋" w:cs="仿宋"/>
          <w:szCs w:val="28"/>
        </w:rPr>
        <w:t>月</w:t>
      </w:r>
      <w:r>
        <w:rPr>
          <w:rFonts w:ascii="仿宋" w:hAnsi="仿宋" w:eastAsia="仿宋" w:cs="仿宋"/>
          <w:szCs w:val="28"/>
        </w:rPr>
        <w:t>26</w:t>
      </w:r>
      <w:r>
        <w:rPr>
          <w:rFonts w:hint="eastAsia" w:ascii="仿宋" w:hAnsi="仿宋" w:eastAsia="仿宋" w:cs="仿宋"/>
          <w:szCs w:val="28"/>
        </w:rPr>
        <w:t xml:space="preserve">日北京时间: </w:t>
      </w:r>
      <w:r>
        <w:rPr>
          <w:rFonts w:ascii="仿宋" w:hAnsi="仿宋" w:eastAsia="仿宋" w:cs="仿宋"/>
          <w:szCs w:val="28"/>
        </w:rPr>
        <w:t>09</w:t>
      </w:r>
      <w:r>
        <w:rPr>
          <w:rFonts w:hint="eastAsia" w:ascii="仿宋" w:hAnsi="仿宋" w:eastAsia="仿宋" w:cs="仿宋"/>
          <w:szCs w:val="28"/>
        </w:rPr>
        <w:t>:</w:t>
      </w:r>
      <w:r>
        <w:rPr>
          <w:rFonts w:ascii="仿宋" w:hAnsi="仿宋" w:eastAsia="仿宋" w:cs="仿宋"/>
          <w:szCs w:val="28"/>
        </w:rPr>
        <w:t>30</w:t>
      </w:r>
    </w:p>
    <w:p>
      <w:pPr>
        <w:spacing w:line="560" w:lineRule="exact"/>
        <w:rPr>
          <w:rFonts w:ascii="仿宋" w:hAnsi="仿宋" w:eastAsia="仿宋" w:cs="仿宋"/>
          <w:szCs w:val="28"/>
        </w:rPr>
      </w:pPr>
      <w:r>
        <w:rPr>
          <w:rFonts w:hint="eastAsia" w:ascii="仿宋" w:hAnsi="仿宋" w:eastAsia="仿宋" w:cs="仿宋"/>
          <w:szCs w:val="28"/>
        </w:rPr>
        <w:t>（七）提交响应文件截止时间：202</w:t>
      </w:r>
      <w:r>
        <w:rPr>
          <w:rFonts w:ascii="仿宋" w:hAnsi="仿宋" w:eastAsia="仿宋" w:cs="仿宋"/>
          <w:szCs w:val="28"/>
        </w:rPr>
        <w:t>4</w:t>
      </w:r>
      <w:r>
        <w:rPr>
          <w:rFonts w:hint="eastAsia" w:ascii="仿宋" w:hAnsi="仿宋" w:eastAsia="仿宋" w:cs="仿宋"/>
          <w:szCs w:val="28"/>
        </w:rPr>
        <w:t>年</w:t>
      </w:r>
      <w:r>
        <w:rPr>
          <w:rFonts w:ascii="仿宋" w:hAnsi="仿宋" w:eastAsia="仿宋" w:cs="仿宋"/>
          <w:szCs w:val="28"/>
        </w:rPr>
        <w:t>7</w:t>
      </w:r>
      <w:r>
        <w:rPr>
          <w:rFonts w:hint="eastAsia" w:ascii="仿宋" w:hAnsi="仿宋" w:eastAsia="仿宋" w:cs="仿宋"/>
          <w:szCs w:val="28"/>
        </w:rPr>
        <w:t>月</w:t>
      </w:r>
      <w:r>
        <w:rPr>
          <w:rFonts w:ascii="仿宋" w:hAnsi="仿宋" w:eastAsia="仿宋" w:cs="仿宋"/>
          <w:szCs w:val="28"/>
        </w:rPr>
        <w:t>26</w:t>
      </w:r>
      <w:r>
        <w:rPr>
          <w:rFonts w:hint="eastAsia" w:ascii="仿宋" w:hAnsi="仿宋" w:eastAsia="仿宋" w:cs="仿宋"/>
          <w:szCs w:val="28"/>
        </w:rPr>
        <w:t>日北京时间：1</w:t>
      </w:r>
      <w:r>
        <w:rPr>
          <w:rFonts w:ascii="仿宋" w:hAnsi="仿宋" w:eastAsia="仿宋" w:cs="仿宋"/>
          <w:szCs w:val="28"/>
        </w:rPr>
        <w:t>0</w:t>
      </w:r>
      <w:r>
        <w:rPr>
          <w:rFonts w:hint="eastAsia" w:ascii="仿宋" w:hAnsi="仿宋" w:eastAsia="仿宋" w:cs="仿宋"/>
          <w:szCs w:val="28"/>
        </w:rPr>
        <w:t>:</w:t>
      </w:r>
      <w:r>
        <w:rPr>
          <w:rFonts w:ascii="仿宋" w:hAnsi="仿宋" w:eastAsia="仿宋" w:cs="仿宋"/>
          <w:szCs w:val="28"/>
        </w:rPr>
        <w:t>00</w:t>
      </w:r>
      <w:r>
        <w:rPr>
          <w:rFonts w:hint="eastAsia" w:ascii="仿宋" w:hAnsi="仿宋" w:eastAsia="仿宋" w:cs="仿宋"/>
          <w:szCs w:val="28"/>
        </w:rPr>
        <w:t xml:space="preserve"> （超过截止时间提交的响应文件不允接收，本项目不接受资料邮寄）</w:t>
      </w:r>
    </w:p>
    <w:p>
      <w:pPr>
        <w:spacing w:line="560" w:lineRule="exact"/>
        <w:rPr>
          <w:rFonts w:ascii="仿宋" w:hAnsi="仿宋" w:eastAsia="仿宋" w:cs="仿宋"/>
          <w:szCs w:val="28"/>
        </w:rPr>
      </w:pPr>
      <w:r>
        <w:rPr>
          <w:rFonts w:hint="eastAsia" w:ascii="仿宋" w:hAnsi="仿宋" w:eastAsia="仿宋" w:cs="仿宋"/>
          <w:szCs w:val="28"/>
        </w:rPr>
        <w:t>（八）磋商开始时间：202</w:t>
      </w:r>
      <w:r>
        <w:rPr>
          <w:rFonts w:ascii="仿宋" w:hAnsi="仿宋" w:eastAsia="仿宋" w:cs="仿宋"/>
          <w:szCs w:val="28"/>
        </w:rPr>
        <w:t>4</w:t>
      </w:r>
      <w:r>
        <w:rPr>
          <w:rFonts w:hint="eastAsia" w:ascii="仿宋" w:hAnsi="仿宋" w:eastAsia="仿宋" w:cs="仿宋"/>
          <w:szCs w:val="28"/>
        </w:rPr>
        <w:t>年</w:t>
      </w:r>
      <w:r>
        <w:rPr>
          <w:rFonts w:ascii="仿宋" w:hAnsi="仿宋" w:eastAsia="仿宋" w:cs="仿宋"/>
          <w:szCs w:val="28"/>
        </w:rPr>
        <w:t>7</w:t>
      </w:r>
      <w:r>
        <w:rPr>
          <w:rFonts w:hint="eastAsia" w:ascii="仿宋" w:hAnsi="仿宋" w:eastAsia="仿宋" w:cs="仿宋"/>
          <w:szCs w:val="28"/>
        </w:rPr>
        <w:t>月</w:t>
      </w:r>
      <w:r>
        <w:rPr>
          <w:rFonts w:ascii="仿宋" w:hAnsi="仿宋" w:eastAsia="仿宋" w:cs="仿宋"/>
          <w:szCs w:val="28"/>
        </w:rPr>
        <w:t>26</w:t>
      </w:r>
      <w:r>
        <w:rPr>
          <w:rFonts w:hint="eastAsia" w:ascii="仿宋" w:hAnsi="仿宋" w:eastAsia="仿宋" w:cs="仿宋"/>
          <w:szCs w:val="28"/>
        </w:rPr>
        <w:t>日北京时间1</w:t>
      </w:r>
      <w:r>
        <w:rPr>
          <w:rFonts w:ascii="仿宋" w:hAnsi="仿宋" w:eastAsia="仿宋" w:cs="仿宋"/>
          <w:szCs w:val="28"/>
        </w:rPr>
        <w:t>0</w:t>
      </w:r>
      <w:r>
        <w:rPr>
          <w:rFonts w:hint="eastAsia" w:ascii="仿宋" w:hAnsi="仿宋" w:eastAsia="仿宋" w:cs="仿宋"/>
          <w:szCs w:val="28"/>
        </w:rPr>
        <w:t>:</w:t>
      </w:r>
      <w:r>
        <w:rPr>
          <w:rFonts w:ascii="仿宋" w:hAnsi="仿宋" w:eastAsia="仿宋" w:cs="仿宋"/>
          <w:szCs w:val="28"/>
        </w:rPr>
        <w:t>0</w:t>
      </w:r>
      <w:r>
        <w:rPr>
          <w:rFonts w:hint="eastAsia" w:ascii="仿宋" w:hAnsi="仿宋" w:eastAsia="仿宋" w:cs="仿宋"/>
          <w:szCs w:val="28"/>
        </w:rPr>
        <w:t xml:space="preserve">0 </w:t>
      </w:r>
    </w:p>
    <w:p>
      <w:pPr>
        <w:spacing w:line="560" w:lineRule="exact"/>
        <w:rPr>
          <w:rFonts w:hint="eastAsia" w:ascii="仿宋" w:hAnsi="仿宋" w:eastAsia="仿宋" w:cs="仿宋"/>
          <w:szCs w:val="28"/>
          <w:highlight w:val="none"/>
        </w:rPr>
      </w:pPr>
      <w:r>
        <w:rPr>
          <w:rFonts w:hint="eastAsia" w:ascii="仿宋" w:hAnsi="仿宋" w:eastAsia="仿宋" w:cs="仿宋"/>
          <w:szCs w:val="28"/>
          <w:highlight w:val="none"/>
        </w:rPr>
        <w:t>（九）其他要求：请供应商准备PPT，对设计方案进行现场讲解</w:t>
      </w:r>
    </w:p>
    <w:p>
      <w:pPr>
        <w:spacing w:line="560" w:lineRule="exact"/>
        <w:rPr>
          <w:rFonts w:ascii="仿宋" w:hAnsi="仿宋" w:eastAsia="仿宋" w:cs="仿宋"/>
          <w:szCs w:val="28"/>
        </w:rPr>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rPr>
          <w:rFonts w:hint="eastAsia"/>
        </w:rPr>
      </w:pPr>
    </w:p>
    <w:p>
      <w:pPr>
        <w:pStyle w:val="3"/>
      </w:pPr>
    </w:p>
    <w:p>
      <w:pPr>
        <w:pStyle w:val="3"/>
        <w:ind w:left="0"/>
        <w:jc w:val="left"/>
        <w:rPr>
          <w:rFonts w:ascii="仿宋" w:hAnsi="仿宋" w:eastAsia="仿宋" w:cs="仿宋"/>
          <w:kern w:val="2"/>
          <w:sz w:val="28"/>
          <w:szCs w:val="28"/>
        </w:rPr>
      </w:pPr>
      <w:r>
        <w:rPr>
          <w:rFonts w:hint="eastAsia" w:ascii="仿宋" w:hAnsi="仿宋" w:eastAsia="仿宋" w:cs="仿宋"/>
          <w:kern w:val="2"/>
          <w:sz w:val="28"/>
          <w:szCs w:val="28"/>
        </w:rPr>
        <w:t>（六）报名表</w:t>
      </w:r>
    </w:p>
    <w:p/>
    <w:p>
      <w:pPr>
        <w:pStyle w:val="2"/>
        <w:jc w:val="center"/>
      </w:pPr>
      <w:r>
        <w:rPr>
          <w:rFonts w:hint="eastAsia" w:ascii="微软雅黑" w:hAnsi="微软雅黑" w:eastAsia="微软雅黑" w:cs="微软雅黑"/>
        </w:rPr>
        <w:t>重庆医科大学国际教育学院招标采购报名表</w:t>
      </w:r>
    </w:p>
    <w:tbl>
      <w:tblPr>
        <w:tblStyle w:val="13"/>
        <w:tblW w:w="9745"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686"/>
        <w:gridCol w:w="1719"/>
        <w:gridCol w:w="32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184" w:hRule="atLeast"/>
        </w:trPr>
        <w:tc>
          <w:tcPr>
            <w:tcW w:w="9745" w:type="dxa"/>
            <w:gridSpan w:val="4"/>
            <w:vAlign w:val="center"/>
          </w:tcPr>
          <w:p>
            <w:pPr>
              <w:jc w:val="left"/>
              <w:rPr>
                <w:rFonts w:ascii="宋体" w:hAnsi="宋体"/>
                <w:sz w:val="30"/>
                <w:szCs w:val="30"/>
              </w:rPr>
            </w:pPr>
            <w:r>
              <w:rPr>
                <w:rFonts w:hint="eastAsia" w:ascii="宋体" w:hAnsi="宋体"/>
                <w:sz w:val="30"/>
                <w:szCs w:val="30"/>
              </w:rPr>
              <w:t xml:space="preserve">项 目 编 号： </w:t>
            </w:r>
          </w:p>
          <w:p>
            <w:pPr>
              <w:jc w:val="left"/>
              <w:rPr>
                <w:rFonts w:ascii="宋体" w:hAnsi="宋体"/>
                <w:sz w:val="30"/>
                <w:szCs w:val="30"/>
              </w:rPr>
            </w:pPr>
            <w:r>
              <w:rPr>
                <w:rFonts w:hint="eastAsia" w:ascii="宋体" w:hAnsi="宋体"/>
                <w:sz w:val="30"/>
                <w:szCs w:val="30"/>
              </w:rPr>
              <w:t xml:space="preserve">磋商项目名称：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683" w:hRule="atLeast"/>
        </w:trPr>
        <w:tc>
          <w:tcPr>
            <w:tcW w:w="2116" w:type="dxa"/>
            <w:vAlign w:val="center"/>
          </w:tcPr>
          <w:p>
            <w:pPr>
              <w:spacing w:line="360" w:lineRule="exact"/>
              <w:jc w:val="center"/>
              <w:rPr>
                <w:sz w:val="30"/>
                <w:szCs w:val="30"/>
              </w:rPr>
            </w:pPr>
            <w:r>
              <w:rPr>
                <w:rFonts w:hint="eastAsia"/>
                <w:sz w:val="30"/>
                <w:szCs w:val="30"/>
              </w:rPr>
              <w:t>供应商名称</w:t>
            </w:r>
          </w:p>
        </w:tc>
        <w:tc>
          <w:tcPr>
            <w:tcW w:w="7629" w:type="dxa"/>
            <w:gridSpan w:val="3"/>
            <w:vAlign w:val="bottom"/>
          </w:tcPr>
          <w:p>
            <w:pPr>
              <w:spacing w:line="360" w:lineRule="exact"/>
              <w:jc w:val="right"/>
              <w:rPr>
                <w:sz w:val="30"/>
                <w:szCs w:val="30"/>
              </w:rPr>
            </w:pPr>
            <w:r>
              <w:rPr>
                <w:rFonts w:hint="eastAsia"/>
                <w:sz w:val="30"/>
                <w:szCs w:val="30"/>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126" w:hRule="atLeast"/>
        </w:trPr>
        <w:tc>
          <w:tcPr>
            <w:tcW w:w="2116" w:type="dxa"/>
            <w:vAlign w:val="center"/>
          </w:tcPr>
          <w:p>
            <w:pPr>
              <w:spacing w:line="360" w:lineRule="exact"/>
              <w:jc w:val="center"/>
              <w:rPr>
                <w:sz w:val="30"/>
                <w:szCs w:val="30"/>
              </w:rPr>
            </w:pPr>
            <w:r>
              <w:rPr>
                <w:rFonts w:hint="eastAsia"/>
                <w:sz w:val="30"/>
                <w:szCs w:val="30"/>
              </w:rPr>
              <w:t>联系人</w:t>
            </w:r>
          </w:p>
        </w:tc>
        <w:tc>
          <w:tcPr>
            <w:tcW w:w="2686" w:type="dxa"/>
            <w:vAlign w:val="center"/>
          </w:tcPr>
          <w:p>
            <w:pPr>
              <w:spacing w:line="360" w:lineRule="exact"/>
              <w:jc w:val="left"/>
              <w:rPr>
                <w:sz w:val="30"/>
                <w:szCs w:val="30"/>
              </w:rPr>
            </w:pPr>
          </w:p>
        </w:tc>
        <w:tc>
          <w:tcPr>
            <w:tcW w:w="1719" w:type="dxa"/>
            <w:vAlign w:val="center"/>
          </w:tcPr>
          <w:p>
            <w:pPr>
              <w:spacing w:line="360" w:lineRule="exact"/>
              <w:jc w:val="left"/>
              <w:rPr>
                <w:sz w:val="30"/>
                <w:szCs w:val="30"/>
              </w:rPr>
            </w:pPr>
            <w:r>
              <w:rPr>
                <w:rFonts w:hint="eastAsia"/>
                <w:sz w:val="30"/>
                <w:szCs w:val="30"/>
              </w:rPr>
              <w:t>联系电话</w:t>
            </w:r>
          </w:p>
          <w:p>
            <w:pPr>
              <w:spacing w:line="360" w:lineRule="exact"/>
              <w:jc w:val="left"/>
              <w:rPr>
                <w:sz w:val="30"/>
                <w:szCs w:val="30"/>
              </w:rPr>
            </w:pPr>
            <w:r>
              <w:rPr>
                <w:rFonts w:hint="eastAsia"/>
                <w:sz w:val="30"/>
                <w:szCs w:val="30"/>
              </w:rPr>
              <w:t>（手机）</w:t>
            </w:r>
          </w:p>
        </w:tc>
        <w:tc>
          <w:tcPr>
            <w:tcW w:w="3224" w:type="dxa"/>
            <w:vAlign w:val="center"/>
          </w:tcPr>
          <w:p>
            <w:pPr>
              <w:spacing w:line="360" w:lineRule="exact"/>
              <w:jc w:val="left"/>
              <w:rPr>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114" w:hRule="atLeast"/>
        </w:trPr>
        <w:tc>
          <w:tcPr>
            <w:tcW w:w="2116" w:type="dxa"/>
            <w:vAlign w:val="center"/>
          </w:tcPr>
          <w:p>
            <w:pPr>
              <w:spacing w:line="360" w:lineRule="exact"/>
              <w:jc w:val="center"/>
              <w:rPr>
                <w:sz w:val="30"/>
                <w:szCs w:val="30"/>
              </w:rPr>
            </w:pPr>
            <w:r>
              <w:rPr>
                <w:rFonts w:hint="eastAsia"/>
                <w:sz w:val="30"/>
                <w:szCs w:val="30"/>
              </w:rPr>
              <w:t>电子邮箱</w:t>
            </w:r>
          </w:p>
        </w:tc>
        <w:tc>
          <w:tcPr>
            <w:tcW w:w="7629" w:type="dxa"/>
            <w:gridSpan w:val="3"/>
            <w:vAlign w:val="center"/>
          </w:tcPr>
          <w:p>
            <w:pPr>
              <w:spacing w:line="360" w:lineRule="exact"/>
              <w:jc w:val="left"/>
              <w:rPr>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281" w:hRule="atLeast"/>
        </w:trPr>
        <w:tc>
          <w:tcPr>
            <w:tcW w:w="2116" w:type="dxa"/>
            <w:vAlign w:val="center"/>
          </w:tcPr>
          <w:p>
            <w:pPr>
              <w:spacing w:line="360" w:lineRule="exact"/>
              <w:jc w:val="center"/>
              <w:rPr>
                <w:sz w:val="30"/>
                <w:szCs w:val="30"/>
              </w:rPr>
            </w:pPr>
            <w:r>
              <w:rPr>
                <w:rFonts w:hint="eastAsia"/>
                <w:sz w:val="30"/>
                <w:szCs w:val="30"/>
              </w:rPr>
              <w:t>单位地址</w:t>
            </w:r>
          </w:p>
        </w:tc>
        <w:tc>
          <w:tcPr>
            <w:tcW w:w="7629" w:type="dxa"/>
            <w:gridSpan w:val="3"/>
            <w:vAlign w:val="center"/>
          </w:tcPr>
          <w:p>
            <w:pPr>
              <w:spacing w:line="360" w:lineRule="exact"/>
              <w:jc w:val="left"/>
              <w:rPr>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254" w:hRule="atLeast"/>
        </w:trPr>
        <w:tc>
          <w:tcPr>
            <w:tcW w:w="9745" w:type="dxa"/>
            <w:gridSpan w:val="4"/>
            <w:vAlign w:val="center"/>
          </w:tcPr>
          <w:p>
            <w:pPr>
              <w:rPr>
                <w:rFonts w:ascii="宋体" w:hAnsi="宋体"/>
                <w:szCs w:val="28"/>
              </w:rPr>
            </w:pPr>
            <w:r>
              <w:rPr>
                <w:rFonts w:hint="eastAsia" w:ascii="宋体" w:hAnsi="宋体"/>
                <w:szCs w:val="28"/>
              </w:rPr>
              <w:t>1.请供应商在采购文件提供（发售）期限内，将《重庆医科大学国际教育学院招标采购报名表》（加盖投标人公章）扫描件发送至</w:t>
            </w:r>
            <w:r>
              <w:rPr>
                <w:rFonts w:ascii="宋体" w:hAnsi="宋体"/>
                <w:szCs w:val="28"/>
              </w:rPr>
              <w:t>cie@cqmu.edu.cn</w:t>
            </w:r>
            <w:r>
              <w:rPr>
                <w:rFonts w:hint="eastAsia" w:ascii="宋体" w:hAnsi="宋体"/>
                <w:szCs w:val="28"/>
              </w:rPr>
              <w:t>（邮箱）。</w:t>
            </w:r>
          </w:p>
          <w:p>
            <w:pPr>
              <w:rPr>
                <w:rFonts w:ascii="宋体" w:hAnsi="宋体"/>
                <w:szCs w:val="28"/>
              </w:rPr>
            </w:pPr>
            <w:r>
              <w:rPr>
                <w:rFonts w:hint="eastAsia" w:ascii="宋体" w:hAnsi="宋体"/>
                <w:szCs w:val="28"/>
              </w:rPr>
              <w:t>2.采购文件售价：人民币0元。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393" w:hRule="atLeast"/>
        </w:trPr>
        <w:tc>
          <w:tcPr>
            <w:tcW w:w="9745" w:type="dxa"/>
            <w:gridSpan w:val="4"/>
            <w:vAlign w:val="center"/>
          </w:tcPr>
          <w:p>
            <w:pPr>
              <w:jc w:val="left"/>
              <w:rPr>
                <w:rFonts w:ascii="宋体" w:hAnsi="宋体"/>
                <w:sz w:val="30"/>
                <w:szCs w:val="30"/>
              </w:rPr>
            </w:pPr>
            <w:r>
              <w:rPr>
                <w:rFonts w:hint="eastAsia" w:ascii="宋体" w:hAnsi="宋体"/>
                <w:sz w:val="30"/>
                <w:szCs w:val="30"/>
              </w:rPr>
              <w:t>项目经办人：</w:t>
            </w:r>
          </w:p>
        </w:tc>
      </w:tr>
    </w:tbl>
    <w:p>
      <w:pPr>
        <w:pStyle w:val="3"/>
      </w:pPr>
    </w:p>
    <w:p/>
    <w:p>
      <w:pPr>
        <w:pStyle w:val="2"/>
      </w:pPr>
    </w:p>
    <w:p>
      <w:pPr>
        <w:pStyle w:val="3"/>
      </w:pPr>
    </w:p>
    <w:p>
      <w:pPr>
        <w:pStyle w:val="2"/>
      </w:pPr>
    </w:p>
    <w:p>
      <w:pPr>
        <w:pStyle w:val="3"/>
      </w:pPr>
    </w:p>
    <w:bookmarkEnd w:id="27"/>
    <w:bookmarkEnd w:id="28"/>
    <w:bookmarkEnd w:id="29"/>
    <w:bookmarkEnd w:id="30"/>
    <w:bookmarkEnd w:id="31"/>
    <w:bookmarkEnd w:id="32"/>
    <w:bookmarkEnd w:id="33"/>
    <w:p>
      <w:pPr>
        <w:pStyle w:val="5"/>
      </w:pPr>
      <w:bookmarkStart w:id="34" w:name="_Toc150506525"/>
      <w:bookmarkStart w:id="35" w:name="_Toc21783134"/>
      <w:bookmarkStart w:id="36" w:name="_Toc27186_WPSOffice_Level2"/>
      <w:bookmarkStart w:id="37" w:name="_Toc17606"/>
      <w:bookmarkStart w:id="38" w:name="_Toc480466699"/>
      <w:r>
        <w:rPr>
          <w:rFonts w:hint="eastAsia"/>
        </w:rPr>
        <w:t>五、其它有关规定</w:t>
      </w:r>
      <w:bookmarkEnd w:id="34"/>
      <w:bookmarkEnd w:id="35"/>
      <w:bookmarkEnd w:id="36"/>
      <w:bookmarkEnd w:id="37"/>
      <w:bookmarkEnd w:id="38"/>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（一）单位负责人为同一人或者存在直接控股、管理关系的不同供应商，不得参加本项目采购活动，否则均为无效响应。</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（二）为采购项目提供规范编制或者项目管理、监理、检测等服务的供应商，不得参加采购活动。</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（三）本项目的补遗文件（如果有）一律在重庆医科大学官方网站上发布，请各供应商注意下载；无论供应商下载与否，均视同供应商已知晓本项目补遗文件（如果有）的内容。</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（四）超过响应文件截止时间递交的响应文件，恕不接收。</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（五）磋商费用：无论磋商结果如何，供应商参与本项目磋商的所有费用均应由供应商自行承担。</w:t>
      </w:r>
    </w:p>
    <w:p>
      <w:pPr>
        <w:snapToGrid w:val="0"/>
        <w:spacing w:line="480" w:lineRule="exact"/>
        <w:ind w:firstLine="360" w:firstLineChars="150"/>
        <w:rPr>
          <w:rFonts w:ascii="宋体" w:hAnsi="宋体" w:cs="宋体"/>
          <w:sz w:val="24"/>
          <w:szCs w:val="24"/>
        </w:rPr>
      </w:pPr>
      <w:r>
        <w:rPr>
          <w:rFonts w:hint="eastAsia" w:ascii="宋体" w:hAnsi="宋体" w:cs="宋体"/>
          <w:sz w:val="24"/>
          <w:szCs w:val="24"/>
        </w:rPr>
        <w:t>（六）本项目不接受联合体参与谈判，否则按无效投标处理。</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（七）本项目不接受合同分包，否则按无效投标处理。</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（八）</w:t>
      </w:r>
      <w:bookmarkStart w:id="39" w:name="_Toc480466700"/>
      <w:r>
        <w:rPr>
          <w:rFonts w:hint="eastAsia" w:ascii="宋体" w:hAnsi="宋体" w:cs="宋体"/>
          <w:sz w:val="24"/>
          <w:szCs w:val="24"/>
        </w:rPr>
        <w:t>供应商列入失信被执行人、重大税收违法案件当事人名单、政府采购严重违法失信行为记录名单的供应商，将拒绝其参与采购活动。</w:t>
      </w:r>
    </w:p>
    <w:p>
      <w:pPr>
        <w:pStyle w:val="5"/>
      </w:pPr>
      <w:bookmarkStart w:id="40" w:name="_Toc21783135"/>
      <w:bookmarkStart w:id="41" w:name="_Toc150506526"/>
      <w:bookmarkStart w:id="42" w:name="_Toc28099"/>
      <w:bookmarkStart w:id="43" w:name="_Toc4417_WPSOffice_Level2"/>
      <w:r>
        <w:rPr>
          <w:rFonts w:hint="eastAsia"/>
        </w:rPr>
        <w:t>六、联系方式</w:t>
      </w:r>
      <w:bookmarkEnd w:id="39"/>
      <w:bookmarkEnd w:id="40"/>
      <w:bookmarkEnd w:id="41"/>
      <w:bookmarkEnd w:id="42"/>
      <w:bookmarkEnd w:id="43"/>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采购人：重庆医科大学国际教育学院</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联系人：侯恺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电  话：1</w:t>
      </w:r>
      <w:r>
        <w:rPr>
          <w:rFonts w:ascii="宋体" w:hAnsi="宋体" w:cs="宋体"/>
          <w:sz w:val="24"/>
          <w:szCs w:val="24"/>
        </w:rPr>
        <w:t>3638322012</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地  址： 重庆市渝中区医学院路1号</w:t>
      </w:r>
    </w:p>
    <w:p>
      <w:pPr>
        <w:rPr>
          <w:rFonts w:ascii="仿宋_GB2312" w:eastAsia="仿宋_GB2312"/>
          <w:sz w:val="32"/>
        </w:rPr>
      </w:pPr>
      <w:r>
        <w:rPr>
          <w:rFonts w:hint="eastAsia" w:ascii="仿宋_GB2312" w:eastAsia="仿宋_GB2312"/>
          <w:sz w:val="32"/>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采购人：重庆医科大学国际教育学院</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联系人：危怡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电  话：</w:t>
      </w:r>
      <w:r>
        <w:rPr>
          <w:rFonts w:ascii="宋体" w:hAnsi="宋体" w:cs="宋体"/>
          <w:sz w:val="24"/>
          <w:szCs w:val="24"/>
        </w:rPr>
        <w:t>18817282580</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地  址：重庆沙坪坝区大学城中路6</w:t>
      </w:r>
      <w:r>
        <w:rPr>
          <w:rFonts w:ascii="宋体" w:hAnsi="宋体" w:cs="宋体"/>
          <w:sz w:val="24"/>
          <w:szCs w:val="24"/>
        </w:rPr>
        <w:t>1</w:t>
      </w:r>
      <w:r>
        <w:rPr>
          <w:rFonts w:hint="eastAsia" w:ascii="宋体" w:hAnsi="宋体" w:cs="宋体"/>
          <w:sz w:val="24"/>
          <w:szCs w:val="24"/>
        </w:rPr>
        <w:t>号</w:t>
      </w:r>
    </w:p>
    <w:p>
      <w:pPr>
        <w:pStyle w:val="5"/>
      </w:pPr>
      <w:bookmarkStart w:id="44" w:name="_Toc150506527"/>
      <w:r>
        <w:rPr>
          <w:rFonts w:hint="eastAsia"/>
        </w:rPr>
        <w:t>七、现场踩点时间和地点</w:t>
      </w:r>
      <w:bookmarkEnd w:id="44"/>
    </w:p>
    <w:p>
      <w:pPr>
        <w:numPr>
          <w:ilvl w:val="0"/>
          <w:numId w:val="1"/>
        </w:numPr>
        <w:snapToGrid w:val="0"/>
        <w:spacing w:line="360" w:lineRule="auto"/>
        <w:rPr>
          <w:rFonts w:ascii="宋体" w:hAnsi="宋体" w:cs="宋体"/>
          <w:sz w:val="24"/>
          <w:szCs w:val="24"/>
        </w:rPr>
      </w:pPr>
      <w:r>
        <w:rPr>
          <w:rFonts w:hint="eastAsia" w:ascii="宋体" w:hAnsi="宋体" w:cs="宋体"/>
          <w:sz w:val="24"/>
          <w:szCs w:val="24"/>
        </w:rPr>
        <w:t>重庆医科大学缙云校区竹苑</w:t>
      </w:r>
    </w:p>
    <w:p>
      <w:pPr>
        <w:numPr>
          <w:ilvl w:val="0"/>
          <w:numId w:val="1"/>
        </w:numPr>
        <w:snapToGrid w:val="0"/>
        <w:spacing w:line="360" w:lineRule="auto"/>
        <w:rPr>
          <w:rFonts w:ascii="宋体" w:hAnsi="宋体" w:cs="宋体"/>
          <w:sz w:val="24"/>
          <w:szCs w:val="24"/>
        </w:rPr>
      </w:pPr>
      <w:r>
        <w:rPr>
          <w:rFonts w:hint="eastAsia" w:ascii="宋体" w:hAnsi="宋体" w:cs="宋体"/>
          <w:sz w:val="24"/>
          <w:szCs w:val="24"/>
        </w:rPr>
        <w:t>时间：2</w:t>
      </w:r>
      <w:r>
        <w:rPr>
          <w:rFonts w:ascii="宋体" w:hAnsi="宋体" w:cs="宋体"/>
          <w:sz w:val="24"/>
          <w:szCs w:val="24"/>
        </w:rPr>
        <w:t>024</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22</w:t>
      </w:r>
      <w:r>
        <w:rPr>
          <w:rFonts w:hint="eastAsia" w:ascii="宋体" w:hAnsi="宋体" w:cs="宋体"/>
          <w:sz w:val="24"/>
          <w:szCs w:val="24"/>
        </w:rPr>
        <w:t xml:space="preserve"> 日，上午</w:t>
      </w:r>
      <w:r>
        <w:rPr>
          <w:rFonts w:ascii="宋体" w:hAnsi="宋体" w:cs="宋体"/>
          <w:sz w:val="24"/>
          <w:szCs w:val="24"/>
        </w:rPr>
        <w:t>09</w:t>
      </w:r>
      <w:r>
        <w:rPr>
          <w:rFonts w:hint="eastAsia" w:ascii="宋体" w:hAnsi="宋体" w:cs="宋体"/>
          <w:sz w:val="24"/>
          <w:szCs w:val="24"/>
        </w:rPr>
        <w:t>:00-1</w:t>
      </w:r>
      <w:r>
        <w:rPr>
          <w:rFonts w:ascii="宋体" w:hAnsi="宋体" w:cs="宋体"/>
          <w:sz w:val="24"/>
          <w:szCs w:val="24"/>
        </w:rPr>
        <w:t>2</w:t>
      </w:r>
      <w:r>
        <w:rPr>
          <w:rFonts w:hint="eastAsia" w:ascii="宋体" w:hAnsi="宋体" w:cs="宋体"/>
          <w:sz w:val="24"/>
          <w:szCs w:val="24"/>
        </w:rPr>
        <w:t xml:space="preserve">:00 </w:t>
      </w:r>
    </w:p>
    <w:p>
      <w:pPr>
        <w:numPr>
          <w:ilvl w:val="0"/>
          <w:numId w:val="1"/>
        </w:numPr>
        <w:snapToGrid w:val="0"/>
        <w:spacing w:line="360" w:lineRule="auto"/>
        <w:rPr>
          <w:rFonts w:ascii="宋体" w:hAnsi="宋体" w:cs="宋体"/>
          <w:sz w:val="24"/>
          <w:szCs w:val="24"/>
        </w:rPr>
      </w:pPr>
      <w:r>
        <w:rPr>
          <w:rFonts w:hint="eastAsia" w:ascii="宋体" w:hAnsi="宋体" w:cs="宋体"/>
          <w:sz w:val="24"/>
          <w:szCs w:val="24"/>
        </w:rPr>
        <w:t>联系人：危怡</w:t>
      </w:r>
    </w:p>
    <w:p>
      <w:pPr>
        <w:numPr>
          <w:ilvl w:val="0"/>
          <w:numId w:val="1"/>
        </w:numPr>
        <w:snapToGrid w:val="0"/>
        <w:spacing w:line="360" w:lineRule="auto"/>
        <w:rPr>
          <w:rFonts w:ascii="宋体" w:hAnsi="宋体" w:cs="宋体"/>
          <w:sz w:val="24"/>
          <w:szCs w:val="24"/>
        </w:rPr>
      </w:pPr>
      <w:r>
        <w:rPr>
          <w:rFonts w:hint="eastAsia" w:ascii="宋体" w:hAnsi="宋体" w:cs="宋体"/>
          <w:sz w:val="24"/>
          <w:szCs w:val="24"/>
        </w:rPr>
        <w:t>联系电话：</w:t>
      </w:r>
      <w:r>
        <w:rPr>
          <w:rFonts w:ascii="宋体" w:hAnsi="宋体" w:cs="宋体"/>
          <w:sz w:val="24"/>
          <w:szCs w:val="24"/>
        </w:rPr>
        <w:t>18817282580</w:t>
      </w:r>
    </w:p>
    <w:p>
      <w:pPr>
        <w:pStyle w:val="4"/>
      </w:pPr>
      <w:r>
        <w:rPr>
          <w:rFonts w:hint="eastAsia" w:cs="宋体"/>
        </w:rPr>
        <w:br w:type="page"/>
      </w:r>
      <w:bookmarkEnd w:id="16"/>
      <w:bookmarkEnd w:id="17"/>
      <w:bookmarkStart w:id="45" w:name="_Toc28244_WPSOffice_Level1"/>
      <w:bookmarkStart w:id="46" w:name="_Toc31740_WPSOffice_Level1"/>
      <w:bookmarkStart w:id="47" w:name="_Toc11077381"/>
      <w:bookmarkStart w:id="48" w:name="_Toc6911"/>
      <w:bookmarkStart w:id="49" w:name="_Toc19728"/>
      <w:r>
        <w:rPr>
          <w:rFonts w:hint="eastAsia"/>
        </w:rPr>
        <w:t xml:space="preserve">第二篇  </w:t>
      </w:r>
      <w:bookmarkEnd w:id="45"/>
      <w:bookmarkEnd w:id="46"/>
      <w:bookmarkEnd w:id="47"/>
      <w:bookmarkEnd w:id="48"/>
      <w:r>
        <w:rPr>
          <w:rFonts w:hint="eastAsia"/>
        </w:rPr>
        <w:t>项目技术需求</w:t>
      </w:r>
    </w:p>
    <w:bookmarkEnd w:id="49"/>
    <w:p>
      <w:pPr>
        <w:pStyle w:val="5"/>
      </w:pPr>
      <w:bookmarkStart w:id="50" w:name="_Toc150506528"/>
      <w:bookmarkStart w:id="51" w:name="_Toc12789058"/>
      <w:r>
        <w:rPr>
          <w:rFonts w:hint="eastAsia"/>
        </w:rPr>
        <w:t>一、项目概况</w:t>
      </w:r>
      <w:bookmarkEnd w:id="50"/>
    </w:p>
    <w:p>
      <w:pPr>
        <w:pStyle w:val="2"/>
        <w:spacing w:line="360" w:lineRule="auto"/>
        <w:ind w:firstLine="480" w:firstLineChars="200"/>
        <w:rPr>
          <w:rFonts w:ascii="宋体" w:hAnsi="宋体" w:eastAsia="宋体" w:cs="宋体"/>
          <w:kern w:val="0"/>
          <w:sz w:val="24"/>
          <w:szCs w:val="24"/>
          <w:lang w:bidi="ar"/>
        </w:rPr>
      </w:pPr>
      <w:bookmarkStart w:id="52" w:name="_Toc437_WPSOffice_Level1"/>
      <w:bookmarkStart w:id="53" w:name="_Toc11077384"/>
      <w:bookmarkStart w:id="54" w:name="_Toc2163"/>
      <w:bookmarkStart w:id="55" w:name="_Toc5136_WPSOffice_Level1"/>
      <w:r>
        <w:rPr>
          <w:rFonts w:hint="eastAsia" w:ascii="宋体" w:hAnsi="宋体" w:eastAsia="宋体" w:cs="宋体"/>
          <w:kern w:val="0"/>
          <w:sz w:val="24"/>
          <w:szCs w:val="24"/>
          <w:lang w:bidi="ar"/>
        </w:rPr>
        <w:t>重庆医科大学国际教育学院留学生园区位于重庆大学城缙云校区竹苑，需新打造修读空间及文化形象墙。</w:t>
      </w:r>
    </w:p>
    <w:p>
      <w:pPr>
        <w:pStyle w:val="5"/>
      </w:pPr>
      <w:bookmarkStart w:id="56" w:name="_Toc150506529"/>
      <w:r>
        <w:rPr>
          <w:rFonts w:hint="eastAsia" w:cs="宋体"/>
        </w:rPr>
        <w:t>二、项目内容</w:t>
      </w:r>
      <w:r>
        <w:rPr>
          <w:rFonts w:hint="eastAsia"/>
        </w:rPr>
        <w:t>（实质性要求）</w:t>
      </w:r>
      <w:bookmarkEnd w:id="56"/>
    </w:p>
    <w:tbl>
      <w:tblPr>
        <w:tblStyle w:val="13"/>
        <w:tblW w:w="9419"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2304"/>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2216" w:type="dxa"/>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项目名称</w:t>
            </w:r>
          </w:p>
        </w:tc>
        <w:tc>
          <w:tcPr>
            <w:tcW w:w="2304" w:type="dxa"/>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rPr>
              <w:t>分项</w:t>
            </w:r>
          </w:p>
        </w:tc>
        <w:tc>
          <w:tcPr>
            <w:tcW w:w="4899" w:type="dxa"/>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服务明细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2216" w:type="dxa"/>
            <w:vMerge w:val="restart"/>
            <w:vAlign w:val="center"/>
          </w:tcPr>
          <w:p>
            <w:pPr>
              <w:widowControl/>
              <w:jc w:val="left"/>
              <w:textAlignment w:val="center"/>
              <w:rPr>
                <w:rFonts w:ascii="宋体" w:hAnsi="宋体" w:cs="宋体"/>
                <w:color w:val="000000"/>
                <w:kern w:val="0"/>
                <w:sz w:val="22"/>
                <w:szCs w:val="22"/>
                <w:lang w:bidi="ar"/>
              </w:rPr>
            </w:pPr>
            <w:r>
              <w:rPr>
                <w:rFonts w:hint="eastAsia" w:ascii="Calibri" w:hAnsi="Calibri"/>
                <w:sz w:val="24"/>
                <w:szCs w:val="18"/>
              </w:rPr>
              <w:t>重庆医科大学国际教育学院竹苑1号楼园区文化改造服务</w:t>
            </w:r>
          </w:p>
        </w:tc>
        <w:tc>
          <w:tcPr>
            <w:tcW w:w="2304" w:type="dxa"/>
            <w:vAlign w:val="center"/>
          </w:tcPr>
          <w:p>
            <w:pPr>
              <w:widowControl/>
              <w:jc w:val="center"/>
              <w:textAlignment w:val="center"/>
              <w:rPr>
                <w:rFonts w:ascii="宋体" w:hAnsi="宋体" w:cs="宋体"/>
                <w:color w:val="000000"/>
                <w:sz w:val="22"/>
                <w:szCs w:val="22"/>
              </w:rPr>
            </w:pPr>
            <w:r>
              <w:rPr>
                <w:rFonts w:hint="eastAsia" w:ascii="宋体" w:hAnsi="宋体"/>
                <w:color w:val="000000"/>
                <w:sz w:val="22"/>
                <w:szCs w:val="22"/>
              </w:rPr>
              <w:t>门头立面墙封闭</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门头里面墙外形美化。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s="宋体"/>
                <w:color w:val="000000"/>
                <w:sz w:val="22"/>
                <w:szCs w:val="22"/>
              </w:rPr>
            </w:pPr>
            <w:r>
              <w:rPr>
                <w:rFonts w:hint="eastAsia" w:ascii="宋体" w:hAnsi="宋体"/>
                <w:color w:val="000000"/>
                <w:sz w:val="22"/>
                <w:szCs w:val="22"/>
              </w:rPr>
              <w:t>公告栏墙面</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公告栏制作。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2216" w:type="dxa"/>
            <w:vMerge w:val="continue"/>
            <w:vAlign w:val="center"/>
          </w:tcPr>
          <w:p>
            <w:pPr>
              <w:widowControl/>
              <w:jc w:val="left"/>
              <w:textAlignment w:val="center"/>
              <w:rPr>
                <w:rFonts w:ascii="Calibri" w:hAnsi="Calibri"/>
              </w:rPr>
            </w:pPr>
          </w:p>
        </w:tc>
        <w:tc>
          <w:tcPr>
            <w:tcW w:w="2304" w:type="dxa"/>
            <w:vAlign w:val="center"/>
          </w:tcPr>
          <w:p>
            <w:pPr>
              <w:widowControl/>
              <w:jc w:val="center"/>
              <w:textAlignment w:val="center"/>
              <w:rPr>
                <w:rFonts w:ascii="宋体" w:hAnsi="宋体" w:cs="宋体"/>
                <w:color w:val="000000"/>
                <w:sz w:val="22"/>
                <w:szCs w:val="22"/>
              </w:rPr>
            </w:pPr>
            <w:r>
              <w:rPr>
                <w:rFonts w:hint="eastAsia" w:ascii="宋体" w:hAnsi="宋体"/>
                <w:color w:val="000000"/>
                <w:sz w:val="22"/>
                <w:szCs w:val="22"/>
              </w:rPr>
              <w:t>墙面刷漆美化</w:t>
            </w:r>
          </w:p>
        </w:tc>
        <w:tc>
          <w:tcPr>
            <w:tcW w:w="4899"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包括宿舍楼入口空间、入口墙面、一楼墙面等。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s="宋体"/>
                <w:color w:val="000000"/>
                <w:sz w:val="22"/>
                <w:szCs w:val="22"/>
              </w:rPr>
            </w:pPr>
            <w:r>
              <w:rPr>
                <w:rFonts w:hint="eastAsia" w:ascii="宋体" w:hAnsi="宋体"/>
                <w:color w:val="000000"/>
                <w:sz w:val="22"/>
                <w:szCs w:val="22"/>
              </w:rPr>
              <w:t>灯具安装</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包括入口空间和一楼过道的线路设计、打造，灯具及开光安装。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密码锁</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一楼5间办公室门锁更换。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s="宋体"/>
                <w:color w:val="000000"/>
                <w:sz w:val="22"/>
                <w:szCs w:val="22"/>
              </w:rPr>
            </w:pPr>
            <w:r>
              <w:rPr>
                <w:rFonts w:hint="eastAsia" w:ascii="宋体" w:hAnsi="宋体"/>
                <w:color w:val="000000"/>
                <w:sz w:val="22"/>
                <w:szCs w:val="22"/>
              </w:rPr>
              <w:t>凉亭地面</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包括地面杂草、泥土处理，地面硬化等。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凉亭贴砖</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包括凉亭地面及四周贴砖。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凉亭灯具及线路安装</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包括凉亭布线和灯具安装。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草皮</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凉亭周围草皮设计及铺设。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凉亭主体结构</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包括大立柱、小立柱、顶棚骨架、双层顶棚及立柱烤漆、辅材、人工等。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除渣</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施工完建渣清除。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清洁</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施工完清洁打扫。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凉亭家具</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包括书桌椅、条形椅、书架等。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2216" w:type="dxa"/>
            <w:vMerge w:val="continue"/>
            <w:vAlign w:val="center"/>
          </w:tcPr>
          <w:p>
            <w:pPr>
              <w:widowControl/>
              <w:jc w:val="left"/>
              <w:textAlignment w:val="center"/>
              <w:rPr>
                <w:rFonts w:ascii="宋体" w:hAnsi="宋体" w:cs="宋体"/>
                <w:color w:val="000000"/>
                <w:kern w:val="0"/>
                <w:sz w:val="22"/>
                <w:szCs w:val="22"/>
                <w:lang w:bidi="ar"/>
              </w:rPr>
            </w:pPr>
          </w:p>
        </w:tc>
        <w:tc>
          <w:tcPr>
            <w:tcW w:w="2304" w:type="dxa"/>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文化形象墙打造</w:t>
            </w:r>
          </w:p>
        </w:tc>
        <w:tc>
          <w:tcPr>
            <w:tcW w:w="4899" w:type="dxa"/>
            <w:vAlign w:val="center"/>
          </w:tcPr>
          <w:p>
            <w:pPr>
              <w:widowControl/>
              <w:jc w:val="left"/>
              <w:textAlignment w:val="center"/>
              <w:rPr>
                <w:rFonts w:ascii="宋体" w:hAnsi="宋体" w:cs="宋体"/>
                <w:color w:val="000000"/>
                <w:sz w:val="22"/>
                <w:szCs w:val="22"/>
              </w:rPr>
            </w:pPr>
            <w:r>
              <w:rPr>
                <w:rFonts w:hint="eastAsia" w:ascii="宋体" w:hAnsi="宋体"/>
                <w:color w:val="000000"/>
                <w:sz w:val="22"/>
                <w:szCs w:val="22"/>
              </w:rPr>
              <w:t>包括入户笑脸墙（英文）、张贴栏、文化墙、创意墙、门头字打造，三角形办公室牌安装，消火栓美化等。</w:t>
            </w:r>
          </w:p>
        </w:tc>
      </w:tr>
    </w:tbl>
    <w:p>
      <w:pPr>
        <w:pStyle w:val="3"/>
      </w:pPr>
    </w:p>
    <w:p>
      <w:pPr>
        <w:pStyle w:val="5"/>
      </w:pPr>
      <w:bookmarkStart w:id="57" w:name="_Toc150506530"/>
      <w:r>
        <w:rPr>
          <w:rFonts w:hint="eastAsia" w:cs="宋体"/>
        </w:rPr>
        <w:t>三、项目要求</w:t>
      </w:r>
      <w:r>
        <w:rPr>
          <w:rFonts w:hint="eastAsia"/>
        </w:rPr>
        <w:t>（实质性要求）</w:t>
      </w:r>
      <w:bookmarkEnd w:id="57"/>
    </w:p>
    <w:tbl>
      <w:tblPr>
        <w:tblStyle w:val="13"/>
        <w:tblW w:w="94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7"/>
        <w:gridCol w:w="1068"/>
        <w:gridCol w:w="7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 w:hRule="atLeast"/>
        </w:trPr>
        <w:tc>
          <w:tcPr>
            <w:tcW w:w="1137" w:type="dxa"/>
            <w:tcBorders>
              <w:top w:val="single" w:color="000000" w:sz="4" w:space="0"/>
              <w:left w:val="single" w:color="000000" w:sz="4" w:space="0"/>
              <w:bottom w:val="single" w:color="000000" w:sz="4" w:space="0"/>
              <w:right w:val="single" w:color="000000" w:sz="4" w:space="0"/>
            </w:tcBorders>
          </w:tcPr>
          <w:p>
            <w:pPr>
              <w:topLinePunct/>
              <w:ind w:left="108"/>
              <w:jc w:val="center"/>
              <w:rPr>
                <w:rFonts w:ascii="宋体" w:hAnsi="宋体" w:cs="宋体"/>
                <w:b/>
                <w:color w:val="000000"/>
                <w:sz w:val="24"/>
              </w:rPr>
            </w:pPr>
            <w:r>
              <w:rPr>
                <w:rFonts w:hint="eastAsia" w:ascii="宋体" w:hAnsi="宋体" w:cs="宋体"/>
                <w:b/>
                <w:color w:val="000000"/>
                <w:sz w:val="24"/>
              </w:rPr>
              <w:t>项目名称</w:t>
            </w:r>
          </w:p>
        </w:tc>
        <w:tc>
          <w:tcPr>
            <w:tcW w:w="1068" w:type="dxa"/>
            <w:tcBorders>
              <w:top w:val="single" w:color="000000" w:sz="4" w:space="0"/>
              <w:left w:val="single" w:color="000000" w:sz="4" w:space="0"/>
              <w:bottom w:val="single" w:color="000000" w:sz="4" w:space="0"/>
              <w:right w:val="single" w:color="000000" w:sz="4" w:space="0"/>
            </w:tcBorders>
            <w:vAlign w:val="center"/>
          </w:tcPr>
          <w:p>
            <w:pPr>
              <w:topLinePunct/>
              <w:ind w:left="108"/>
              <w:jc w:val="center"/>
              <w:rPr>
                <w:rFonts w:ascii="宋体" w:hAnsi="宋体" w:cs="宋体"/>
                <w:b/>
                <w:color w:val="000000"/>
                <w:sz w:val="24"/>
              </w:rPr>
            </w:pPr>
            <w:r>
              <w:rPr>
                <w:rFonts w:hint="eastAsia" w:ascii="宋体" w:hAnsi="宋体" w:cs="宋体"/>
                <w:b/>
                <w:color w:val="000000"/>
                <w:sz w:val="24"/>
              </w:rPr>
              <w:t>内容</w:t>
            </w:r>
          </w:p>
        </w:tc>
        <w:tc>
          <w:tcPr>
            <w:tcW w:w="7274" w:type="dxa"/>
            <w:tcBorders>
              <w:top w:val="single" w:color="000000" w:sz="4" w:space="0"/>
              <w:left w:val="single" w:color="000000" w:sz="4" w:space="0"/>
              <w:bottom w:val="single" w:color="000000" w:sz="4" w:space="0"/>
              <w:right w:val="single" w:color="000000" w:sz="4" w:space="0"/>
            </w:tcBorders>
            <w:vAlign w:val="center"/>
          </w:tcPr>
          <w:p>
            <w:pPr>
              <w:topLinePunct/>
              <w:ind w:left="108"/>
              <w:jc w:val="center"/>
              <w:rPr>
                <w:rFonts w:ascii="宋体" w:hAnsi="宋体" w:cs="宋体"/>
                <w:b/>
                <w:color w:val="000000"/>
                <w:sz w:val="24"/>
              </w:rPr>
            </w:pPr>
            <w:r>
              <w:rPr>
                <w:rFonts w:hint="eastAsia" w:ascii="宋体" w:hAnsi="宋体" w:cs="宋体"/>
                <w:b/>
                <w:color w:val="000000"/>
                <w:sz w:val="24"/>
              </w:rPr>
              <w:t>技术规格和配置要求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5" w:hRule="atLeast"/>
        </w:trPr>
        <w:tc>
          <w:tcPr>
            <w:tcW w:w="1137" w:type="dxa"/>
            <w:vMerge w:val="restart"/>
            <w:tcBorders>
              <w:top w:val="single" w:color="000000" w:sz="4" w:space="0"/>
              <w:left w:val="single" w:color="000000" w:sz="4" w:space="0"/>
              <w:right w:val="single" w:color="000000" w:sz="4" w:space="0"/>
            </w:tcBorders>
            <w:vAlign w:val="center"/>
          </w:tcPr>
          <w:p>
            <w:pPr>
              <w:topLinePunct/>
              <w:rPr>
                <w:rStyle w:val="17"/>
                <w:rFonts w:ascii="宋体" w:hAnsi="宋体" w:cs="宋体"/>
                <w:b/>
                <w:bCs/>
                <w:kern w:val="0"/>
                <w:sz w:val="22"/>
                <w:szCs w:val="22"/>
                <w:lang w:bidi="ne-NP"/>
              </w:rPr>
            </w:pPr>
            <w:r>
              <w:rPr>
                <w:rFonts w:hint="eastAsia" w:ascii="Calibri" w:hAnsi="Calibri"/>
                <w:sz w:val="24"/>
                <w:szCs w:val="18"/>
              </w:rPr>
              <w:t>重庆医科大学国际教育学院竹苑1号楼园区文化改造服务</w:t>
            </w:r>
          </w:p>
        </w:tc>
        <w:tc>
          <w:tcPr>
            <w:tcW w:w="1068" w:type="dxa"/>
            <w:tcBorders>
              <w:top w:val="single" w:color="000000" w:sz="4" w:space="0"/>
              <w:left w:val="single" w:color="000000" w:sz="4" w:space="0"/>
              <w:right w:val="single" w:color="000000" w:sz="4" w:space="0"/>
            </w:tcBorders>
            <w:vAlign w:val="center"/>
          </w:tcPr>
          <w:p>
            <w:pPr>
              <w:topLinePunct/>
              <w:adjustRightInd w:val="0"/>
              <w:snapToGrid w:val="0"/>
              <w:ind w:left="108"/>
              <w:jc w:val="center"/>
              <w:rPr>
                <w:rStyle w:val="17"/>
                <w:rFonts w:ascii="宋体" w:hAnsi="宋体" w:cs="宋体"/>
                <w:b/>
                <w:bCs/>
                <w:kern w:val="0"/>
                <w:sz w:val="22"/>
                <w:szCs w:val="22"/>
                <w:lang w:bidi="ne-NP"/>
              </w:rPr>
            </w:pPr>
            <w:r>
              <w:rPr>
                <w:rFonts w:hint="eastAsia" w:ascii="宋体" w:hAnsi="宋体" w:cs="宋体"/>
                <w:color w:val="000000"/>
                <w:kern w:val="0"/>
                <w:sz w:val="22"/>
                <w:szCs w:val="22"/>
                <w:lang w:bidi="ar"/>
              </w:rPr>
              <w:t>园区整体改造</w:t>
            </w:r>
          </w:p>
        </w:tc>
        <w:tc>
          <w:tcPr>
            <w:tcW w:w="727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left"/>
              <w:rPr>
                <w:rFonts w:ascii="宋体" w:hAnsi="宋体" w:cs="宋体"/>
                <w:b/>
                <w:bCs/>
                <w:sz w:val="22"/>
                <w:szCs w:val="22"/>
              </w:rPr>
            </w:pPr>
            <w:r>
              <w:rPr>
                <w:rFonts w:hint="eastAsia" w:ascii="宋体" w:hAnsi="宋体" w:cs="宋体"/>
                <w:b/>
                <w:bCs/>
                <w:sz w:val="22"/>
                <w:szCs w:val="22"/>
              </w:rPr>
              <w:t>1.门头立面墙封闭</w:t>
            </w:r>
          </w:p>
          <w:p>
            <w:pPr>
              <w:topLinePunct/>
              <w:adjustRightInd w:val="0"/>
              <w:snapToGrid w:val="0"/>
              <w:ind w:left="108"/>
              <w:jc w:val="left"/>
              <w:rPr>
                <w:rFonts w:ascii="宋体" w:hAnsi="宋体" w:cs="宋体"/>
                <w:sz w:val="22"/>
                <w:szCs w:val="22"/>
              </w:rPr>
            </w:pPr>
            <w:r>
              <w:rPr>
                <w:rFonts w:hint="eastAsia" w:ascii="宋体" w:hAnsi="宋体" w:cs="宋体"/>
                <w:sz w:val="22"/>
                <w:szCs w:val="22"/>
              </w:rPr>
              <w:t>轻钢龙骨现场制作框架（75龙骨），纸面石膏板（9mm）饰面造型，刮腻子3遍，乳胶漆两遍、安装LED线型灯。</w:t>
            </w:r>
          </w:p>
          <w:p>
            <w:pPr>
              <w:adjustRightInd w:val="0"/>
              <w:snapToGrid w:val="0"/>
              <w:rPr>
                <w:rFonts w:ascii="宋体" w:hAnsi="宋体" w:cs="宋体"/>
                <w:sz w:val="22"/>
                <w:szCs w:val="22"/>
              </w:rPr>
            </w:pPr>
            <w:r>
              <w:rPr>
                <w:rFonts w:hint="eastAsia" w:ascii="宋体" w:hAnsi="宋体" w:cs="宋体"/>
                <w:b/>
                <w:bCs/>
                <w:sz w:val="22"/>
                <w:szCs w:val="22"/>
              </w:rPr>
              <w:t>2.公告栏墙面</w:t>
            </w:r>
          </w:p>
          <w:p>
            <w:pPr>
              <w:adjustRightInd w:val="0"/>
              <w:snapToGrid w:val="0"/>
              <w:rPr>
                <w:rFonts w:ascii="宋体" w:hAnsi="宋体" w:cs="宋体"/>
                <w:sz w:val="22"/>
                <w:szCs w:val="22"/>
              </w:rPr>
            </w:pPr>
            <w:r>
              <w:rPr>
                <w:rFonts w:hint="eastAsia" w:ascii="宋体" w:hAnsi="宋体" w:cs="宋体"/>
                <w:sz w:val="22"/>
                <w:szCs w:val="22"/>
              </w:rPr>
              <w:t>墙面采用40mm×40mm×2mm镀锌管制作框架，硅钙板饰面，局部造型，制作灯槽，硅钙板饰面，刮外墙腻子，喷真石漆2遍。</w:t>
            </w:r>
          </w:p>
          <w:p>
            <w:pPr>
              <w:pStyle w:val="2"/>
              <w:rPr>
                <w:rFonts w:ascii="宋体" w:hAnsi="宋体" w:eastAsia="宋体"/>
                <w:sz w:val="22"/>
                <w:szCs w:val="22"/>
              </w:rPr>
            </w:pPr>
            <w:r>
              <w:rPr>
                <w:rFonts w:hint="eastAsia" w:ascii="宋体" w:hAnsi="宋体" w:cs="宋体"/>
                <w:b/>
                <w:bCs/>
                <w:sz w:val="22"/>
                <w:szCs w:val="22"/>
              </w:rPr>
              <w:t>3.宿舍楼入口空间</w:t>
            </w:r>
          </w:p>
          <w:p>
            <w:pPr>
              <w:pStyle w:val="2"/>
              <w:rPr>
                <w:rFonts w:ascii="宋体" w:hAnsi="宋体" w:eastAsia="宋体"/>
                <w:sz w:val="22"/>
                <w:szCs w:val="22"/>
              </w:rPr>
            </w:pPr>
            <w:r>
              <w:rPr>
                <w:rStyle w:val="18"/>
                <w:rFonts w:hint="eastAsia" w:ascii="宋体" w:hAnsi="宋体" w:cs="宋体"/>
                <w:bCs/>
              </w:rPr>
              <w:t>天棚轻钢龙骨吊顶造型，纸面石膏板封面，刮内墙腻子3遍，乳胶漆1遍，底漆3遍。</w:t>
            </w:r>
          </w:p>
          <w:p>
            <w:pPr>
              <w:pStyle w:val="2"/>
              <w:rPr>
                <w:rFonts w:ascii="宋体" w:hAnsi="宋体" w:eastAsia="宋体"/>
                <w:b/>
                <w:bCs/>
                <w:sz w:val="22"/>
                <w:szCs w:val="22"/>
              </w:rPr>
            </w:pPr>
            <w:r>
              <w:rPr>
                <w:rFonts w:hint="eastAsia" w:ascii="宋体" w:hAnsi="宋体" w:eastAsia="宋体"/>
                <w:b/>
                <w:bCs/>
                <w:sz w:val="22"/>
                <w:szCs w:val="22"/>
              </w:rPr>
              <w:t>4.宿舍楼入口空间灯具</w:t>
            </w:r>
          </w:p>
          <w:p>
            <w:pPr>
              <w:pStyle w:val="2"/>
              <w:rPr>
                <w:rFonts w:ascii="宋体" w:hAnsi="宋体" w:eastAsia="宋体" w:cs="微软雅黑"/>
                <w:sz w:val="22"/>
                <w:szCs w:val="22"/>
              </w:rPr>
            </w:pPr>
            <w:r>
              <w:rPr>
                <w:rFonts w:hint="eastAsia" w:ascii="宋体" w:hAnsi="宋体" w:eastAsia="宋体" w:cs="微软雅黑"/>
                <w:sz w:val="22"/>
                <w:szCs w:val="22"/>
              </w:rPr>
              <w:t>天棚筒灯安装，软膜灯片安装，线路安装及控制开关。</w:t>
            </w:r>
          </w:p>
          <w:p>
            <w:pPr>
              <w:pStyle w:val="3"/>
              <w:ind w:left="0"/>
              <w:rPr>
                <w:rFonts w:ascii="宋体" w:hAnsi="宋体"/>
                <w:b/>
                <w:bCs/>
                <w:sz w:val="22"/>
                <w:szCs w:val="22"/>
              </w:rPr>
            </w:pPr>
            <w:r>
              <w:rPr>
                <w:rFonts w:hint="eastAsia" w:ascii="宋体" w:hAnsi="宋体"/>
                <w:b/>
                <w:bCs/>
                <w:sz w:val="22"/>
                <w:szCs w:val="22"/>
              </w:rPr>
              <w:t>5.宿舍楼入口墙面打造</w:t>
            </w:r>
          </w:p>
          <w:p>
            <w:pPr>
              <w:rPr>
                <w:rFonts w:ascii="宋体" w:hAnsi="宋体"/>
                <w:sz w:val="22"/>
                <w:szCs w:val="22"/>
              </w:rPr>
            </w:pPr>
            <w:r>
              <w:rPr>
                <w:rFonts w:hint="eastAsia" w:ascii="宋体" w:hAnsi="宋体"/>
                <w:sz w:val="22"/>
                <w:szCs w:val="22"/>
              </w:rPr>
              <w:t>宿舍楼入口墙面采用40mm×40mm×2mm镀锌方管制作基层架子，安装12mm硅钙板，面层刮外墙腻子3遍，喷外墙真石漆。</w:t>
            </w:r>
          </w:p>
          <w:p>
            <w:pPr>
              <w:pStyle w:val="2"/>
              <w:rPr>
                <w:rFonts w:ascii="宋体" w:hAnsi="宋体" w:eastAsia="宋体" w:cs="微软雅黑"/>
                <w:b/>
                <w:bCs/>
                <w:sz w:val="22"/>
                <w:szCs w:val="22"/>
              </w:rPr>
            </w:pPr>
            <w:r>
              <w:rPr>
                <w:rFonts w:hint="eastAsia" w:ascii="宋体" w:hAnsi="宋体" w:eastAsia="宋体" w:cs="Calibri"/>
                <w:b/>
                <w:bCs/>
                <w:sz w:val="22"/>
                <w:szCs w:val="22"/>
              </w:rPr>
              <w:t>6.</w:t>
            </w:r>
            <w:r>
              <w:rPr>
                <w:rFonts w:hint="eastAsia" w:ascii="宋体" w:hAnsi="宋体" w:eastAsia="宋体" w:cs="微软雅黑"/>
                <w:b/>
                <w:bCs/>
                <w:sz w:val="22"/>
                <w:szCs w:val="22"/>
              </w:rPr>
              <w:t>一楼墙面乳胶漆</w:t>
            </w:r>
          </w:p>
          <w:p>
            <w:pPr>
              <w:pStyle w:val="3"/>
              <w:ind w:left="0"/>
              <w:rPr>
                <w:rFonts w:ascii="宋体" w:hAnsi="宋体"/>
                <w:sz w:val="22"/>
                <w:szCs w:val="22"/>
              </w:rPr>
            </w:pPr>
            <w:r>
              <w:rPr>
                <w:rFonts w:hint="eastAsia" w:ascii="宋体" w:hAnsi="宋体"/>
                <w:sz w:val="22"/>
                <w:szCs w:val="22"/>
              </w:rPr>
              <w:t>一楼通道墙面及天棚面层腻子铲出，刮内墙腻子两遍，乳胶漆2遍。</w:t>
            </w:r>
          </w:p>
          <w:p>
            <w:pPr>
              <w:rPr>
                <w:rFonts w:ascii="宋体" w:hAnsi="宋体"/>
                <w:b/>
                <w:bCs/>
                <w:sz w:val="22"/>
                <w:szCs w:val="22"/>
              </w:rPr>
            </w:pPr>
            <w:r>
              <w:rPr>
                <w:rFonts w:hint="eastAsia" w:ascii="宋体" w:hAnsi="宋体"/>
                <w:b/>
                <w:bCs/>
                <w:sz w:val="22"/>
                <w:szCs w:val="22"/>
              </w:rPr>
              <w:t>7.一楼过道灯具</w:t>
            </w:r>
          </w:p>
          <w:p>
            <w:pPr>
              <w:pStyle w:val="2"/>
              <w:rPr>
                <w:rFonts w:ascii="宋体" w:hAnsi="宋体" w:eastAsia="宋体" w:cs="微软雅黑"/>
                <w:sz w:val="22"/>
                <w:szCs w:val="22"/>
              </w:rPr>
            </w:pPr>
            <w:r>
              <w:rPr>
                <w:rFonts w:hint="eastAsia" w:ascii="宋体" w:hAnsi="宋体" w:eastAsia="宋体" w:cs="微软雅黑"/>
                <w:sz w:val="22"/>
                <w:szCs w:val="22"/>
              </w:rPr>
              <w:t>一楼通道原灯具拆除，安装</w:t>
            </w:r>
            <w:r>
              <w:rPr>
                <w:rFonts w:hint="eastAsia" w:ascii="宋体" w:hAnsi="宋体" w:eastAsia="宋体"/>
                <w:sz w:val="22"/>
                <w:szCs w:val="22"/>
              </w:rPr>
              <w:t>1200</w:t>
            </w:r>
            <w:r>
              <w:rPr>
                <w:rFonts w:ascii="宋体" w:hAnsi="宋体" w:eastAsia="宋体" w:cs="Calibri"/>
                <w:sz w:val="22"/>
                <w:szCs w:val="22"/>
              </w:rPr>
              <w:t>×</w:t>
            </w:r>
            <w:r>
              <w:rPr>
                <w:rFonts w:hint="eastAsia" w:ascii="宋体" w:hAnsi="宋体" w:eastAsia="宋体"/>
                <w:sz w:val="22"/>
                <w:szCs w:val="22"/>
              </w:rPr>
              <w:t>200LED</w:t>
            </w:r>
            <w:r>
              <w:rPr>
                <w:rFonts w:hint="eastAsia" w:ascii="宋体" w:hAnsi="宋体" w:eastAsia="宋体" w:cs="微软雅黑"/>
                <w:sz w:val="22"/>
                <w:szCs w:val="22"/>
              </w:rPr>
              <w:t>照明灯</w:t>
            </w:r>
            <w:r>
              <w:rPr>
                <w:rFonts w:hint="eastAsia" w:ascii="宋体" w:hAnsi="宋体" w:eastAsia="宋体"/>
                <w:sz w:val="22"/>
                <w:szCs w:val="22"/>
              </w:rPr>
              <w:t>17</w:t>
            </w:r>
            <w:r>
              <w:rPr>
                <w:rFonts w:hint="eastAsia" w:ascii="宋体" w:hAnsi="宋体" w:eastAsia="宋体" w:cs="微软雅黑"/>
                <w:sz w:val="22"/>
                <w:szCs w:val="22"/>
              </w:rPr>
              <w:t>盏。</w:t>
            </w:r>
          </w:p>
          <w:p>
            <w:pPr>
              <w:rPr>
                <w:rFonts w:ascii="宋体" w:hAnsi="宋体"/>
                <w:b/>
                <w:bCs/>
                <w:sz w:val="22"/>
                <w:szCs w:val="22"/>
              </w:rPr>
            </w:pPr>
            <w:r>
              <w:rPr>
                <w:rFonts w:hint="eastAsia" w:ascii="宋体" w:hAnsi="宋体"/>
                <w:b/>
                <w:bCs/>
                <w:sz w:val="22"/>
                <w:szCs w:val="22"/>
              </w:rPr>
              <w:t>8.密码锁</w:t>
            </w:r>
          </w:p>
          <w:p>
            <w:pPr>
              <w:pStyle w:val="2"/>
              <w:rPr>
                <w:rFonts w:ascii="Calibri" w:hAnsi="Calibri" w:cs="Calibri"/>
              </w:rPr>
            </w:pPr>
            <w:r>
              <w:rPr>
                <w:rFonts w:hint="eastAsia" w:ascii="宋体" w:hAnsi="宋体" w:eastAsia="宋体" w:cs="微软雅黑"/>
                <w:sz w:val="22"/>
                <w:szCs w:val="22"/>
              </w:rPr>
              <w:t>一楼办公室门锁更换为密码锁。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9" w:hRule="atLeast"/>
        </w:trPr>
        <w:tc>
          <w:tcPr>
            <w:tcW w:w="1137" w:type="dxa"/>
            <w:vMerge w:val="continue"/>
            <w:tcBorders>
              <w:left w:val="single" w:color="000000" w:sz="4" w:space="0"/>
              <w:right w:val="single" w:color="000000" w:sz="4" w:space="0"/>
            </w:tcBorders>
            <w:vAlign w:val="center"/>
          </w:tcPr>
          <w:p>
            <w:pPr>
              <w:snapToGrid w:val="0"/>
              <w:jc w:val="center"/>
              <w:rPr>
                <w:rStyle w:val="17"/>
                <w:rFonts w:ascii="宋体" w:hAnsi="宋体" w:cs="宋体"/>
                <w:sz w:val="22"/>
                <w:szCs w:val="22"/>
              </w:rPr>
            </w:pPr>
          </w:p>
        </w:tc>
        <w:tc>
          <w:tcPr>
            <w:tcW w:w="1068" w:type="dxa"/>
            <w:tcBorders>
              <w:top w:val="single" w:color="000000" w:sz="4" w:space="0"/>
              <w:left w:val="single" w:color="000000" w:sz="4" w:space="0"/>
              <w:right w:val="single" w:color="000000" w:sz="4" w:space="0"/>
            </w:tcBorders>
            <w:vAlign w:val="center"/>
          </w:tcPr>
          <w:p>
            <w:pPr>
              <w:adjustRightInd w:val="0"/>
              <w:snapToGrid w:val="0"/>
              <w:jc w:val="center"/>
              <w:rPr>
                <w:rFonts w:ascii="宋体" w:hAnsi="宋体" w:cs="宋体"/>
                <w:sz w:val="22"/>
                <w:szCs w:val="22"/>
                <w:lang w:bidi="ne-NP"/>
              </w:rPr>
            </w:pPr>
            <w:r>
              <w:rPr>
                <w:rFonts w:hint="eastAsia" w:ascii="宋体" w:hAnsi="宋体" w:cs="宋体"/>
                <w:color w:val="000000"/>
                <w:kern w:val="0"/>
                <w:sz w:val="22"/>
                <w:szCs w:val="22"/>
                <w:lang w:bidi="ar"/>
              </w:rPr>
              <w:t>修读空间建设</w:t>
            </w:r>
          </w:p>
        </w:tc>
        <w:tc>
          <w:tcPr>
            <w:tcW w:w="7274"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left"/>
              <w:rPr>
                <w:rFonts w:ascii="宋体" w:hAnsi="宋体" w:cs="宋体"/>
                <w:b/>
                <w:bCs/>
                <w:sz w:val="22"/>
                <w:szCs w:val="22"/>
              </w:rPr>
            </w:pPr>
            <w:r>
              <w:rPr>
                <w:rFonts w:hint="eastAsia" w:ascii="宋体" w:hAnsi="宋体" w:cs="宋体"/>
                <w:b/>
                <w:bCs/>
                <w:sz w:val="22"/>
                <w:szCs w:val="22"/>
              </w:rPr>
              <w:t>1.凉亭地面</w:t>
            </w:r>
          </w:p>
          <w:p>
            <w:pPr>
              <w:pStyle w:val="2"/>
              <w:rPr>
                <w:rFonts w:ascii="宋体" w:hAnsi="宋体" w:eastAsia="宋体"/>
                <w:sz w:val="22"/>
                <w:szCs w:val="22"/>
              </w:rPr>
            </w:pPr>
            <w:r>
              <w:rPr>
                <w:rFonts w:hint="eastAsia" w:ascii="宋体" w:hAnsi="宋体" w:eastAsia="宋体" w:cs="微软雅黑"/>
                <w:sz w:val="22"/>
                <w:szCs w:val="22"/>
              </w:rPr>
              <w:t>凉亭地面杂草、泥土清理。</w:t>
            </w:r>
          </w:p>
          <w:p>
            <w:pPr>
              <w:topLinePunct/>
              <w:adjustRightInd w:val="0"/>
              <w:snapToGrid w:val="0"/>
              <w:jc w:val="left"/>
              <w:rPr>
                <w:rFonts w:ascii="宋体" w:hAnsi="宋体" w:cs="宋体"/>
                <w:b/>
                <w:bCs/>
                <w:sz w:val="22"/>
                <w:szCs w:val="22"/>
              </w:rPr>
            </w:pPr>
            <w:r>
              <w:rPr>
                <w:rFonts w:hint="eastAsia" w:ascii="宋体" w:hAnsi="宋体" w:cs="宋体"/>
                <w:b/>
                <w:bCs/>
                <w:sz w:val="22"/>
                <w:szCs w:val="22"/>
              </w:rPr>
              <w:t>2.凉亭地面硬化</w:t>
            </w:r>
          </w:p>
          <w:p>
            <w:pPr>
              <w:adjustRightInd w:val="0"/>
              <w:snapToGrid w:val="0"/>
              <w:rPr>
                <w:rFonts w:ascii="宋体" w:hAnsi="宋体" w:cs="宋体"/>
                <w:b/>
                <w:bCs/>
                <w:sz w:val="22"/>
                <w:szCs w:val="22"/>
              </w:rPr>
            </w:pPr>
            <w:r>
              <w:rPr>
                <w:rFonts w:hint="eastAsia" w:ascii="宋体" w:hAnsi="宋体" w:cs="宋体"/>
                <w:sz w:val="22"/>
                <w:szCs w:val="22"/>
              </w:rPr>
              <w:t>凉亭地面硬化采用Ø8钢筋，单层双向，浇筑C20混泥土，厚度为100mm,抹平。</w:t>
            </w:r>
          </w:p>
          <w:p>
            <w:pPr>
              <w:adjustRightInd w:val="0"/>
              <w:snapToGrid w:val="0"/>
              <w:rPr>
                <w:rFonts w:ascii="宋体" w:hAnsi="宋体" w:cs="宋体"/>
                <w:b/>
                <w:bCs/>
                <w:sz w:val="22"/>
                <w:szCs w:val="22"/>
              </w:rPr>
            </w:pPr>
            <w:r>
              <w:rPr>
                <w:rFonts w:hint="eastAsia" w:ascii="宋体" w:hAnsi="宋体" w:cs="宋体"/>
                <w:b/>
                <w:bCs/>
                <w:sz w:val="22"/>
                <w:szCs w:val="22"/>
              </w:rPr>
              <w:t>3.凉亭地面纺石材砖</w:t>
            </w:r>
          </w:p>
          <w:p>
            <w:pPr>
              <w:adjustRightInd w:val="0"/>
              <w:snapToGrid w:val="0"/>
              <w:rPr>
                <w:rFonts w:ascii="宋体" w:hAnsi="宋体" w:cs="宋体"/>
                <w:b/>
                <w:bCs/>
                <w:sz w:val="22"/>
                <w:szCs w:val="22"/>
              </w:rPr>
            </w:pPr>
            <w:r>
              <w:rPr>
                <w:rFonts w:hint="eastAsia" w:ascii="宋体" w:hAnsi="宋体" w:cs="宋体"/>
                <w:sz w:val="22"/>
                <w:szCs w:val="22"/>
              </w:rPr>
              <w:t>凉亭地面铺贴300mm×600mm×20mm厚，纺石材荔枝面砖。</w:t>
            </w:r>
          </w:p>
          <w:p>
            <w:pPr>
              <w:adjustRightInd w:val="0"/>
              <w:snapToGrid w:val="0"/>
              <w:rPr>
                <w:rFonts w:ascii="宋体" w:hAnsi="宋体" w:cs="宋体"/>
                <w:b/>
                <w:bCs/>
                <w:sz w:val="22"/>
                <w:szCs w:val="22"/>
              </w:rPr>
            </w:pPr>
            <w:r>
              <w:rPr>
                <w:rFonts w:hint="eastAsia" w:ascii="宋体" w:hAnsi="宋体" w:cs="宋体"/>
                <w:b/>
                <w:bCs/>
                <w:sz w:val="22"/>
                <w:szCs w:val="22"/>
              </w:rPr>
              <w:t>4.凉亭四周贴纺石材砖</w:t>
            </w:r>
          </w:p>
          <w:p>
            <w:pPr>
              <w:adjustRightInd w:val="0"/>
              <w:snapToGrid w:val="0"/>
              <w:rPr>
                <w:rFonts w:ascii="宋体" w:hAnsi="宋体" w:cs="宋体"/>
                <w:b/>
                <w:bCs/>
                <w:sz w:val="22"/>
                <w:szCs w:val="22"/>
              </w:rPr>
            </w:pPr>
            <w:r>
              <w:rPr>
                <w:rFonts w:hint="eastAsia" w:ascii="宋体" w:hAnsi="宋体" w:cs="宋体"/>
                <w:sz w:val="22"/>
                <w:szCs w:val="22"/>
              </w:rPr>
              <w:t>原花台周边铺贴纺石材砖。</w:t>
            </w:r>
          </w:p>
          <w:p>
            <w:pPr>
              <w:adjustRightInd w:val="0"/>
              <w:snapToGrid w:val="0"/>
              <w:rPr>
                <w:rFonts w:ascii="宋体" w:hAnsi="宋体" w:cs="宋体"/>
                <w:b/>
                <w:bCs/>
                <w:sz w:val="22"/>
                <w:szCs w:val="22"/>
              </w:rPr>
            </w:pPr>
            <w:r>
              <w:rPr>
                <w:rFonts w:hint="eastAsia" w:ascii="宋体" w:hAnsi="宋体" w:cs="宋体"/>
                <w:b/>
                <w:bCs/>
                <w:sz w:val="22"/>
                <w:szCs w:val="22"/>
              </w:rPr>
              <w:t>5.凉亭灯具及线路安装</w:t>
            </w:r>
          </w:p>
          <w:p>
            <w:pPr>
              <w:adjustRightInd w:val="0"/>
              <w:snapToGrid w:val="0"/>
              <w:rPr>
                <w:rFonts w:ascii="宋体" w:hAnsi="宋体" w:cs="宋体"/>
                <w:sz w:val="22"/>
                <w:szCs w:val="22"/>
              </w:rPr>
            </w:pPr>
            <w:r>
              <w:rPr>
                <w:rFonts w:hint="eastAsia" w:ascii="宋体" w:hAnsi="宋体" w:cs="宋体"/>
                <w:sz w:val="22"/>
                <w:szCs w:val="22"/>
              </w:rPr>
              <w:t xml:space="preserve">凉亭布线AV4mm²渝丰电源线，灯具。 </w:t>
            </w:r>
          </w:p>
          <w:p>
            <w:pPr>
              <w:adjustRightInd w:val="0"/>
              <w:snapToGrid w:val="0"/>
              <w:rPr>
                <w:rFonts w:ascii="宋体" w:hAnsi="宋体" w:cs="宋体"/>
                <w:b/>
                <w:bCs/>
                <w:sz w:val="22"/>
                <w:szCs w:val="22"/>
              </w:rPr>
            </w:pPr>
            <w:r>
              <w:rPr>
                <w:rFonts w:hint="eastAsia" w:ascii="宋体" w:hAnsi="宋体" w:cs="宋体"/>
                <w:b/>
                <w:bCs/>
                <w:sz w:val="22"/>
                <w:szCs w:val="22"/>
              </w:rPr>
              <w:t>6.草皮</w:t>
            </w:r>
          </w:p>
          <w:p>
            <w:pPr>
              <w:adjustRightInd w:val="0"/>
              <w:snapToGrid w:val="0"/>
              <w:rPr>
                <w:rFonts w:ascii="宋体" w:hAnsi="宋体" w:cs="宋体"/>
                <w:b/>
                <w:bCs/>
                <w:sz w:val="22"/>
                <w:szCs w:val="22"/>
              </w:rPr>
            </w:pPr>
            <w:r>
              <w:rPr>
                <w:rFonts w:hint="eastAsia" w:ascii="宋体" w:hAnsi="宋体" w:cs="宋体"/>
                <w:sz w:val="22"/>
                <w:szCs w:val="22"/>
              </w:rPr>
              <w:t>凉亭两侧1000mm宽草皮</w:t>
            </w:r>
          </w:p>
          <w:p>
            <w:pPr>
              <w:adjustRightInd w:val="0"/>
              <w:snapToGrid w:val="0"/>
              <w:rPr>
                <w:rFonts w:ascii="宋体" w:hAnsi="宋体" w:cs="宋体"/>
                <w:b/>
                <w:bCs/>
                <w:sz w:val="22"/>
                <w:szCs w:val="22"/>
              </w:rPr>
            </w:pPr>
            <w:r>
              <w:rPr>
                <w:rFonts w:hint="eastAsia" w:ascii="宋体" w:hAnsi="宋体" w:cs="宋体"/>
                <w:b/>
                <w:bCs/>
                <w:sz w:val="22"/>
                <w:szCs w:val="22"/>
              </w:rPr>
              <w:t>7.门头隔断</w:t>
            </w:r>
          </w:p>
          <w:p>
            <w:pPr>
              <w:adjustRightInd w:val="0"/>
              <w:snapToGrid w:val="0"/>
              <w:rPr>
                <w:rFonts w:ascii="宋体" w:hAnsi="宋体" w:cs="宋体"/>
                <w:sz w:val="22"/>
                <w:szCs w:val="22"/>
              </w:rPr>
            </w:pPr>
            <w:r>
              <w:rPr>
                <w:rFonts w:hint="eastAsia" w:ascii="宋体" w:hAnsi="宋体" w:cs="宋体"/>
                <w:sz w:val="22"/>
                <w:szCs w:val="22"/>
              </w:rPr>
              <w:t>制作规格：木工板+石膏板+兰色外墙涂料+20mmPVC+亚克力字2.2m×2.3m×0.3m；数量：1个。</w:t>
            </w:r>
          </w:p>
          <w:p>
            <w:pPr>
              <w:pStyle w:val="2"/>
              <w:rPr>
                <w:rFonts w:ascii="宋体" w:hAnsi="宋体" w:eastAsia="宋体" w:cs="微软雅黑"/>
                <w:b/>
                <w:bCs/>
                <w:sz w:val="22"/>
                <w:szCs w:val="22"/>
              </w:rPr>
            </w:pPr>
            <w:r>
              <w:rPr>
                <w:rFonts w:hint="eastAsia" w:ascii="宋体" w:hAnsi="宋体" w:eastAsia="宋体" w:cs="微软雅黑"/>
                <w:b/>
                <w:bCs/>
                <w:sz w:val="22"/>
                <w:szCs w:val="22"/>
              </w:rPr>
              <w:t>8.桌椅</w:t>
            </w:r>
          </w:p>
          <w:p>
            <w:pPr>
              <w:pStyle w:val="3"/>
              <w:ind w:left="0"/>
              <w:rPr>
                <w:rFonts w:ascii="宋体" w:hAnsi="宋体"/>
                <w:sz w:val="22"/>
                <w:szCs w:val="22"/>
              </w:rPr>
            </w:pPr>
            <w:r>
              <w:rPr>
                <w:rFonts w:hint="eastAsia" w:ascii="宋体" w:hAnsi="宋体"/>
                <w:sz w:val="22"/>
                <w:szCs w:val="22"/>
              </w:rPr>
              <w:t>凉亭安装书桌椅。</w:t>
            </w:r>
          </w:p>
          <w:p>
            <w:pPr>
              <w:rPr>
                <w:rFonts w:ascii="宋体" w:hAnsi="宋体"/>
                <w:b/>
                <w:bCs/>
                <w:sz w:val="22"/>
                <w:szCs w:val="22"/>
              </w:rPr>
            </w:pPr>
            <w:r>
              <w:rPr>
                <w:rFonts w:hint="eastAsia" w:ascii="宋体" w:hAnsi="宋体"/>
                <w:b/>
                <w:bCs/>
                <w:sz w:val="22"/>
                <w:szCs w:val="22"/>
              </w:rPr>
              <w:t>9.条型椅</w:t>
            </w:r>
          </w:p>
          <w:p>
            <w:pPr>
              <w:pStyle w:val="2"/>
              <w:rPr>
                <w:rFonts w:ascii="宋体" w:hAnsi="宋体" w:eastAsia="宋体"/>
                <w:sz w:val="22"/>
                <w:szCs w:val="22"/>
              </w:rPr>
            </w:pPr>
            <w:r>
              <w:rPr>
                <w:rFonts w:hint="eastAsia" w:ascii="宋体" w:hAnsi="宋体" w:eastAsia="宋体"/>
                <w:sz w:val="22"/>
                <w:szCs w:val="22"/>
              </w:rPr>
              <w:t>凉亭边安装条型椅。</w:t>
            </w:r>
          </w:p>
          <w:p>
            <w:pPr>
              <w:pStyle w:val="3"/>
              <w:ind w:left="0"/>
              <w:rPr>
                <w:rFonts w:ascii="宋体" w:hAnsi="宋体"/>
                <w:b/>
                <w:bCs/>
                <w:sz w:val="22"/>
                <w:szCs w:val="22"/>
              </w:rPr>
            </w:pPr>
            <w:r>
              <w:rPr>
                <w:rFonts w:hint="eastAsia" w:ascii="宋体" w:hAnsi="宋体"/>
                <w:b/>
                <w:bCs/>
                <w:sz w:val="22"/>
                <w:szCs w:val="22"/>
              </w:rPr>
              <w:t>10.书架</w:t>
            </w:r>
          </w:p>
          <w:p>
            <w:pPr>
              <w:rPr>
                <w:rFonts w:ascii="宋体" w:hAnsi="宋体"/>
                <w:sz w:val="22"/>
                <w:szCs w:val="22"/>
              </w:rPr>
            </w:pPr>
            <w:r>
              <w:rPr>
                <w:rFonts w:hint="eastAsia" w:ascii="宋体" w:hAnsi="宋体"/>
                <w:sz w:val="22"/>
                <w:szCs w:val="22"/>
              </w:rPr>
              <w:t>凉亭安装书架4000mm×2000mm×300mm（定制）。</w:t>
            </w:r>
          </w:p>
          <w:p>
            <w:pPr>
              <w:pStyle w:val="2"/>
              <w:rPr>
                <w:rFonts w:ascii="宋体" w:hAnsi="宋体" w:eastAsia="宋体" w:cs="微软雅黑"/>
                <w:b/>
                <w:bCs/>
                <w:sz w:val="22"/>
                <w:szCs w:val="22"/>
              </w:rPr>
            </w:pPr>
            <w:r>
              <w:rPr>
                <w:rFonts w:hint="eastAsia" w:ascii="宋体" w:hAnsi="宋体" w:eastAsia="宋体" w:cs="Calibri"/>
                <w:b/>
                <w:bCs/>
                <w:sz w:val="22"/>
                <w:szCs w:val="22"/>
              </w:rPr>
              <w:t>11.</w:t>
            </w:r>
            <w:r>
              <w:rPr>
                <w:rFonts w:hint="eastAsia" w:ascii="宋体" w:hAnsi="宋体" w:eastAsia="宋体" w:cs="微软雅黑"/>
                <w:b/>
                <w:bCs/>
                <w:sz w:val="22"/>
                <w:szCs w:val="22"/>
              </w:rPr>
              <w:t>除渣</w:t>
            </w:r>
          </w:p>
          <w:p>
            <w:pPr>
              <w:pStyle w:val="3"/>
              <w:ind w:left="0"/>
              <w:rPr>
                <w:rFonts w:ascii="宋体" w:hAnsi="宋体"/>
                <w:sz w:val="22"/>
                <w:szCs w:val="22"/>
              </w:rPr>
            </w:pPr>
            <w:r>
              <w:rPr>
                <w:rFonts w:hint="eastAsia" w:ascii="宋体" w:hAnsi="宋体"/>
                <w:sz w:val="22"/>
                <w:szCs w:val="22"/>
              </w:rPr>
              <w:t>施工完建渣清除。</w:t>
            </w:r>
          </w:p>
          <w:p>
            <w:pPr>
              <w:rPr>
                <w:rFonts w:ascii="宋体" w:hAnsi="宋体"/>
                <w:b/>
                <w:bCs/>
                <w:sz w:val="22"/>
                <w:szCs w:val="22"/>
              </w:rPr>
            </w:pPr>
            <w:r>
              <w:rPr>
                <w:rFonts w:hint="eastAsia" w:ascii="宋体" w:hAnsi="宋体"/>
                <w:b/>
                <w:bCs/>
                <w:sz w:val="22"/>
                <w:szCs w:val="22"/>
              </w:rPr>
              <w:t>12.清洁</w:t>
            </w:r>
          </w:p>
          <w:p>
            <w:pPr>
              <w:pStyle w:val="2"/>
              <w:rPr>
                <w:rFonts w:ascii="宋体" w:hAnsi="宋体" w:eastAsia="宋体" w:cs="微软雅黑"/>
                <w:sz w:val="22"/>
                <w:szCs w:val="22"/>
              </w:rPr>
            </w:pPr>
            <w:r>
              <w:rPr>
                <w:rFonts w:hint="eastAsia" w:ascii="宋体" w:hAnsi="宋体" w:eastAsia="宋体" w:cs="微软雅黑"/>
                <w:sz w:val="22"/>
                <w:szCs w:val="22"/>
              </w:rPr>
              <w:t>施工完清洁打扫。</w:t>
            </w:r>
          </w:p>
          <w:p>
            <w:pPr>
              <w:pStyle w:val="3"/>
              <w:ind w:left="0"/>
              <w:rPr>
                <w:rFonts w:ascii="宋体" w:hAnsi="宋体"/>
                <w:b/>
                <w:bCs/>
                <w:sz w:val="22"/>
                <w:szCs w:val="22"/>
              </w:rPr>
            </w:pPr>
            <w:r>
              <w:rPr>
                <w:rFonts w:hint="eastAsia" w:ascii="宋体" w:hAnsi="宋体"/>
                <w:b/>
                <w:bCs/>
                <w:sz w:val="22"/>
                <w:szCs w:val="22"/>
              </w:rPr>
              <w:t>13.大立柱</w:t>
            </w:r>
          </w:p>
          <w:p>
            <w:pPr>
              <w:rPr>
                <w:rFonts w:ascii="宋体" w:hAnsi="宋体"/>
                <w:sz w:val="22"/>
                <w:szCs w:val="22"/>
              </w:rPr>
            </w:pPr>
            <w:r>
              <w:rPr>
                <w:rFonts w:hint="eastAsia" w:ascii="宋体" w:hAnsi="宋体"/>
                <w:sz w:val="22"/>
                <w:szCs w:val="22"/>
              </w:rPr>
              <w:t>镀锌方管200mm×200mm×5mm(焊接、打磨、烤漆)。</w:t>
            </w:r>
          </w:p>
          <w:p>
            <w:pPr>
              <w:pStyle w:val="2"/>
              <w:rPr>
                <w:rFonts w:ascii="宋体" w:hAnsi="宋体" w:eastAsia="宋体" w:cs="微软雅黑"/>
                <w:b/>
                <w:bCs/>
                <w:sz w:val="22"/>
                <w:szCs w:val="22"/>
              </w:rPr>
            </w:pPr>
            <w:r>
              <w:rPr>
                <w:rFonts w:hint="eastAsia" w:ascii="宋体" w:hAnsi="宋体" w:eastAsia="宋体" w:cs="Calibri"/>
                <w:b/>
                <w:bCs/>
                <w:sz w:val="22"/>
                <w:szCs w:val="22"/>
              </w:rPr>
              <w:t>14.</w:t>
            </w:r>
            <w:r>
              <w:rPr>
                <w:rFonts w:hint="eastAsia" w:ascii="宋体" w:hAnsi="宋体" w:eastAsia="宋体" w:cs="微软雅黑"/>
                <w:b/>
                <w:bCs/>
                <w:sz w:val="22"/>
                <w:szCs w:val="22"/>
              </w:rPr>
              <w:t>双层顶棚</w:t>
            </w:r>
          </w:p>
          <w:p>
            <w:pPr>
              <w:pStyle w:val="3"/>
              <w:ind w:left="0"/>
              <w:rPr>
                <w:rFonts w:ascii="宋体" w:hAnsi="宋体"/>
                <w:sz w:val="22"/>
                <w:szCs w:val="22"/>
              </w:rPr>
            </w:pPr>
            <w:r>
              <w:rPr>
                <w:rFonts w:hint="eastAsia" w:ascii="宋体" w:hAnsi="宋体"/>
                <w:sz w:val="22"/>
                <w:szCs w:val="22"/>
              </w:rPr>
              <w:t>镀锌板1.5mm(焊接、打磨、烤漆)。</w:t>
            </w:r>
          </w:p>
          <w:p>
            <w:pPr>
              <w:rPr>
                <w:rFonts w:ascii="宋体" w:hAnsi="宋体"/>
                <w:b/>
                <w:bCs/>
                <w:sz w:val="22"/>
                <w:szCs w:val="22"/>
              </w:rPr>
            </w:pPr>
            <w:r>
              <w:rPr>
                <w:rFonts w:hint="eastAsia" w:ascii="宋体" w:hAnsi="宋体"/>
                <w:b/>
                <w:bCs/>
                <w:sz w:val="22"/>
                <w:szCs w:val="22"/>
              </w:rPr>
              <w:t>15.顶棚骨架</w:t>
            </w:r>
          </w:p>
          <w:p>
            <w:pPr>
              <w:pStyle w:val="2"/>
              <w:rPr>
                <w:rFonts w:ascii="宋体" w:hAnsi="宋体" w:eastAsia="宋体" w:cs="微软雅黑"/>
                <w:sz w:val="22"/>
                <w:szCs w:val="22"/>
              </w:rPr>
            </w:pPr>
            <w:r>
              <w:rPr>
                <w:rFonts w:hint="eastAsia" w:ascii="宋体" w:hAnsi="宋体" w:eastAsia="宋体" w:cs="微软雅黑"/>
                <w:sz w:val="22"/>
                <w:szCs w:val="22"/>
              </w:rPr>
              <w:t>镀锌方管</w:t>
            </w:r>
            <w:r>
              <w:rPr>
                <w:rFonts w:hint="eastAsia" w:ascii="宋体" w:hAnsi="宋体" w:eastAsia="宋体"/>
                <w:sz w:val="22"/>
                <w:szCs w:val="22"/>
              </w:rPr>
              <w:t>50mm</w:t>
            </w:r>
            <w:r>
              <w:rPr>
                <w:rFonts w:ascii="宋体" w:hAnsi="宋体" w:eastAsia="宋体" w:cs="Calibri"/>
                <w:sz w:val="22"/>
                <w:szCs w:val="22"/>
              </w:rPr>
              <w:t>×</w:t>
            </w:r>
            <w:r>
              <w:rPr>
                <w:rFonts w:hint="eastAsia" w:ascii="宋体" w:hAnsi="宋体" w:eastAsia="宋体"/>
                <w:sz w:val="22"/>
                <w:szCs w:val="22"/>
              </w:rPr>
              <w:t>50mm</w:t>
            </w:r>
            <w:r>
              <w:rPr>
                <w:rFonts w:ascii="宋体" w:hAnsi="宋体" w:eastAsia="宋体" w:cs="Calibri"/>
                <w:sz w:val="22"/>
                <w:szCs w:val="22"/>
              </w:rPr>
              <w:t>×</w:t>
            </w:r>
            <w:r>
              <w:rPr>
                <w:rFonts w:hint="eastAsia" w:ascii="宋体" w:hAnsi="宋体" w:eastAsia="宋体"/>
                <w:sz w:val="22"/>
                <w:szCs w:val="22"/>
              </w:rPr>
              <w:t>1.8mm</w:t>
            </w:r>
            <w:r>
              <w:rPr>
                <w:rFonts w:hint="eastAsia" w:ascii="宋体" w:hAnsi="宋体" w:eastAsia="宋体" w:cs="微软雅黑"/>
                <w:sz w:val="22"/>
                <w:szCs w:val="22"/>
              </w:rPr>
              <w:t>。</w:t>
            </w:r>
          </w:p>
          <w:p>
            <w:pPr>
              <w:pStyle w:val="3"/>
              <w:ind w:left="0"/>
              <w:rPr>
                <w:rFonts w:ascii="宋体" w:hAnsi="宋体"/>
                <w:b/>
                <w:bCs/>
                <w:sz w:val="22"/>
                <w:szCs w:val="22"/>
              </w:rPr>
            </w:pPr>
            <w:r>
              <w:rPr>
                <w:rFonts w:hint="eastAsia" w:ascii="宋体" w:hAnsi="宋体"/>
                <w:b/>
                <w:bCs/>
                <w:sz w:val="22"/>
                <w:szCs w:val="22"/>
              </w:rPr>
              <w:t>16.小立柱</w:t>
            </w:r>
          </w:p>
          <w:p>
            <w:pPr>
              <w:rPr>
                <w:rFonts w:ascii="宋体" w:hAnsi="宋体"/>
                <w:sz w:val="22"/>
                <w:szCs w:val="22"/>
              </w:rPr>
            </w:pPr>
            <w:r>
              <w:rPr>
                <w:rFonts w:hint="eastAsia" w:ascii="宋体" w:hAnsi="宋体"/>
                <w:sz w:val="22"/>
                <w:szCs w:val="22"/>
              </w:rPr>
              <w:t>镀锌方管60mm×40mm×1.8mm。</w:t>
            </w:r>
          </w:p>
          <w:p>
            <w:pPr>
              <w:pStyle w:val="2"/>
              <w:rPr>
                <w:rFonts w:ascii="宋体" w:hAnsi="宋体" w:eastAsia="宋体" w:cs="微软雅黑"/>
                <w:b/>
                <w:bCs/>
                <w:sz w:val="22"/>
                <w:szCs w:val="22"/>
              </w:rPr>
            </w:pPr>
            <w:r>
              <w:rPr>
                <w:rFonts w:hint="eastAsia" w:ascii="宋体" w:hAnsi="宋体" w:eastAsia="宋体" w:cs="Calibri"/>
                <w:b/>
                <w:bCs/>
                <w:sz w:val="22"/>
                <w:szCs w:val="22"/>
              </w:rPr>
              <w:t>17.</w:t>
            </w:r>
            <w:r>
              <w:rPr>
                <w:rFonts w:hint="eastAsia" w:ascii="宋体" w:hAnsi="宋体" w:eastAsia="宋体" w:cs="微软雅黑"/>
                <w:b/>
                <w:bCs/>
                <w:sz w:val="22"/>
                <w:szCs w:val="22"/>
              </w:rPr>
              <w:t>双层顶棚及立柱烤漆</w:t>
            </w:r>
          </w:p>
          <w:p>
            <w:pPr>
              <w:pStyle w:val="3"/>
              <w:ind w:left="0"/>
              <w:rPr>
                <w:rFonts w:ascii="宋体" w:hAnsi="宋体"/>
                <w:sz w:val="22"/>
                <w:szCs w:val="22"/>
              </w:rPr>
            </w:pPr>
            <w:r>
              <w:rPr>
                <w:rFonts w:hint="eastAsia" w:ascii="宋体" w:hAnsi="宋体"/>
                <w:sz w:val="22"/>
                <w:szCs w:val="22"/>
              </w:rPr>
              <w:t>深灰色氟碳烤漆及辅料。</w:t>
            </w:r>
          </w:p>
          <w:p>
            <w:pPr>
              <w:rPr>
                <w:rFonts w:ascii="宋体" w:hAnsi="宋体"/>
                <w:b/>
                <w:bCs/>
                <w:sz w:val="22"/>
                <w:szCs w:val="22"/>
              </w:rPr>
            </w:pPr>
            <w:r>
              <w:rPr>
                <w:rFonts w:hint="eastAsia" w:ascii="宋体" w:hAnsi="宋体"/>
                <w:b/>
                <w:bCs/>
                <w:sz w:val="22"/>
                <w:szCs w:val="22"/>
              </w:rPr>
              <w:t>18.辅材</w:t>
            </w:r>
          </w:p>
          <w:p>
            <w:pPr>
              <w:pStyle w:val="2"/>
              <w:rPr>
                <w:rFonts w:ascii="宋体" w:hAnsi="宋体" w:eastAsia="宋体" w:cs="微软雅黑"/>
                <w:sz w:val="22"/>
                <w:szCs w:val="22"/>
              </w:rPr>
            </w:pPr>
            <w:r>
              <w:rPr>
                <w:rFonts w:hint="eastAsia" w:ascii="宋体" w:hAnsi="宋体" w:eastAsia="宋体" w:cs="微软雅黑"/>
                <w:sz w:val="22"/>
                <w:szCs w:val="22"/>
              </w:rPr>
              <w:t>焊条、切割片、打磨片等。</w:t>
            </w:r>
          </w:p>
          <w:p>
            <w:pPr>
              <w:pStyle w:val="3"/>
              <w:ind w:left="0"/>
              <w:rPr>
                <w:rFonts w:ascii="宋体" w:hAnsi="宋体"/>
                <w:b/>
                <w:bCs/>
                <w:sz w:val="22"/>
                <w:szCs w:val="22"/>
              </w:rPr>
            </w:pPr>
            <w:r>
              <w:rPr>
                <w:rFonts w:hint="eastAsia" w:ascii="宋体" w:hAnsi="宋体"/>
                <w:b/>
                <w:bCs/>
                <w:sz w:val="22"/>
                <w:szCs w:val="22"/>
              </w:rPr>
              <w:t>19.人工</w:t>
            </w:r>
          </w:p>
          <w:p>
            <w:r>
              <w:rPr>
                <w:rFonts w:hint="eastAsia" w:ascii="宋体" w:hAnsi="宋体"/>
                <w:sz w:val="22"/>
                <w:szCs w:val="22"/>
              </w:rPr>
              <w:t>焊接、切割、打磨、烤漆、搬运等。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1" w:hRule="atLeast"/>
        </w:trPr>
        <w:tc>
          <w:tcPr>
            <w:tcW w:w="1137" w:type="dxa"/>
            <w:vMerge w:val="continue"/>
            <w:tcBorders>
              <w:left w:val="single" w:color="000000" w:sz="4" w:space="0"/>
              <w:right w:val="single" w:color="000000" w:sz="4" w:space="0"/>
            </w:tcBorders>
            <w:vAlign w:val="center"/>
          </w:tcPr>
          <w:p>
            <w:pPr>
              <w:snapToGrid w:val="0"/>
              <w:jc w:val="center"/>
              <w:rPr>
                <w:rStyle w:val="17"/>
                <w:rFonts w:ascii="宋体" w:hAnsi="宋体" w:cs="宋体"/>
                <w:sz w:val="22"/>
                <w:szCs w:val="22"/>
              </w:rPr>
            </w:pPr>
          </w:p>
        </w:tc>
        <w:tc>
          <w:tcPr>
            <w:tcW w:w="1068" w:type="dxa"/>
            <w:tcBorders>
              <w:top w:val="single" w:color="000000" w:sz="4" w:space="0"/>
              <w:left w:val="single" w:color="000000" w:sz="4" w:space="0"/>
              <w:right w:val="single" w:color="000000" w:sz="4" w:space="0"/>
            </w:tcBorders>
            <w:vAlign w:val="center"/>
          </w:tcPr>
          <w:p>
            <w:pPr>
              <w:adjustRightInd w:val="0"/>
              <w:snapToGrid w:val="0"/>
              <w:jc w:val="center"/>
              <w:rPr>
                <w:rFonts w:ascii="宋体" w:hAnsi="宋体" w:cs="宋体"/>
                <w:sz w:val="22"/>
                <w:szCs w:val="22"/>
                <w:lang w:bidi="ne-NP"/>
              </w:rPr>
            </w:pPr>
            <w:r>
              <w:rPr>
                <w:rFonts w:hint="eastAsia" w:ascii="宋体" w:hAnsi="宋体" w:cs="宋体"/>
                <w:color w:val="000000"/>
                <w:kern w:val="0"/>
                <w:sz w:val="22"/>
                <w:szCs w:val="22"/>
                <w:lang w:bidi="ar"/>
              </w:rPr>
              <w:t>园区文化形象墙打造</w:t>
            </w:r>
          </w:p>
        </w:tc>
        <w:tc>
          <w:tcPr>
            <w:tcW w:w="7274" w:type="dxa"/>
            <w:tcBorders>
              <w:top w:val="single" w:color="000000" w:sz="4" w:space="0"/>
              <w:left w:val="single" w:color="000000" w:sz="4" w:space="0"/>
              <w:bottom w:val="single" w:color="000000" w:sz="4" w:space="0"/>
              <w:right w:val="single" w:color="000000" w:sz="4" w:space="0"/>
            </w:tcBorders>
          </w:tcPr>
          <w:p>
            <w:pPr>
              <w:adjustRightInd w:val="0"/>
              <w:snapToGrid w:val="0"/>
              <w:rPr>
                <w:rFonts w:ascii="宋体" w:hAnsi="宋体" w:cs="宋体"/>
                <w:b/>
                <w:bCs/>
                <w:sz w:val="22"/>
                <w:szCs w:val="22"/>
                <w:lang w:bidi="ne-NP"/>
              </w:rPr>
            </w:pPr>
            <w:r>
              <w:rPr>
                <w:rFonts w:hint="eastAsia" w:ascii="宋体" w:hAnsi="宋体" w:cs="宋体"/>
                <w:b/>
                <w:bCs/>
                <w:sz w:val="22"/>
                <w:szCs w:val="22"/>
                <w:lang w:bidi="ne-NP"/>
              </w:rPr>
              <w:t>1.入户笑脸墙（英文）</w:t>
            </w:r>
          </w:p>
          <w:p>
            <w:pPr>
              <w:pStyle w:val="2"/>
              <w:rPr>
                <w:rFonts w:ascii="宋体" w:hAnsi="宋体" w:eastAsia="宋体" w:cs="微软雅黑"/>
                <w:sz w:val="22"/>
                <w:szCs w:val="22"/>
                <w:lang w:bidi="ne-NP"/>
              </w:rPr>
            </w:pPr>
            <w:r>
              <w:rPr>
                <w:rFonts w:hint="eastAsia" w:ascii="宋体" w:hAnsi="宋体" w:eastAsia="宋体"/>
                <w:sz w:val="22"/>
                <w:szCs w:val="22"/>
                <w:lang w:bidi="ne-NP"/>
              </w:rPr>
              <w:t>20mmPVC+5mm</w:t>
            </w:r>
            <w:r>
              <w:rPr>
                <w:rFonts w:hint="eastAsia" w:ascii="宋体" w:hAnsi="宋体" w:eastAsia="宋体" w:cs="微软雅黑"/>
                <w:sz w:val="22"/>
                <w:szCs w:val="22"/>
                <w:lang w:bidi="ne-NP"/>
              </w:rPr>
              <w:t>亚克力雕刻</w:t>
            </w:r>
            <w:r>
              <w:rPr>
                <w:rFonts w:hint="eastAsia" w:ascii="宋体" w:hAnsi="宋体" w:eastAsia="宋体"/>
                <w:sz w:val="22"/>
                <w:szCs w:val="22"/>
                <w:lang w:bidi="ne-NP"/>
              </w:rPr>
              <w:t>2.95m</w:t>
            </w:r>
            <w:r>
              <w:rPr>
                <w:rFonts w:ascii="宋体" w:hAnsi="宋体" w:eastAsia="宋体" w:cs="Calibri"/>
                <w:sz w:val="22"/>
                <w:szCs w:val="22"/>
                <w:lang w:bidi="ne-NP"/>
              </w:rPr>
              <w:t>×</w:t>
            </w:r>
            <w:r>
              <w:rPr>
                <w:rFonts w:hint="eastAsia" w:ascii="宋体" w:hAnsi="宋体" w:eastAsia="宋体"/>
                <w:sz w:val="22"/>
                <w:szCs w:val="22"/>
                <w:lang w:bidi="ne-NP"/>
              </w:rPr>
              <w:t>0.2m</w:t>
            </w:r>
            <w:r>
              <w:rPr>
                <w:rFonts w:hint="eastAsia" w:ascii="宋体" w:hAnsi="宋体" w:eastAsia="宋体" w:cs="微软雅黑"/>
                <w:sz w:val="22"/>
                <w:szCs w:val="22"/>
                <w:lang w:bidi="ne-NP"/>
              </w:rPr>
              <w:t>，</w:t>
            </w:r>
            <w:r>
              <w:rPr>
                <w:rFonts w:hint="eastAsia" w:ascii="宋体" w:hAnsi="宋体" w:eastAsia="宋体"/>
                <w:sz w:val="22"/>
                <w:szCs w:val="22"/>
                <w:lang w:bidi="ne-NP"/>
              </w:rPr>
              <w:t>20mmPVC正喷镀锌板+磁吸板+雕刻。</w:t>
            </w:r>
          </w:p>
          <w:p>
            <w:pPr>
              <w:pStyle w:val="2"/>
              <w:rPr>
                <w:rFonts w:ascii="宋体" w:hAnsi="宋体" w:eastAsia="宋体" w:cs="微软雅黑"/>
                <w:b/>
                <w:bCs/>
                <w:sz w:val="22"/>
                <w:szCs w:val="22"/>
                <w:lang w:bidi="ne-NP"/>
              </w:rPr>
            </w:pPr>
            <w:r>
              <w:rPr>
                <w:rFonts w:hint="eastAsia" w:ascii="宋体" w:hAnsi="宋体" w:eastAsia="宋体" w:cs="Calibri"/>
                <w:b/>
                <w:bCs/>
                <w:sz w:val="22"/>
                <w:szCs w:val="22"/>
                <w:lang w:bidi="ne-NP"/>
              </w:rPr>
              <w:t>2.</w:t>
            </w:r>
            <w:r>
              <w:rPr>
                <w:rFonts w:hint="eastAsia" w:ascii="宋体" w:hAnsi="宋体" w:eastAsia="宋体" w:cs="微软雅黑"/>
                <w:b/>
                <w:bCs/>
                <w:sz w:val="22"/>
                <w:szCs w:val="22"/>
                <w:lang w:bidi="ne-NP"/>
              </w:rPr>
              <w:t>张贴栏</w:t>
            </w:r>
          </w:p>
          <w:p>
            <w:pPr>
              <w:pStyle w:val="3"/>
              <w:ind w:left="0"/>
              <w:rPr>
                <w:rFonts w:ascii="宋体" w:hAnsi="宋体"/>
                <w:sz w:val="22"/>
                <w:szCs w:val="22"/>
                <w:lang w:bidi="ne-NP"/>
              </w:rPr>
            </w:pPr>
            <w:r>
              <w:rPr>
                <w:rFonts w:hint="eastAsia" w:ascii="宋体" w:hAnsi="宋体"/>
                <w:sz w:val="22"/>
                <w:szCs w:val="22"/>
                <w:lang w:bidi="ne-NP"/>
              </w:rPr>
              <w:t>不锈钢折件烤漆焊接+20mm正喷雕刻。</w:t>
            </w:r>
          </w:p>
          <w:p>
            <w:pPr>
              <w:rPr>
                <w:rFonts w:ascii="宋体" w:hAnsi="宋体"/>
                <w:b/>
                <w:bCs/>
                <w:sz w:val="22"/>
                <w:szCs w:val="22"/>
                <w:lang w:bidi="ne-NP"/>
              </w:rPr>
            </w:pPr>
            <w:r>
              <w:rPr>
                <w:rFonts w:hint="eastAsia" w:ascii="宋体" w:hAnsi="宋体"/>
                <w:b/>
                <w:bCs/>
                <w:sz w:val="22"/>
                <w:szCs w:val="22"/>
                <w:lang w:bidi="ne-NP"/>
              </w:rPr>
              <w:t>3.文化墙</w:t>
            </w:r>
          </w:p>
          <w:p>
            <w:pPr>
              <w:pStyle w:val="2"/>
              <w:rPr>
                <w:rFonts w:ascii="宋体" w:hAnsi="宋体" w:eastAsia="宋体" w:cs="微软雅黑"/>
                <w:sz w:val="22"/>
                <w:szCs w:val="22"/>
                <w:lang w:bidi="ne-NP"/>
              </w:rPr>
            </w:pPr>
            <w:r>
              <w:rPr>
                <w:rFonts w:hint="eastAsia" w:ascii="宋体" w:hAnsi="宋体" w:eastAsia="宋体"/>
                <w:sz w:val="22"/>
                <w:szCs w:val="22"/>
                <w:lang w:bidi="ne-NP"/>
              </w:rPr>
              <w:t>20mmPVC</w:t>
            </w:r>
            <w:r>
              <w:rPr>
                <w:rFonts w:hint="eastAsia" w:ascii="宋体" w:hAnsi="宋体" w:eastAsia="宋体" w:cs="微软雅黑"/>
                <w:sz w:val="22"/>
                <w:szCs w:val="22"/>
                <w:lang w:bidi="ne-NP"/>
              </w:rPr>
              <w:t>雕刻</w:t>
            </w:r>
            <w:r>
              <w:rPr>
                <w:rFonts w:hint="eastAsia" w:ascii="宋体" w:hAnsi="宋体" w:eastAsia="宋体"/>
                <w:sz w:val="22"/>
                <w:szCs w:val="22"/>
                <w:lang w:bidi="ne-NP"/>
              </w:rPr>
              <w:t>+</w:t>
            </w:r>
            <w:r>
              <w:rPr>
                <w:rFonts w:hint="eastAsia" w:ascii="宋体" w:hAnsi="宋体" w:eastAsia="宋体" w:cs="微软雅黑"/>
                <w:sz w:val="22"/>
                <w:szCs w:val="22"/>
                <w:lang w:bidi="ne-NP"/>
              </w:rPr>
              <w:t>正喷多层组合。</w:t>
            </w:r>
          </w:p>
          <w:p>
            <w:pPr>
              <w:pStyle w:val="3"/>
              <w:ind w:left="0"/>
              <w:rPr>
                <w:rFonts w:ascii="宋体" w:hAnsi="宋体"/>
                <w:b/>
                <w:bCs/>
                <w:sz w:val="22"/>
                <w:szCs w:val="22"/>
                <w:lang w:bidi="ne-NP"/>
              </w:rPr>
            </w:pPr>
            <w:r>
              <w:rPr>
                <w:rFonts w:hint="eastAsia" w:ascii="宋体" w:hAnsi="宋体"/>
                <w:b/>
                <w:bCs/>
                <w:sz w:val="22"/>
                <w:szCs w:val="22"/>
                <w:lang w:bidi="ne-NP"/>
              </w:rPr>
              <w:t>4.创意墙</w:t>
            </w:r>
          </w:p>
          <w:p>
            <w:pPr>
              <w:rPr>
                <w:rFonts w:ascii="宋体" w:hAnsi="宋体"/>
                <w:sz w:val="22"/>
                <w:szCs w:val="22"/>
                <w:lang w:bidi="ne-NP"/>
              </w:rPr>
            </w:pPr>
            <w:r>
              <w:rPr>
                <w:rFonts w:hint="eastAsia" w:ascii="宋体" w:hAnsi="宋体"/>
                <w:sz w:val="22"/>
                <w:szCs w:val="22"/>
                <w:lang w:bidi="ne-NP"/>
              </w:rPr>
              <w:t>生态板雕刻打孔+张贴软板。</w:t>
            </w:r>
          </w:p>
          <w:p>
            <w:pPr>
              <w:pStyle w:val="2"/>
              <w:rPr>
                <w:rFonts w:ascii="宋体" w:hAnsi="宋体" w:eastAsia="宋体" w:cs="微软雅黑"/>
                <w:b/>
                <w:bCs/>
                <w:sz w:val="22"/>
                <w:szCs w:val="22"/>
                <w:lang w:bidi="ne-NP"/>
              </w:rPr>
            </w:pPr>
            <w:r>
              <w:rPr>
                <w:rFonts w:hint="eastAsia" w:ascii="宋体" w:hAnsi="宋体" w:eastAsia="宋体" w:cs="Calibri"/>
                <w:b/>
                <w:bCs/>
                <w:sz w:val="22"/>
                <w:szCs w:val="22"/>
                <w:lang w:bidi="ne-NP"/>
              </w:rPr>
              <w:t>5.</w:t>
            </w:r>
            <w:r>
              <w:rPr>
                <w:rFonts w:hint="eastAsia" w:ascii="宋体" w:hAnsi="宋体" w:eastAsia="宋体" w:cs="微软雅黑"/>
                <w:b/>
                <w:bCs/>
                <w:sz w:val="22"/>
                <w:szCs w:val="22"/>
                <w:lang w:bidi="ne-NP"/>
              </w:rPr>
              <w:t>门头字</w:t>
            </w:r>
          </w:p>
          <w:p>
            <w:pPr>
              <w:pStyle w:val="3"/>
              <w:ind w:left="0"/>
              <w:rPr>
                <w:rFonts w:ascii="宋体" w:hAnsi="宋体"/>
                <w:sz w:val="22"/>
                <w:szCs w:val="22"/>
                <w:lang w:bidi="ne-NP"/>
              </w:rPr>
            </w:pPr>
            <w:r>
              <w:rPr>
                <w:rFonts w:hint="eastAsia" w:ascii="宋体" w:hAnsi="宋体"/>
                <w:sz w:val="22"/>
                <w:szCs w:val="22"/>
                <w:lang w:bidi="ne-NP"/>
              </w:rPr>
              <w:t>英文及汉字（发光字）。</w:t>
            </w:r>
          </w:p>
          <w:p>
            <w:pPr>
              <w:rPr>
                <w:rFonts w:ascii="宋体" w:hAnsi="宋体"/>
                <w:b/>
                <w:bCs/>
                <w:sz w:val="22"/>
                <w:szCs w:val="22"/>
                <w:lang w:bidi="ne-NP"/>
              </w:rPr>
            </w:pPr>
            <w:r>
              <w:rPr>
                <w:rFonts w:hint="eastAsia" w:ascii="宋体" w:hAnsi="宋体"/>
                <w:b/>
                <w:bCs/>
                <w:sz w:val="22"/>
                <w:szCs w:val="22"/>
                <w:lang w:bidi="ne-NP"/>
              </w:rPr>
              <w:t>6.三角形办公室牌</w:t>
            </w:r>
          </w:p>
          <w:p>
            <w:pPr>
              <w:pStyle w:val="2"/>
              <w:rPr>
                <w:rFonts w:ascii="宋体" w:hAnsi="宋体" w:eastAsia="宋体" w:cs="微软雅黑"/>
                <w:sz w:val="22"/>
                <w:szCs w:val="22"/>
                <w:lang w:bidi="ne-NP"/>
              </w:rPr>
            </w:pPr>
            <w:r>
              <w:rPr>
                <w:rFonts w:hint="eastAsia" w:ascii="宋体" w:hAnsi="宋体" w:eastAsia="宋体" w:cs="微软雅黑"/>
                <w:sz w:val="22"/>
                <w:szCs w:val="22"/>
                <w:lang w:bidi="ne-NP"/>
              </w:rPr>
              <w:t>不锈钢镂空、折件、烤漆、丝印内置。</w:t>
            </w:r>
          </w:p>
          <w:p>
            <w:pPr>
              <w:pStyle w:val="3"/>
              <w:ind w:left="0"/>
              <w:rPr>
                <w:rFonts w:ascii="宋体" w:hAnsi="宋体"/>
                <w:b/>
                <w:bCs/>
                <w:sz w:val="22"/>
                <w:szCs w:val="22"/>
                <w:lang w:bidi="ne-NP"/>
              </w:rPr>
            </w:pPr>
            <w:r>
              <w:rPr>
                <w:rFonts w:hint="eastAsia" w:ascii="宋体" w:hAnsi="宋体"/>
                <w:b/>
                <w:bCs/>
                <w:sz w:val="22"/>
                <w:szCs w:val="22"/>
                <w:lang w:bidi="ne-NP"/>
              </w:rPr>
              <w:t>7.消火栓</w:t>
            </w:r>
          </w:p>
          <w:p>
            <w:pPr>
              <w:rPr>
                <w:lang w:bidi="ne-NP"/>
              </w:rPr>
            </w:pPr>
            <w:r>
              <w:rPr>
                <w:rFonts w:hint="eastAsia" w:ascii="宋体" w:hAnsi="宋体"/>
                <w:sz w:val="22"/>
                <w:szCs w:val="22"/>
                <w:lang w:bidi="ne-NP"/>
              </w:rPr>
              <w:t>人工彩绘。</w:t>
            </w:r>
          </w:p>
        </w:tc>
      </w:tr>
    </w:tbl>
    <w:p>
      <w:pPr>
        <w:pStyle w:val="3"/>
      </w:pPr>
    </w:p>
    <w:p>
      <w:pPr>
        <w:pStyle w:val="3"/>
      </w:pPr>
    </w:p>
    <w:p>
      <w:pPr>
        <w:numPr>
          <w:ilvl w:val="0"/>
          <w:numId w:val="2"/>
        </w:numPr>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供应商须有专业的设计、安装、售后团队，并且团队须由经验丰富的人员组成。</w:t>
      </w:r>
    </w:p>
    <w:p>
      <w:pPr>
        <w:numPr>
          <w:ilvl w:val="0"/>
          <w:numId w:val="2"/>
        </w:numPr>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供应商所提供产品材料质量、用料、工艺符合相关国家标准规范要求。</w:t>
      </w:r>
    </w:p>
    <w:p>
      <w:pPr>
        <w:numPr>
          <w:ilvl w:val="0"/>
          <w:numId w:val="2"/>
        </w:numPr>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供应商对所提供产品要按时配备，有专人进行安装。若发生紧急情况，能接受采购人所要求的加班对产品进行安装。</w:t>
      </w:r>
    </w:p>
    <w:p>
      <w:pPr>
        <w:numPr>
          <w:ilvl w:val="0"/>
          <w:numId w:val="2"/>
        </w:numPr>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供应商提交的报价应包含相关商品的制造、运输、安装、人工等所有费用，并承诺成交后除商品的应付成交价格外，不再收取其他任何费用。</w:t>
      </w:r>
    </w:p>
    <w:p>
      <w:pPr>
        <w:pStyle w:val="2"/>
        <w:rPr>
          <w:lang w:bidi="ar"/>
        </w:rPr>
      </w:pPr>
    </w:p>
    <w:p>
      <w:pPr>
        <w:pStyle w:val="3"/>
        <w:rPr>
          <w:lang w:bidi="ar"/>
        </w:rPr>
      </w:pPr>
    </w:p>
    <w:p>
      <w:pPr>
        <w:ind w:firstLine="560" w:firstLineChars="200"/>
        <w:rPr>
          <w:lang w:bidi="ar"/>
        </w:rPr>
      </w:pPr>
    </w:p>
    <w:p>
      <w:pPr>
        <w:pStyle w:val="4"/>
        <w:rPr>
          <w:rStyle w:val="19"/>
          <w:rFonts w:ascii="宋体" w:hAnsi="宋体" w:cs="宋体"/>
          <w:b w:val="0"/>
          <w:sz w:val="36"/>
          <w:szCs w:val="36"/>
        </w:rPr>
      </w:pPr>
      <w:bookmarkStart w:id="58" w:name="_Toc150506531"/>
      <w:bookmarkStart w:id="59" w:name="_Toc14632"/>
      <w:r>
        <w:rPr>
          <w:rStyle w:val="19"/>
          <w:rFonts w:hint="eastAsia" w:ascii="宋体" w:hAnsi="宋体" w:cs="宋体"/>
          <w:b w:val="0"/>
          <w:sz w:val="36"/>
          <w:szCs w:val="36"/>
        </w:rPr>
        <w:t xml:space="preserve">第三篇  </w:t>
      </w:r>
      <w:bookmarkEnd w:id="51"/>
      <w:r>
        <w:rPr>
          <w:rStyle w:val="19"/>
          <w:rFonts w:hint="eastAsia" w:ascii="宋体" w:hAnsi="宋体" w:cs="宋体"/>
          <w:b w:val="0"/>
          <w:sz w:val="36"/>
          <w:szCs w:val="36"/>
        </w:rPr>
        <w:t>项目商务需求</w:t>
      </w:r>
      <w:bookmarkEnd w:id="52"/>
      <w:bookmarkEnd w:id="53"/>
      <w:bookmarkEnd w:id="54"/>
      <w:bookmarkEnd w:id="55"/>
      <w:bookmarkEnd w:id="58"/>
    </w:p>
    <w:bookmarkEnd w:id="59"/>
    <w:p>
      <w:pPr>
        <w:pStyle w:val="5"/>
      </w:pPr>
      <w:bookmarkStart w:id="60" w:name="_Toc2843599"/>
      <w:bookmarkStart w:id="61" w:name="_Toc11077385"/>
      <w:bookmarkStart w:id="62" w:name="_Toc18141_WPSOffice_Level2"/>
      <w:bookmarkStart w:id="63" w:name="_Toc20182"/>
      <w:bookmarkStart w:id="64" w:name="_Toc344475120"/>
      <w:bookmarkStart w:id="65" w:name="_Toc16751_WPSOffice_Level2"/>
      <w:bookmarkStart w:id="66" w:name="_Toc150506532"/>
      <w:bookmarkStart w:id="67" w:name="_Toc6380"/>
      <w:r>
        <w:rPr>
          <w:rFonts w:hint="eastAsia"/>
        </w:rPr>
        <w:t>一、</w:t>
      </w:r>
      <w:bookmarkEnd w:id="60"/>
      <w:bookmarkEnd w:id="61"/>
      <w:bookmarkEnd w:id="62"/>
      <w:bookmarkEnd w:id="63"/>
      <w:bookmarkEnd w:id="64"/>
      <w:bookmarkEnd w:id="65"/>
      <w:r>
        <w:rPr>
          <w:rFonts w:hint="eastAsia"/>
        </w:rPr>
        <w:t>交货时间、地点及验收方式</w:t>
      </w:r>
      <w:bookmarkEnd w:id="66"/>
    </w:p>
    <w:p>
      <w:pPr>
        <w:snapToGrid w:val="0"/>
        <w:spacing w:line="360" w:lineRule="auto"/>
        <w:ind w:firstLine="480" w:firstLineChars="200"/>
        <w:rPr>
          <w:rFonts w:ascii="宋体" w:hAnsi="宋体" w:cs="宋体"/>
          <w:sz w:val="24"/>
          <w:szCs w:val="24"/>
        </w:rPr>
      </w:pPr>
      <w:bookmarkStart w:id="68" w:name="_Toc11077387"/>
      <w:bookmarkStart w:id="69" w:name="_Toc30860_WPSOffice_Level2"/>
      <w:bookmarkStart w:id="70" w:name="_Toc2843601"/>
      <w:bookmarkStart w:id="71" w:name="_Toc21083_WPSOffice_Level2"/>
      <w:bookmarkStart w:id="72" w:name="_Toc26466"/>
      <w:r>
        <w:rPr>
          <w:rFonts w:hint="eastAsia" w:ascii="宋体" w:hAnsi="宋体" w:cs="宋体"/>
          <w:sz w:val="24"/>
          <w:szCs w:val="24"/>
        </w:rPr>
        <w:t>（一）交货时间：自合同签订之日起</w:t>
      </w:r>
      <w:r>
        <w:rPr>
          <w:rFonts w:ascii="宋体" w:hAnsi="宋体" w:cs="宋体"/>
          <w:sz w:val="24"/>
          <w:szCs w:val="24"/>
        </w:rPr>
        <w:t>30</w:t>
      </w:r>
      <w:r>
        <w:rPr>
          <w:rFonts w:hint="eastAsia" w:ascii="宋体" w:hAnsi="宋体" w:cs="宋体"/>
          <w:sz w:val="24"/>
          <w:szCs w:val="24"/>
        </w:rPr>
        <w:t>日内完成供货及安装，达到采购人使用要求。</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（二）供货地点：重庆医科大学缙云校区</w:t>
      </w:r>
      <w:r>
        <w:rPr>
          <w:rFonts w:ascii="宋体" w:hAnsi="宋体" w:cs="宋体"/>
          <w:sz w:val="24"/>
          <w:szCs w:val="24"/>
        </w:rPr>
        <w:t xml:space="preserve"> </w:t>
      </w:r>
      <w:r>
        <w:rPr>
          <w:rFonts w:hint="eastAsia" w:ascii="宋体" w:hAnsi="宋体" w:cs="宋体"/>
          <w:sz w:val="24"/>
          <w:szCs w:val="24"/>
        </w:rPr>
        <w:t>国际教育学院</w:t>
      </w:r>
    </w:p>
    <w:p>
      <w:pPr>
        <w:snapToGrid w:val="0"/>
        <w:spacing w:line="360" w:lineRule="auto"/>
        <w:ind w:firstLine="480"/>
        <w:rPr>
          <w:rFonts w:ascii="宋体" w:hAnsi="宋体" w:cs="宋体"/>
          <w:kern w:val="0"/>
          <w:sz w:val="24"/>
          <w:szCs w:val="24"/>
          <w:lang w:bidi="ar"/>
        </w:rPr>
      </w:pPr>
      <w:r>
        <w:rPr>
          <w:rFonts w:hint="eastAsia" w:ascii="宋体" w:hAnsi="宋体" w:cs="宋体"/>
          <w:sz w:val="24"/>
          <w:szCs w:val="24"/>
        </w:rPr>
        <w:t>（三）验收方式：</w:t>
      </w:r>
      <w:r>
        <w:rPr>
          <w:rFonts w:hint="eastAsia" w:ascii="宋体" w:hAnsi="宋体" w:cs="宋体"/>
          <w:kern w:val="0"/>
          <w:sz w:val="24"/>
          <w:szCs w:val="24"/>
          <w:lang w:bidi="ar"/>
        </w:rPr>
        <w:t>供应商应严格按照采购人要求，保质保量，验收项目内容与规格与招标文件要求保持一致，并在规定的时间内完成项目的实施工作。供应商应经采购人清点项目内容、规格、数量，检验外观，做出验收记录，双方签字确认。</w:t>
      </w:r>
    </w:p>
    <w:p>
      <w:pPr>
        <w:snapToGrid w:val="0"/>
        <w:spacing w:line="360" w:lineRule="auto"/>
        <w:ind w:firstLine="480"/>
        <w:rPr>
          <w:rFonts w:ascii="仿宋_GB2312"/>
          <w:sz w:val="32"/>
          <w:lang w:bidi="ar"/>
        </w:rPr>
      </w:pPr>
      <w:r>
        <w:rPr>
          <w:rFonts w:hint="eastAsia" w:ascii="宋体" w:hAnsi="宋体" w:cs="宋体"/>
          <w:kern w:val="0"/>
          <w:sz w:val="24"/>
          <w:szCs w:val="24"/>
          <w:lang w:bidi="ar"/>
        </w:rPr>
        <w:t>项目实施过程中存在不确定性，因实际情况而产生的实施细节变化，供应商应以采购人的需求为准，双方通过协商解决问题。</w:t>
      </w:r>
    </w:p>
    <w:bookmarkEnd w:id="68"/>
    <w:bookmarkEnd w:id="69"/>
    <w:bookmarkEnd w:id="70"/>
    <w:bookmarkEnd w:id="71"/>
    <w:bookmarkEnd w:id="72"/>
    <w:p>
      <w:pPr>
        <w:pStyle w:val="5"/>
      </w:pPr>
      <w:bookmarkStart w:id="73" w:name="_Toc75356424"/>
      <w:bookmarkStart w:id="74" w:name="_Toc150506533"/>
      <w:bookmarkStart w:id="75" w:name="_Toc28008"/>
      <w:bookmarkStart w:id="76" w:name="_Toc18145_WPSOffice_Level2"/>
      <w:bookmarkStart w:id="77" w:name="_Toc6650_WPSOffice_Level2"/>
      <w:bookmarkStart w:id="78" w:name="_Toc11077388"/>
      <w:bookmarkStart w:id="79" w:name="_Toc2843602"/>
      <w:bookmarkStart w:id="80" w:name="_Toc21648"/>
      <w:bookmarkStart w:id="81" w:name="_Toc344475124"/>
      <w:bookmarkStart w:id="82" w:name="_Toc10036"/>
      <w:bookmarkStart w:id="83" w:name="_Toc11077389"/>
      <w:bookmarkStart w:id="84" w:name="_Toc7192_WPSOffice_Level2"/>
      <w:bookmarkStart w:id="85" w:name="_Toc3812_WPSOffice_Level2"/>
      <w:bookmarkStart w:id="86" w:name="_Toc2843603"/>
      <w:r>
        <w:rPr>
          <w:rFonts w:hint="eastAsia"/>
        </w:rPr>
        <w:t>二、报价要求</w:t>
      </w:r>
      <w:bookmarkEnd w:id="73"/>
      <w:bookmarkEnd w:id="74"/>
      <w:bookmarkEnd w:id="75"/>
    </w:p>
    <w:p>
      <w:pPr>
        <w:snapToGrid w:val="0"/>
        <w:spacing w:line="360" w:lineRule="auto"/>
        <w:ind w:firstLine="480" w:firstLineChars="200"/>
        <w:rPr>
          <w:rFonts w:ascii="宋体" w:hAnsi="宋体"/>
          <w:sz w:val="24"/>
          <w:szCs w:val="24"/>
        </w:rPr>
      </w:pPr>
      <w:bookmarkStart w:id="87" w:name="_Toc466546915"/>
      <w:bookmarkStart w:id="88" w:name="_Toc398650620"/>
      <w:r>
        <w:rPr>
          <w:rFonts w:hint="eastAsia" w:ascii="宋体" w:hAnsi="宋体"/>
          <w:sz w:val="24"/>
          <w:szCs w:val="24"/>
        </w:rPr>
        <w:t>本次报价为人民币报价，供应商的磋商报价应包括完成本项目所需的服务费、人工费及提供服务所需的设备或货物购买（制造）费、辅材费、运输费、装卸费、安装调试费、培训费及各种应纳的税费等所有费用。因成交供应商自身原因造成漏报、少报皆由其自行承担责任，采购人不再补偿。</w:t>
      </w:r>
    </w:p>
    <w:bookmarkEnd w:id="87"/>
    <w:bookmarkEnd w:id="88"/>
    <w:p>
      <w:pPr>
        <w:pStyle w:val="5"/>
      </w:pPr>
      <w:bookmarkStart w:id="89" w:name="_Toc150506534"/>
      <w:r>
        <w:rPr>
          <w:rFonts w:hint="eastAsia"/>
        </w:rPr>
        <w:t>三、付款方式</w:t>
      </w:r>
      <w:bookmarkEnd w:id="76"/>
      <w:bookmarkEnd w:id="77"/>
      <w:bookmarkEnd w:id="78"/>
      <w:bookmarkEnd w:id="79"/>
      <w:bookmarkEnd w:id="80"/>
      <w:bookmarkEnd w:id="89"/>
    </w:p>
    <w:bookmarkEnd w:id="81"/>
    <w:bookmarkEnd w:id="82"/>
    <w:bookmarkEnd w:id="83"/>
    <w:bookmarkEnd w:id="84"/>
    <w:bookmarkEnd w:id="85"/>
    <w:bookmarkEnd w:id="86"/>
    <w:p>
      <w:pPr>
        <w:snapToGrid w:val="0"/>
        <w:spacing w:line="440" w:lineRule="exact"/>
        <w:ind w:firstLine="480" w:firstLineChars="200"/>
        <w:rPr>
          <w:rFonts w:ascii="宋体" w:hAnsi="宋体"/>
          <w:sz w:val="24"/>
          <w:szCs w:val="24"/>
        </w:rPr>
      </w:pPr>
      <w:bookmarkStart w:id="90" w:name="_Toc12803"/>
      <w:r>
        <w:rPr>
          <w:rFonts w:hint="eastAsia" w:ascii="宋体" w:hAnsi="宋体"/>
          <w:sz w:val="24"/>
          <w:szCs w:val="24"/>
        </w:rPr>
        <w:t>（一）</w:t>
      </w:r>
      <w:bookmarkStart w:id="91" w:name="OLE_LINK4"/>
      <w:bookmarkStart w:id="92" w:name="OLE_LINK3"/>
      <w:r>
        <w:rPr>
          <w:rFonts w:hint="eastAsia" w:ascii="宋体" w:hAnsi="宋体"/>
          <w:sz w:val="24"/>
          <w:szCs w:val="24"/>
        </w:rPr>
        <w:t>合同签订时成交供应商向采购人缴纳合同金额5%的履约保证金</w:t>
      </w:r>
      <w:bookmarkEnd w:id="91"/>
      <w:bookmarkEnd w:id="92"/>
      <w:r>
        <w:rPr>
          <w:rFonts w:hint="eastAsia" w:ascii="宋体" w:hAnsi="宋体"/>
          <w:sz w:val="24"/>
          <w:szCs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（二）成交供应商按采购合同交货并安装调试完成，经验收合格后采购人出具项目验收报告；</w:t>
      </w:r>
    </w:p>
    <w:p>
      <w:pPr>
        <w:snapToGrid w:val="0"/>
        <w:spacing w:line="440" w:lineRule="exact"/>
        <w:ind w:firstLine="480" w:firstLineChars="200"/>
        <w:rPr>
          <w:rFonts w:ascii="宋体" w:hAnsi="宋体"/>
          <w:sz w:val="24"/>
          <w:szCs w:val="24"/>
        </w:rPr>
      </w:pPr>
      <w:r>
        <w:rPr>
          <w:rFonts w:hint="eastAsia" w:ascii="宋体" w:hAnsi="宋体"/>
          <w:sz w:val="24"/>
          <w:szCs w:val="24"/>
        </w:rPr>
        <w:t>（三）成交供应商向采购人开具发票，采购人以转账方式向成交供应商支付合同全款；</w:t>
      </w:r>
    </w:p>
    <w:p>
      <w:pPr>
        <w:snapToGrid w:val="0"/>
        <w:spacing w:line="440" w:lineRule="exact"/>
        <w:ind w:firstLine="480" w:firstLineChars="200"/>
        <w:rPr>
          <w:rFonts w:ascii="宋体" w:hAnsi="宋体"/>
          <w:sz w:val="24"/>
          <w:szCs w:val="24"/>
        </w:rPr>
      </w:pPr>
      <w:r>
        <w:rPr>
          <w:rFonts w:hint="eastAsia" w:ascii="宋体" w:hAnsi="宋体"/>
          <w:sz w:val="24"/>
          <w:szCs w:val="24"/>
        </w:rPr>
        <w:t>（四）履约保证金从采购人出具验收合格报告时起10个工作日内无息退还。</w:t>
      </w:r>
    </w:p>
    <w:p>
      <w:pPr>
        <w:pStyle w:val="5"/>
      </w:pPr>
      <w:bookmarkStart w:id="93" w:name="_Toc150506535"/>
      <w:r>
        <w:rPr>
          <w:rFonts w:hint="eastAsia"/>
        </w:rPr>
        <w:t>四、质量保证期</w:t>
      </w:r>
    </w:p>
    <w:p>
      <w:pPr>
        <w:snapToGrid w:val="0"/>
        <w:spacing w:line="440" w:lineRule="exact"/>
        <w:ind w:firstLine="480" w:firstLineChars="200"/>
        <w:rPr>
          <w:rFonts w:ascii="宋体" w:hAnsi="宋体"/>
          <w:sz w:val="24"/>
          <w:szCs w:val="24"/>
        </w:rPr>
      </w:pPr>
      <w:r>
        <w:rPr>
          <w:rFonts w:hint="eastAsia" w:ascii="宋体" w:hAnsi="宋体"/>
          <w:sz w:val="24"/>
          <w:szCs w:val="24"/>
        </w:rPr>
        <w:t>（一）自验收通过之日起，提供1年免费质保期。</w:t>
      </w:r>
    </w:p>
    <w:p>
      <w:pPr>
        <w:snapToGrid w:val="0"/>
        <w:spacing w:line="440" w:lineRule="exact"/>
        <w:ind w:firstLine="480" w:firstLineChars="200"/>
        <w:rPr>
          <w:rFonts w:ascii="宋体" w:hAnsi="宋体"/>
          <w:sz w:val="24"/>
          <w:szCs w:val="24"/>
        </w:rPr>
      </w:pPr>
      <w:r>
        <w:rPr>
          <w:rFonts w:hint="eastAsia" w:ascii="宋体" w:hAnsi="宋体"/>
          <w:sz w:val="24"/>
          <w:szCs w:val="24"/>
        </w:rPr>
        <w:t>（二）采购货物属于国家规定三包范围内的，其产品质量保证期不得低于三包规定。</w:t>
      </w:r>
    </w:p>
    <w:p>
      <w:pPr>
        <w:pStyle w:val="5"/>
      </w:pPr>
      <w:r>
        <w:rPr>
          <w:rFonts w:hint="eastAsia"/>
        </w:rPr>
        <w:t>五、售后服务内容</w:t>
      </w:r>
    </w:p>
    <w:p>
      <w:pPr>
        <w:snapToGrid w:val="0"/>
        <w:spacing w:line="440" w:lineRule="exact"/>
        <w:ind w:firstLine="480" w:firstLineChars="200"/>
        <w:rPr>
          <w:rFonts w:ascii="宋体" w:hAnsi="宋体"/>
          <w:sz w:val="24"/>
          <w:szCs w:val="24"/>
        </w:rPr>
      </w:pPr>
      <w:r>
        <w:rPr>
          <w:rFonts w:hint="eastAsia" w:ascii="宋体" w:hAnsi="宋体"/>
          <w:sz w:val="24"/>
          <w:szCs w:val="24"/>
        </w:rPr>
        <w:t>现场响应</w:t>
      </w:r>
    </w:p>
    <w:p>
      <w:pPr>
        <w:snapToGrid w:val="0"/>
        <w:spacing w:line="440" w:lineRule="exact"/>
        <w:ind w:firstLine="480" w:firstLineChars="200"/>
        <w:rPr>
          <w:rFonts w:ascii="宋体" w:hAnsi="宋体"/>
          <w:sz w:val="24"/>
          <w:szCs w:val="24"/>
        </w:rPr>
      </w:pPr>
      <w:r>
        <w:rPr>
          <w:rFonts w:hint="eastAsia" w:ascii="宋体" w:hAnsi="宋体"/>
          <w:sz w:val="24"/>
          <w:szCs w:val="24"/>
        </w:rPr>
        <w:t>用户遇到问题，电话咨询不能解决的，成交供应商应在1小时内采取相应响应措施；无法在</w:t>
      </w:r>
      <w:r>
        <w:rPr>
          <w:rFonts w:ascii="宋体" w:hAnsi="宋体"/>
          <w:sz w:val="24"/>
          <w:szCs w:val="24"/>
        </w:rPr>
        <w:t>2</w:t>
      </w:r>
      <w:r>
        <w:rPr>
          <w:rFonts w:hint="eastAsia" w:ascii="宋体" w:hAnsi="宋体"/>
          <w:sz w:val="24"/>
          <w:szCs w:val="24"/>
        </w:rPr>
        <w:t>小时内解决的，应在</w:t>
      </w:r>
      <w:r>
        <w:rPr>
          <w:rFonts w:ascii="宋体" w:hAnsi="宋体"/>
          <w:sz w:val="24"/>
          <w:szCs w:val="24"/>
        </w:rPr>
        <w:t>8</w:t>
      </w:r>
      <w:r>
        <w:rPr>
          <w:rFonts w:hint="eastAsia" w:ascii="宋体" w:hAnsi="宋体"/>
          <w:sz w:val="24"/>
          <w:szCs w:val="24"/>
        </w:rPr>
        <w:t>小时内派出专业技术人员到达现场解决问题。</w:t>
      </w:r>
    </w:p>
    <w:p>
      <w:pPr>
        <w:pStyle w:val="3"/>
      </w:pPr>
    </w:p>
    <w:p>
      <w:pPr>
        <w:pStyle w:val="5"/>
      </w:pPr>
      <w:r>
        <w:rPr>
          <w:rFonts w:hint="eastAsia"/>
        </w:rPr>
        <w:t>六、知识产权</w:t>
      </w:r>
      <w:bookmarkEnd w:id="90"/>
      <w:bookmarkEnd w:id="93"/>
    </w:p>
    <w:p>
      <w:pPr>
        <w:snapToGrid w:val="0"/>
        <w:spacing w:line="440" w:lineRule="exact"/>
        <w:ind w:firstLine="480" w:firstLineChars="200"/>
        <w:rPr>
          <w:rFonts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pPr>
        <w:pStyle w:val="5"/>
      </w:pPr>
      <w:bookmarkStart w:id="94" w:name="_Toc466546918"/>
      <w:bookmarkStart w:id="95" w:name="_Toc848"/>
      <w:bookmarkStart w:id="96" w:name="_Toc150506536"/>
      <w:bookmarkStart w:id="97" w:name="_Toc75356428"/>
      <w:bookmarkStart w:id="98" w:name="_Toc344475125"/>
      <w:r>
        <w:rPr>
          <w:rFonts w:hint="eastAsia"/>
        </w:rPr>
        <w:t>六、其他</w:t>
      </w:r>
      <w:bookmarkEnd w:id="94"/>
      <w:bookmarkEnd w:id="95"/>
      <w:bookmarkEnd w:id="96"/>
      <w:bookmarkEnd w:id="97"/>
    </w:p>
    <w:bookmarkEnd w:id="98"/>
    <w:p>
      <w:pPr>
        <w:snapToGrid w:val="0"/>
        <w:spacing w:line="440" w:lineRule="exact"/>
        <w:ind w:firstLine="480" w:firstLineChars="200"/>
        <w:rPr>
          <w:rFonts w:ascii="宋体" w:hAnsi="宋体"/>
          <w:sz w:val="24"/>
          <w:szCs w:val="24"/>
        </w:rPr>
      </w:pPr>
      <w:r>
        <w:rPr>
          <w:rFonts w:hint="eastAsia" w:ascii="宋体" w:hAnsi="宋体"/>
          <w:sz w:val="24"/>
          <w:szCs w:val="24"/>
        </w:rPr>
        <w:t>（一）供应商必须在响应文件中对以上条款和服务承诺明确列出，承诺内容必须达到本篇及竞争性磋商文件其他条款的要求。</w:t>
      </w:r>
    </w:p>
    <w:p>
      <w:pPr>
        <w:snapToGrid w:val="0"/>
        <w:spacing w:line="440" w:lineRule="exact"/>
        <w:ind w:firstLine="480" w:firstLineChars="200"/>
        <w:rPr>
          <w:rFonts w:ascii="宋体" w:hAnsi="宋体"/>
          <w:sz w:val="24"/>
          <w:szCs w:val="24"/>
        </w:rPr>
      </w:pPr>
      <w:bookmarkStart w:id="99" w:name="_Toc6917"/>
      <w:bookmarkStart w:id="100" w:name="_Toc22074"/>
      <w:bookmarkStart w:id="101" w:name="_Toc29813"/>
      <w:bookmarkStart w:id="102" w:name="_Toc7132"/>
      <w:bookmarkStart w:id="103" w:name="_Toc12474"/>
      <w:r>
        <w:rPr>
          <w:rFonts w:hint="eastAsia" w:ascii="宋体" w:hAnsi="宋体"/>
          <w:sz w:val="24"/>
          <w:szCs w:val="24"/>
        </w:rPr>
        <w:t>（二）其他未尽事宜由供需双方在采购合同中详细约定。</w:t>
      </w:r>
      <w:bookmarkEnd w:id="67"/>
      <w:bookmarkEnd w:id="99"/>
      <w:bookmarkEnd w:id="100"/>
      <w:bookmarkEnd w:id="101"/>
      <w:bookmarkEnd w:id="102"/>
      <w:bookmarkEnd w:id="103"/>
      <w:bookmarkStart w:id="104" w:name="_Toc14592_WPSOffice_Level1"/>
      <w:bookmarkStart w:id="105" w:name="_Toc11077390"/>
      <w:bookmarkStart w:id="106" w:name="_Toc13123_WPSOffice_Level1"/>
      <w:bookmarkStart w:id="107" w:name="_Toc13036"/>
      <w:bookmarkStart w:id="108" w:name="_Toc955"/>
    </w:p>
    <w:p>
      <w:pPr>
        <w:pStyle w:val="2"/>
      </w:pPr>
    </w:p>
    <w:p>
      <w:pPr>
        <w:pStyle w:val="3"/>
      </w:pPr>
    </w:p>
    <w:p/>
    <w:p>
      <w:pPr>
        <w:pStyle w:val="2"/>
      </w:pPr>
    </w:p>
    <w:p>
      <w:pPr>
        <w:snapToGrid w:val="0"/>
        <w:spacing w:line="440" w:lineRule="exact"/>
        <w:outlineLvl w:val="0"/>
        <w:rPr>
          <w:rStyle w:val="19"/>
          <w:rFonts w:ascii="宋体" w:hAnsi="宋体" w:cs="宋体"/>
          <w:sz w:val="36"/>
          <w:szCs w:val="36"/>
        </w:rPr>
      </w:pPr>
      <w:r>
        <w:rPr>
          <w:rStyle w:val="19"/>
          <w:rFonts w:hint="eastAsia" w:ascii="宋体" w:hAnsi="宋体" w:cs="宋体"/>
          <w:sz w:val="36"/>
          <w:szCs w:val="36"/>
        </w:rPr>
        <w:t>第四篇  磋商程序及方法、评审标准、无效响应和采购终止</w:t>
      </w:r>
      <w:bookmarkEnd w:id="104"/>
      <w:bookmarkEnd w:id="105"/>
      <w:bookmarkEnd w:id="106"/>
      <w:bookmarkEnd w:id="107"/>
    </w:p>
    <w:p>
      <w:pPr>
        <w:pStyle w:val="2"/>
      </w:pPr>
    </w:p>
    <w:bookmarkEnd w:id="108"/>
    <w:p>
      <w:pPr>
        <w:pStyle w:val="5"/>
      </w:pPr>
      <w:bookmarkStart w:id="109" w:name="_Toc150506537"/>
      <w:bookmarkStart w:id="110" w:name="_Toc20042"/>
      <w:bookmarkStart w:id="111" w:name="_Toc13578_WPSOffice_Level2"/>
      <w:bookmarkStart w:id="112" w:name="_Toc21783146"/>
      <w:bookmarkStart w:id="113" w:name="_Toc11077392"/>
      <w:bookmarkStart w:id="114" w:name="_Toc18819_WPSOffice_Level2"/>
      <w:r>
        <w:rPr>
          <w:rFonts w:hint="eastAsia"/>
        </w:rPr>
        <w:t>一、磋商程序及方法</w:t>
      </w:r>
      <w:bookmarkEnd w:id="109"/>
      <w:bookmarkEnd w:id="110"/>
      <w:bookmarkEnd w:id="111"/>
      <w:bookmarkEnd w:id="112"/>
    </w:p>
    <w:p>
      <w:pPr>
        <w:spacing w:line="360" w:lineRule="auto"/>
        <w:ind w:firstLine="480" w:firstLineChars="200"/>
        <w:rPr>
          <w:rFonts w:ascii="宋体" w:hAnsi="宋体" w:cs="宋体"/>
          <w:sz w:val="24"/>
          <w:szCs w:val="24"/>
        </w:rPr>
      </w:pPr>
      <w:r>
        <w:rPr>
          <w:rFonts w:hint="eastAsia" w:ascii="宋体" w:hAnsi="宋体" w:cs="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hAnsi="宋体" w:cs="宋体"/>
          <w:sz w:val="24"/>
          <w:szCs w:val="24"/>
        </w:rPr>
      </w:pPr>
      <w:r>
        <w:rPr>
          <w:rFonts w:hint="eastAsia" w:ascii="宋体" w:hAnsi="宋体" w:cs="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270"/>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trPr>
        <w:tc>
          <w:tcPr>
            <w:tcW w:w="676" w:type="dxa"/>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979"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4973" w:type="dxa"/>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9" w:hRule="atLeast"/>
        </w:trPr>
        <w:tc>
          <w:tcPr>
            <w:tcW w:w="676" w:type="dxa"/>
            <w:vMerge w:val="restart"/>
            <w:vAlign w:val="center"/>
          </w:tcPr>
          <w:p>
            <w:pPr>
              <w:jc w:val="center"/>
              <w:rPr>
                <w:rFonts w:ascii="宋体" w:hAnsi="宋体" w:cs="宋体"/>
                <w:sz w:val="21"/>
                <w:szCs w:val="21"/>
              </w:rPr>
            </w:pPr>
            <w:r>
              <w:rPr>
                <w:rFonts w:hint="eastAsia" w:ascii="宋体" w:hAnsi="宋体" w:cs="宋体"/>
                <w:sz w:val="21"/>
                <w:szCs w:val="21"/>
              </w:rPr>
              <w:t>1</w:t>
            </w:r>
          </w:p>
        </w:tc>
        <w:tc>
          <w:tcPr>
            <w:tcW w:w="709" w:type="dxa"/>
            <w:vMerge w:val="restart"/>
            <w:vAlign w:val="center"/>
          </w:tcPr>
          <w:p>
            <w:pPr>
              <w:rPr>
                <w:rFonts w:ascii="宋体" w:hAnsi="宋体" w:cs="宋体"/>
                <w:sz w:val="21"/>
                <w:szCs w:val="21"/>
                <w:lang w:val="zh-CN"/>
              </w:rPr>
            </w:pPr>
            <w:r>
              <w:rPr>
                <w:rFonts w:hint="eastAsia" w:ascii="宋体" w:hAnsi="宋体" w:cs="宋体"/>
                <w:sz w:val="21"/>
                <w:szCs w:val="21"/>
              </w:rPr>
              <w:t>供应商</w:t>
            </w:r>
            <w:r>
              <w:rPr>
                <w:rFonts w:hint="eastAsia" w:ascii="宋体" w:hAnsi="宋体" w:cs="宋体"/>
                <w:sz w:val="21"/>
                <w:szCs w:val="21"/>
                <w:lang w:val="zh-CN"/>
              </w:rPr>
              <w:t>应符合的基本资格条件</w:t>
            </w:r>
          </w:p>
        </w:tc>
        <w:tc>
          <w:tcPr>
            <w:tcW w:w="3270" w:type="dxa"/>
            <w:vAlign w:val="center"/>
          </w:tcPr>
          <w:p>
            <w:pPr>
              <w:rPr>
                <w:rFonts w:ascii="宋体" w:hAnsi="宋体" w:cs="宋体"/>
                <w:sz w:val="21"/>
                <w:szCs w:val="21"/>
              </w:rPr>
            </w:pPr>
            <w:r>
              <w:rPr>
                <w:rFonts w:hint="eastAsia" w:ascii="宋体" w:hAnsi="宋体" w:cs="宋体"/>
                <w:sz w:val="21"/>
                <w:szCs w:val="21"/>
              </w:rPr>
              <w:t>（1）具有独立承担民事责任的能力</w:t>
            </w:r>
          </w:p>
        </w:tc>
        <w:tc>
          <w:tcPr>
            <w:tcW w:w="4973" w:type="dxa"/>
            <w:vAlign w:val="center"/>
          </w:tcPr>
          <w:p>
            <w:pPr>
              <w:rPr>
                <w:rFonts w:ascii="宋体" w:hAnsi="宋体" w:cs="宋体"/>
                <w:sz w:val="21"/>
                <w:szCs w:val="21"/>
              </w:rPr>
            </w:pPr>
            <w:r>
              <w:rPr>
                <w:rFonts w:hint="eastAsia" w:ascii="宋体" w:hAnsi="宋体" w:cs="宋体"/>
                <w:sz w:val="21"/>
                <w:szCs w:val="21"/>
              </w:rPr>
              <w:t>供应商法人营业执照（副本）或事业单位法人证书（副本）或个体工商户营业执照或有效的自然人身份证明、组织机构代码证复印件（注</w:t>
            </w:r>
            <w:r>
              <w:rPr>
                <w:rFonts w:cs="Calibri"/>
                <w:kern w:val="0"/>
                <w:sz w:val="21"/>
                <w:szCs w:val="21"/>
              </w:rPr>
              <w:t>①</w:t>
            </w:r>
            <w:r>
              <w:rPr>
                <w:rFonts w:hint="eastAsia" w:ascii="宋体" w:hAnsi="宋体" w:cs="宋体"/>
                <w:sz w:val="21"/>
                <w:szCs w:val="21"/>
              </w:rPr>
              <w:t xml:space="preserve">）； </w:t>
            </w:r>
          </w:p>
          <w:p>
            <w:pPr>
              <w:rPr>
                <w:rFonts w:ascii="宋体" w:hAnsi="宋体" w:cs="宋体"/>
                <w:sz w:val="21"/>
                <w:szCs w:val="21"/>
              </w:rPr>
            </w:pPr>
            <w:r>
              <w:rPr>
                <w:rFonts w:hint="eastAsia" w:ascii="宋体" w:hAnsi="宋体" w:cs="宋体"/>
                <w:sz w:val="21"/>
                <w:szCs w:val="21"/>
              </w:rPr>
              <w:t>供应商法定代表人身份证明和法定代表人授权代表委托书。不具有独立法人的分公司、办事处等分支机构不能参加磋商。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trPr>
        <w:tc>
          <w:tcPr>
            <w:tcW w:w="676"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3270" w:type="dxa"/>
            <w:vAlign w:val="center"/>
          </w:tcPr>
          <w:p>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73" w:type="dxa"/>
            <w:vAlign w:val="center"/>
          </w:tcPr>
          <w:p>
            <w:pPr>
              <w:rPr>
                <w:rFonts w:ascii="宋体" w:hAnsi="宋体" w:cs="宋体"/>
                <w:sz w:val="21"/>
                <w:szCs w:val="21"/>
              </w:rPr>
            </w:pPr>
            <w:r>
              <w:rPr>
                <w:rFonts w:hint="eastAsia" w:ascii="宋体" w:hAnsi="宋体" w:cs="宋体"/>
                <w:sz w:val="21"/>
                <w:szCs w:val="21"/>
              </w:rPr>
              <w:t>提供</w:t>
            </w:r>
            <w:r>
              <w:rPr>
                <w:rFonts w:hint="eastAsia" w:ascii="宋体" w:hAnsi="宋体" w:cs="宋体"/>
                <w:sz w:val="21"/>
                <w:szCs w:val="21"/>
                <w:u w:val="single"/>
              </w:rPr>
              <w:t xml:space="preserve">  202</w:t>
            </w:r>
            <w:r>
              <w:rPr>
                <w:rFonts w:ascii="宋体" w:hAnsi="宋体" w:cs="宋体"/>
                <w:sz w:val="21"/>
                <w:szCs w:val="21"/>
                <w:u w:val="single"/>
              </w:rPr>
              <w:t>3</w:t>
            </w:r>
            <w:r>
              <w:rPr>
                <w:rFonts w:hint="eastAsia" w:ascii="宋体" w:hAnsi="宋体" w:cs="宋体"/>
                <w:sz w:val="21"/>
                <w:szCs w:val="21"/>
              </w:rPr>
              <w:t>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trPr>
        <w:tc>
          <w:tcPr>
            <w:tcW w:w="676"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3270" w:type="dxa"/>
            <w:vAlign w:val="center"/>
          </w:tcPr>
          <w:p>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73" w:type="dxa"/>
            <w:vAlign w:val="center"/>
          </w:tcPr>
          <w:p>
            <w:pPr>
              <w:rPr>
                <w:rFonts w:ascii="宋体" w:hAnsi="宋体" w:cs="宋体"/>
                <w:sz w:val="21"/>
                <w:szCs w:val="21"/>
              </w:rPr>
            </w:pPr>
            <w:r>
              <w:rPr>
                <w:rFonts w:hint="eastAsia" w:ascii="宋体" w:hAnsi="宋体" w:cs="宋体"/>
                <w:sz w:val="21"/>
                <w:szCs w:val="21"/>
              </w:rPr>
              <w:t>供应商提供书面声明(详见格式文件)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676"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3270" w:type="dxa"/>
            <w:vAlign w:val="center"/>
          </w:tcPr>
          <w:p>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73" w:type="dxa"/>
            <w:vAlign w:val="center"/>
          </w:tcPr>
          <w:p>
            <w:pPr>
              <w:rPr>
                <w:rFonts w:ascii="宋体" w:hAnsi="宋体" w:cs="宋体"/>
                <w:sz w:val="21"/>
                <w:szCs w:val="21"/>
              </w:rPr>
            </w:pPr>
            <w:r>
              <w:rPr>
                <w:rFonts w:hint="eastAsia" w:ascii="宋体" w:hAnsi="宋体" w:cs="宋体"/>
                <w:sz w:val="21"/>
                <w:szCs w:val="21"/>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6" w:hRule="atLeast"/>
        </w:trPr>
        <w:tc>
          <w:tcPr>
            <w:tcW w:w="676"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3270" w:type="dxa"/>
            <w:vAlign w:val="center"/>
          </w:tcPr>
          <w:p>
            <w:pPr>
              <w:rPr>
                <w:rFonts w:ascii="宋体" w:hAnsi="宋体" w:cs="宋体"/>
                <w:sz w:val="21"/>
                <w:szCs w:val="21"/>
                <w:lang w:val="zh-CN"/>
              </w:rPr>
            </w:pPr>
            <w:r>
              <w:rPr>
                <w:rFonts w:hint="eastAsia" w:ascii="宋体" w:hAnsi="宋体" w:cs="宋体"/>
                <w:sz w:val="21"/>
                <w:szCs w:val="21"/>
              </w:rPr>
              <w:t>（5）参加采购活动前三年内，在经营活动中没有重大违法记录（注</w:t>
            </w:r>
            <w:r>
              <w:rPr>
                <w:rFonts w:hint="eastAsia" w:ascii="宋体" w:hAnsi="宋体" w:cs="宋体"/>
                <w:sz w:val="21"/>
                <w:szCs w:val="21"/>
              </w:rPr>
              <w:fldChar w:fldCharType="begin"/>
            </w:r>
            <w:r>
              <w:rPr>
                <w:rFonts w:hint="eastAsia" w:ascii="宋体" w:hAnsi="宋体" w:cs="宋体"/>
                <w:sz w:val="21"/>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 w:val="21"/>
                <w:szCs w:val="21"/>
              </w:rPr>
              <w:instrText xml:space="preserve">,2)</w:instrText>
            </w:r>
            <w:r>
              <w:rPr>
                <w:rFonts w:hint="eastAsia" w:ascii="宋体" w:hAnsi="宋体" w:cs="宋体"/>
                <w:sz w:val="21"/>
                <w:szCs w:val="21"/>
              </w:rPr>
              <w:fldChar w:fldCharType="end"/>
            </w:r>
            <w:r>
              <w:rPr>
                <w:rFonts w:hint="eastAsia" w:ascii="宋体" w:hAnsi="宋体" w:cs="宋体"/>
                <w:sz w:val="21"/>
                <w:szCs w:val="21"/>
              </w:rPr>
              <w:t>）</w:t>
            </w:r>
          </w:p>
        </w:tc>
        <w:tc>
          <w:tcPr>
            <w:tcW w:w="4973" w:type="dxa"/>
            <w:vAlign w:val="center"/>
          </w:tcPr>
          <w:p>
            <w:pPr>
              <w:rPr>
                <w:rFonts w:ascii="宋体" w:hAnsi="宋体" w:cs="宋体"/>
                <w:b/>
                <w:sz w:val="21"/>
                <w:szCs w:val="21"/>
              </w:rPr>
            </w:pPr>
            <w:r>
              <w:rPr>
                <w:rFonts w:hint="eastAsia" w:ascii="宋体" w:hAnsi="宋体" w:cs="宋体"/>
                <w:b/>
                <w:sz w:val="21"/>
                <w:szCs w:val="21"/>
              </w:rPr>
              <w:t>1.供应商提供书面声明（见格式文件）；</w:t>
            </w:r>
          </w:p>
          <w:p>
            <w:pPr>
              <w:rPr>
                <w:rFonts w:ascii="宋体" w:hAnsi="宋体" w:cs="宋体"/>
                <w:sz w:val="21"/>
                <w:szCs w:val="21"/>
              </w:rPr>
            </w:pPr>
            <w:r>
              <w:rPr>
                <w:rFonts w:hint="eastAsia" w:ascii="宋体" w:hAnsi="宋体" w:cs="宋体"/>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676"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3270" w:type="dxa"/>
            <w:vAlign w:val="center"/>
          </w:tcPr>
          <w:p>
            <w:pPr>
              <w:rPr>
                <w:rFonts w:ascii="宋体" w:hAnsi="宋体" w:cs="宋体"/>
                <w:sz w:val="21"/>
                <w:szCs w:val="21"/>
              </w:rPr>
            </w:pPr>
            <w:r>
              <w:rPr>
                <w:rFonts w:hint="eastAsia" w:ascii="宋体" w:hAnsi="宋体" w:cs="宋体"/>
                <w:sz w:val="21"/>
                <w:szCs w:val="21"/>
              </w:rPr>
              <w:t>（6）法律、行政法规规定的其他条件</w:t>
            </w:r>
          </w:p>
        </w:tc>
        <w:tc>
          <w:tcPr>
            <w:tcW w:w="4973" w:type="dxa"/>
            <w:vAlign w:val="center"/>
          </w:tcPr>
          <w:p>
            <w:pPr>
              <w:rPr>
                <w:rFonts w:ascii="宋体" w:hAnsi="宋体" w:cs="宋体"/>
                <w:sz w:val="21"/>
                <w:szCs w:val="21"/>
              </w:rPr>
            </w:pPr>
            <w:r>
              <w:rPr>
                <w:rFonts w:hint="eastAsia" w:ascii="宋体" w:hAnsi="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676" w:type="dxa"/>
            <w:vAlign w:val="center"/>
          </w:tcPr>
          <w:p>
            <w:pPr>
              <w:jc w:val="center"/>
              <w:rPr>
                <w:rFonts w:ascii="宋体" w:hAnsi="宋体" w:cs="宋体"/>
                <w:sz w:val="21"/>
                <w:szCs w:val="21"/>
              </w:rPr>
            </w:pPr>
            <w:r>
              <w:rPr>
                <w:rFonts w:hint="eastAsia" w:ascii="宋体" w:hAnsi="宋体" w:cs="宋体"/>
                <w:sz w:val="21"/>
                <w:szCs w:val="21"/>
              </w:rPr>
              <w:t>2</w:t>
            </w:r>
          </w:p>
        </w:tc>
        <w:tc>
          <w:tcPr>
            <w:tcW w:w="3979" w:type="dxa"/>
            <w:gridSpan w:val="2"/>
            <w:vAlign w:val="center"/>
          </w:tcPr>
          <w:p>
            <w:pPr>
              <w:rPr>
                <w:rFonts w:ascii="宋体" w:hAnsi="宋体" w:cs="宋体"/>
                <w:sz w:val="21"/>
                <w:szCs w:val="21"/>
              </w:rPr>
            </w:pPr>
            <w:r>
              <w:rPr>
                <w:rFonts w:hint="eastAsia" w:ascii="宋体" w:hAnsi="宋体" w:cs="宋体"/>
                <w:sz w:val="21"/>
                <w:szCs w:val="21"/>
              </w:rPr>
              <w:t>特定资格条件</w:t>
            </w:r>
          </w:p>
        </w:tc>
        <w:tc>
          <w:tcPr>
            <w:tcW w:w="4973" w:type="dxa"/>
            <w:vAlign w:val="center"/>
          </w:tcPr>
          <w:p>
            <w:pPr>
              <w:rPr>
                <w:rFonts w:ascii="宋体" w:hAnsi="宋体" w:cs="宋体"/>
                <w:b/>
                <w:sz w:val="21"/>
                <w:szCs w:val="21"/>
              </w:rPr>
            </w:pPr>
            <w:r>
              <w:rPr>
                <w:rFonts w:hint="eastAsia" w:ascii="宋体" w:hAnsi="宋体" w:cs="宋体"/>
                <w:b/>
                <w:sz w:val="21"/>
                <w:szCs w:val="21"/>
              </w:rPr>
              <w:t>无</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360" w:lineRule="auto"/>
        <w:ind w:firstLine="450" w:firstLineChars="300"/>
        <w:rPr>
          <w:rFonts w:ascii="宋体" w:hAnsi="宋体" w:cs="宋体"/>
          <w:kern w:val="0"/>
          <w:sz w:val="24"/>
          <w:szCs w:val="24"/>
        </w:rPr>
      </w:pPr>
      <w:r>
        <w:rPr>
          <w:rFonts w:cs="Calibri"/>
          <w:kern w:val="0"/>
          <w:sz w:val="15"/>
          <w:szCs w:val="15"/>
        </w:rPr>
        <w:t>①</w:t>
      </w:r>
      <w:r>
        <w:rPr>
          <w:rFonts w:hint="eastAsia" w:ascii="宋体" w:hAnsi="宋体" w:cs="宋体"/>
          <w:kern w:val="0"/>
          <w:sz w:val="24"/>
          <w:szCs w:val="24"/>
        </w:rPr>
        <w:t>供应商按“多证合一”登记制度办理营业执照的，组织机构代码证、税务登记证（副本）以供应商所提供的营业执照（副本）复印件为准。</w:t>
      </w:r>
    </w:p>
    <w:p>
      <w:pPr>
        <w:snapToGrid w:val="0"/>
        <w:spacing w:line="360" w:lineRule="auto"/>
        <w:ind w:firstLine="420" w:firstLineChars="200"/>
        <w:rPr>
          <w:rFonts w:ascii="宋体" w:hAnsi="宋体" w:cs="宋体"/>
          <w:kern w:val="0"/>
          <w:sz w:val="24"/>
          <w:szCs w:val="24"/>
        </w:rPr>
      </w:pPr>
      <w:r>
        <w:rPr>
          <w:rFonts w:hint="eastAsia" w:ascii="宋体" w:hAnsi="宋体" w:cs="宋体"/>
          <w:sz w:val="21"/>
          <w:szCs w:val="21"/>
        </w:rPr>
        <w:fldChar w:fldCharType="begin"/>
      </w:r>
      <w:r>
        <w:rPr>
          <w:rFonts w:hint="eastAsia" w:ascii="宋体" w:hAnsi="宋体" w:cs="宋体"/>
          <w:sz w:val="21"/>
          <w:szCs w:val="21"/>
        </w:rPr>
        <w:instrText xml:space="preserve"> eq \o\ac(○,</w:instrText>
      </w:r>
      <w:r>
        <w:rPr>
          <w:rFonts w:hint="eastAsia" w:ascii="宋体" w:hAnsi="宋体" w:cs="宋体"/>
          <w:position w:val="2"/>
          <w:sz w:val="14"/>
          <w:szCs w:val="21"/>
        </w:rPr>
        <w:instrText xml:space="preserve">2</w:instrText>
      </w:r>
      <w:r>
        <w:rPr>
          <w:rFonts w:hint="eastAsia" w:ascii="宋体" w:hAnsi="宋体" w:cs="宋体"/>
          <w:sz w:val="21"/>
          <w:szCs w:val="21"/>
        </w:rPr>
        <w:instrText xml:space="preserve">)</w:instrText>
      </w:r>
      <w:r>
        <w:rPr>
          <w:rFonts w:hint="eastAsia" w:ascii="宋体" w:hAnsi="宋体" w:cs="宋体"/>
          <w:sz w:val="21"/>
          <w:szCs w:val="21"/>
        </w:rPr>
        <w:fldChar w:fldCharType="end"/>
      </w:r>
      <w:r>
        <w:rPr>
          <w:rFonts w:hint="eastAsia" w:ascii="宋体" w:hAnsi="宋体" w:cs="宋体"/>
          <w:kern w:val="0"/>
          <w:sz w:val="24"/>
          <w:szCs w:val="24"/>
        </w:rPr>
        <w:t>参加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675"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pPr>
              <w:spacing w:line="240" w:lineRule="exact"/>
              <w:rPr>
                <w:rFonts w:ascii="宋体" w:hAnsi="宋体" w:cs="宋体"/>
                <w:kern w:val="0"/>
                <w:sz w:val="21"/>
                <w:szCs w:val="21"/>
              </w:rPr>
            </w:pPr>
            <w:r>
              <w:rPr>
                <w:rFonts w:hint="eastAsia" w:ascii="宋体" w:hAnsi="宋体" w:cs="宋体"/>
                <w:sz w:val="21"/>
                <w:szCs w:val="21"/>
              </w:rPr>
              <w:t>响应文件签署</w:t>
            </w:r>
          </w:p>
        </w:tc>
        <w:tc>
          <w:tcPr>
            <w:tcW w:w="5409" w:type="dxa"/>
            <w:vAlign w:val="center"/>
          </w:tcPr>
          <w:p>
            <w:pPr>
              <w:spacing w:line="240" w:lineRule="exact"/>
              <w:rPr>
                <w:rFonts w:ascii="宋体" w:hAnsi="宋体" w:cs="宋体"/>
                <w:kern w:val="0"/>
                <w:sz w:val="21"/>
                <w:szCs w:val="21"/>
              </w:rPr>
            </w:pPr>
            <w:r>
              <w:rPr>
                <w:rFonts w:hint="eastAsia" w:ascii="宋体" w:hAnsi="宋体" w:cs="宋体"/>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675" w:type="dxa"/>
            <w:vMerge w:val="continue"/>
            <w:vAlign w:val="center"/>
          </w:tcPr>
          <w:p>
            <w:pPr>
              <w:spacing w:line="240" w:lineRule="exact"/>
              <w:jc w:val="center"/>
              <w:rPr>
                <w:rFonts w:ascii="宋体" w:hAnsi="宋体" w:cs="宋体"/>
                <w:kern w:val="0"/>
                <w:sz w:val="21"/>
                <w:szCs w:val="21"/>
              </w:rPr>
            </w:pPr>
          </w:p>
        </w:tc>
        <w:tc>
          <w:tcPr>
            <w:tcW w:w="1560" w:type="dxa"/>
            <w:vMerge w:val="continue"/>
            <w:vAlign w:val="center"/>
          </w:tcPr>
          <w:p>
            <w:pPr>
              <w:spacing w:line="240" w:lineRule="exact"/>
              <w:rPr>
                <w:rFonts w:ascii="宋体" w:hAnsi="宋体" w:cs="宋体"/>
                <w:kern w:val="0"/>
                <w:sz w:val="21"/>
                <w:szCs w:val="21"/>
              </w:rPr>
            </w:pPr>
          </w:p>
        </w:tc>
        <w:tc>
          <w:tcPr>
            <w:tcW w:w="1984" w:type="dxa"/>
            <w:vAlign w:val="center"/>
          </w:tcPr>
          <w:p>
            <w:pPr>
              <w:spacing w:line="240" w:lineRule="exact"/>
              <w:rPr>
                <w:rFonts w:ascii="宋体" w:hAnsi="宋体" w:cs="宋体"/>
                <w:sz w:val="21"/>
                <w:szCs w:val="21"/>
              </w:rPr>
            </w:pPr>
            <w:r>
              <w:rPr>
                <w:rFonts w:hint="eastAsia" w:ascii="宋体" w:hAnsi="宋体" w:cs="宋体"/>
                <w:sz w:val="21"/>
                <w:szCs w:val="21"/>
              </w:rPr>
              <w:t>法定代表人身份证明及授权委托书</w:t>
            </w:r>
          </w:p>
        </w:tc>
        <w:tc>
          <w:tcPr>
            <w:tcW w:w="5409" w:type="dxa"/>
            <w:vAlign w:val="center"/>
          </w:tcPr>
          <w:p>
            <w:pPr>
              <w:spacing w:line="240" w:lineRule="exact"/>
              <w:rPr>
                <w:rFonts w:ascii="宋体" w:hAnsi="宋体" w:cs="宋体"/>
                <w:sz w:val="21"/>
                <w:szCs w:val="21"/>
              </w:rPr>
            </w:pPr>
            <w:r>
              <w:rPr>
                <w:rFonts w:hint="eastAsia" w:ascii="宋体" w:hAnsi="宋体" w:cs="宋体"/>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675" w:type="dxa"/>
            <w:vMerge w:val="continue"/>
            <w:vAlign w:val="center"/>
          </w:tcPr>
          <w:p>
            <w:pPr>
              <w:spacing w:line="240" w:lineRule="exact"/>
              <w:jc w:val="center"/>
              <w:rPr>
                <w:rFonts w:ascii="宋体" w:hAnsi="宋体" w:cs="宋体"/>
                <w:kern w:val="0"/>
                <w:sz w:val="21"/>
                <w:szCs w:val="21"/>
              </w:rPr>
            </w:pPr>
          </w:p>
        </w:tc>
        <w:tc>
          <w:tcPr>
            <w:tcW w:w="1560" w:type="dxa"/>
            <w:vMerge w:val="continue"/>
            <w:vAlign w:val="center"/>
          </w:tcPr>
          <w:p>
            <w:pPr>
              <w:spacing w:line="240" w:lineRule="exact"/>
              <w:rPr>
                <w:rFonts w:ascii="宋体" w:hAnsi="宋体" w:cs="宋体"/>
                <w:kern w:val="0"/>
                <w:sz w:val="21"/>
                <w:szCs w:val="21"/>
              </w:rPr>
            </w:pPr>
          </w:p>
        </w:tc>
        <w:tc>
          <w:tcPr>
            <w:tcW w:w="1984" w:type="dxa"/>
            <w:vAlign w:val="center"/>
          </w:tcPr>
          <w:p>
            <w:pPr>
              <w:spacing w:line="240" w:lineRule="exact"/>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vAlign w:val="center"/>
          </w:tcPr>
          <w:p>
            <w:pPr>
              <w:spacing w:line="240" w:lineRule="exact"/>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675" w:type="dxa"/>
            <w:vMerge w:val="continue"/>
            <w:vAlign w:val="center"/>
          </w:tcPr>
          <w:p>
            <w:pPr>
              <w:spacing w:line="240" w:lineRule="exact"/>
              <w:jc w:val="center"/>
              <w:rPr>
                <w:rFonts w:ascii="宋体" w:hAnsi="宋体" w:cs="宋体"/>
                <w:kern w:val="0"/>
                <w:sz w:val="21"/>
                <w:szCs w:val="21"/>
              </w:rPr>
            </w:pPr>
          </w:p>
        </w:tc>
        <w:tc>
          <w:tcPr>
            <w:tcW w:w="1560" w:type="dxa"/>
            <w:vMerge w:val="continue"/>
            <w:vAlign w:val="center"/>
          </w:tcPr>
          <w:p>
            <w:pPr>
              <w:spacing w:line="240" w:lineRule="exact"/>
              <w:rPr>
                <w:rFonts w:ascii="宋体" w:hAnsi="宋体" w:cs="宋体"/>
                <w:kern w:val="0"/>
                <w:sz w:val="21"/>
                <w:szCs w:val="21"/>
              </w:rPr>
            </w:pPr>
          </w:p>
        </w:tc>
        <w:tc>
          <w:tcPr>
            <w:tcW w:w="1984" w:type="dxa"/>
            <w:vAlign w:val="center"/>
          </w:tcPr>
          <w:p>
            <w:pPr>
              <w:spacing w:line="240" w:lineRule="exact"/>
              <w:rPr>
                <w:rFonts w:ascii="宋体" w:hAnsi="宋体" w:cs="宋体"/>
                <w:sz w:val="21"/>
                <w:szCs w:val="21"/>
                <w:lang w:val="zh-CN"/>
              </w:rPr>
            </w:pPr>
            <w:r>
              <w:rPr>
                <w:rFonts w:hint="eastAsia" w:ascii="宋体" w:hAnsi="宋体" w:cs="宋体"/>
                <w:sz w:val="21"/>
                <w:szCs w:val="21"/>
              </w:rPr>
              <w:t>报价唯一</w:t>
            </w:r>
          </w:p>
        </w:tc>
        <w:tc>
          <w:tcPr>
            <w:tcW w:w="5409" w:type="dxa"/>
            <w:vAlign w:val="center"/>
          </w:tcPr>
          <w:p>
            <w:pPr>
              <w:spacing w:line="240" w:lineRule="exact"/>
              <w:rPr>
                <w:rFonts w:ascii="宋体" w:hAnsi="宋体" w:cs="宋体"/>
                <w:kern w:val="0"/>
                <w:sz w:val="21"/>
                <w:szCs w:val="21"/>
              </w:rPr>
            </w:pPr>
            <w:r>
              <w:rPr>
                <w:rFonts w:hint="eastAsia" w:ascii="宋体" w:hAnsi="宋体" w:cs="宋体"/>
                <w:sz w:val="21"/>
                <w:szCs w:val="21"/>
                <w:lang w:val="zh-CN"/>
              </w:rPr>
              <w:t>只能在采购预算和最高限价范围内报价，</w:t>
            </w: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675"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60"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pPr>
              <w:spacing w:line="240" w:lineRule="exact"/>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vAlign w:val="center"/>
          </w:tcPr>
          <w:p>
            <w:pPr>
              <w:spacing w:line="240" w:lineRule="exact"/>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文件正、副本数量符合</w:t>
            </w:r>
            <w:r>
              <w:rPr>
                <w:rFonts w:hint="eastAsia" w:ascii="宋体" w:hAnsi="宋体" w:cs="宋体"/>
                <w:sz w:val="21"/>
                <w:szCs w:val="21"/>
              </w:rPr>
              <w:t>竞争性磋商</w:t>
            </w:r>
            <w:r>
              <w:rPr>
                <w:rFonts w:hint="eastAsia" w:ascii="宋体" w:hAnsi="宋体" w:cs="宋体"/>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pPr>
              <w:spacing w:line="240" w:lineRule="exact"/>
              <w:rPr>
                <w:rFonts w:ascii="宋体" w:hAnsi="宋体" w:cs="宋体"/>
                <w:sz w:val="21"/>
                <w:szCs w:val="21"/>
                <w:lang w:val="zh-CN"/>
              </w:rPr>
            </w:pPr>
            <w:r>
              <w:rPr>
                <w:rFonts w:hint="eastAsia" w:ascii="宋体" w:hAnsi="宋体" w:cs="宋体"/>
                <w:kern w:val="0"/>
                <w:sz w:val="21"/>
                <w:szCs w:val="21"/>
              </w:rPr>
              <w:t>竞争性磋商文件的响应程度审查</w:t>
            </w:r>
          </w:p>
        </w:tc>
        <w:tc>
          <w:tcPr>
            <w:tcW w:w="1984"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409" w:type="dxa"/>
            <w:vAlign w:val="center"/>
          </w:tcPr>
          <w:p>
            <w:pPr>
              <w:pStyle w:val="8"/>
              <w:spacing w:line="240" w:lineRule="exact"/>
              <w:rPr>
                <w:rFonts w:ascii="宋体" w:hAnsi="宋体" w:cs="宋体"/>
                <w:kern w:val="0"/>
                <w:sz w:val="21"/>
                <w:szCs w:val="21"/>
              </w:rPr>
            </w:pPr>
            <w:r>
              <w:rPr>
                <w:rFonts w:hint="eastAsia" w:ascii="宋体" w:hAnsi="宋体" w:cs="宋体"/>
                <w:kern w:val="0"/>
                <w:sz w:val="21"/>
                <w:szCs w:val="21"/>
              </w:rPr>
              <w:t>对竞争性磋商文件第二篇</w:t>
            </w:r>
            <w:r>
              <w:rPr>
                <w:rFonts w:hint="eastAsia" w:ascii="宋体" w:hAnsi="宋体"/>
                <w:sz w:val="21"/>
                <w:szCs w:val="21"/>
              </w:rPr>
              <w:t>实质性要求</w:t>
            </w:r>
            <w:r>
              <w:rPr>
                <w:rFonts w:hint="eastAsia" w:ascii="宋体" w:hAnsi="宋体" w:cs="宋体"/>
                <w:kern w:val="0"/>
                <w:sz w:val="21"/>
                <w:szCs w:val="21"/>
              </w:rPr>
              <w:t>内容、第三篇全部内容作出响应。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675" w:type="dxa"/>
            <w:vMerge w:val="continue"/>
            <w:vAlign w:val="center"/>
          </w:tcPr>
          <w:p>
            <w:pPr>
              <w:spacing w:line="240" w:lineRule="exact"/>
              <w:jc w:val="center"/>
              <w:rPr>
                <w:rFonts w:ascii="宋体" w:hAnsi="宋体" w:cs="宋体"/>
                <w:kern w:val="0"/>
                <w:sz w:val="21"/>
                <w:szCs w:val="21"/>
              </w:rPr>
            </w:pPr>
          </w:p>
        </w:tc>
        <w:tc>
          <w:tcPr>
            <w:tcW w:w="1560" w:type="dxa"/>
            <w:vMerge w:val="continue"/>
            <w:vAlign w:val="center"/>
          </w:tcPr>
          <w:p>
            <w:pPr>
              <w:spacing w:line="240" w:lineRule="exact"/>
              <w:rPr>
                <w:rFonts w:ascii="宋体" w:hAnsi="宋体" w:cs="宋体"/>
                <w:sz w:val="21"/>
                <w:szCs w:val="21"/>
                <w:lang w:val="zh-CN"/>
              </w:rPr>
            </w:pPr>
          </w:p>
        </w:tc>
        <w:tc>
          <w:tcPr>
            <w:tcW w:w="1984"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409"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满足磋商文件</w:t>
            </w:r>
            <w:r>
              <w:rPr>
                <w:rFonts w:hint="eastAsia" w:ascii="宋体" w:hAnsi="宋体" w:cs="宋体"/>
                <w:sz w:val="21"/>
                <w:szCs w:val="21"/>
                <w:lang w:val="zh-CN"/>
              </w:rPr>
              <w:t>规定。</w:t>
            </w:r>
          </w:p>
        </w:tc>
      </w:tr>
    </w:tbl>
    <w:p>
      <w:pPr>
        <w:spacing w:line="360" w:lineRule="auto"/>
        <w:ind w:firstLine="480" w:firstLineChars="200"/>
        <w:rPr>
          <w:rFonts w:ascii="宋体" w:hAnsi="宋体" w:cs="宋体"/>
          <w:sz w:val="24"/>
          <w:szCs w:val="24"/>
        </w:rPr>
      </w:pPr>
      <w:r>
        <w:rPr>
          <w:rFonts w:hint="eastAsia" w:ascii="宋体" w:hAnsi="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z w:val="24"/>
          <w:szCs w:val="24"/>
        </w:rPr>
      </w:pPr>
      <w:r>
        <w:rPr>
          <w:rFonts w:hint="eastAsia" w:ascii="宋体" w:hAnsi="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s="宋体"/>
          <w:sz w:val="24"/>
          <w:szCs w:val="24"/>
        </w:rPr>
      </w:pPr>
      <w:r>
        <w:rPr>
          <w:rFonts w:hint="eastAsia" w:ascii="宋体" w:hAnsi="宋体" w:cs="宋体"/>
          <w:sz w:val="24"/>
          <w:szCs w:val="24"/>
        </w:rPr>
        <w:t>（五）在磋商过程中磋商的任何一方不得向他人透露与磋商有关的服务资料、价格或其他信息。</w:t>
      </w:r>
    </w:p>
    <w:p>
      <w:pPr>
        <w:spacing w:line="360" w:lineRule="auto"/>
        <w:ind w:firstLine="480" w:firstLineChars="200"/>
        <w:rPr>
          <w:rFonts w:ascii="宋体" w:hAnsi="宋体" w:cs="宋体"/>
          <w:sz w:val="24"/>
          <w:szCs w:val="24"/>
        </w:rPr>
      </w:pPr>
      <w:r>
        <w:rPr>
          <w:rFonts w:hint="eastAsia" w:ascii="宋体" w:hAnsi="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hAnsi="宋体" w:cs="宋体"/>
          <w:sz w:val="24"/>
          <w:szCs w:val="24"/>
        </w:rPr>
      </w:pPr>
      <w:r>
        <w:rPr>
          <w:rFonts w:hint="eastAsia" w:ascii="宋体" w:hAnsi="宋体" w:cs="宋体"/>
          <w:sz w:val="24"/>
          <w:szCs w:val="24"/>
        </w:rPr>
        <w:t>（七）供应商在磋商时作出的所有书面承诺须由法定代表人或其授权代表签字。</w:t>
      </w:r>
    </w:p>
    <w:p>
      <w:pPr>
        <w:spacing w:line="360" w:lineRule="auto"/>
        <w:ind w:firstLine="480" w:firstLineChars="200"/>
        <w:rPr>
          <w:rFonts w:ascii="宋体" w:hAnsi="宋体" w:cs="宋体"/>
          <w:sz w:val="24"/>
          <w:szCs w:val="24"/>
        </w:rPr>
      </w:pPr>
      <w:r>
        <w:rPr>
          <w:rFonts w:hint="eastAsia" w:ascii="宋体" w:hAnsi="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初始报价为准。</w:t>
      </w:r>
    </w:p>
    <w:p>
      <w:pPr>
        <w:spacing w:line="360" w:lineRule="auto"/>
        <w:ind w:firstLine="480" w:firstLineChars="200"/>
        <w:rPr>
          <w:rFonts w:ascii="宋体" w:hAnsi="宋体" w:cs="宋体"/>
          <w:sz w:val="24"/>
          <w:szCs w:val="24"/>
        </w:rPr>
      </w:pPr>
      <w:r>
        <w:rPr>
          <w:rFonts w:hint="eastAsia" w:ascii="宋体" w:hAnsi="宋体" w:cs="宋体"/>
          <w:sz w:val="24"/>
          <w:szCs w:val="24"/>
        </w:rPr>
        <w:t>（九）磋商小组采用综合评分法对提交最后报价的供应商的响应文件和最后报价（含有效书面承诺）进行综合评分。</w:t>
      </w:r>
      <w:r>
        <w:rPr>
          <w:rFonts w:hint="eastAsia" w:ascii="宋体" w:hAnsi="宋体" w:cs="宋体"/>
          <w:kern w:val="0"/>
          <w:sz w:val="24"/>
          <w:szCs w:val="24"/>
        </w:rPr>
        <w:t>综合评分法，是指响应文件满足竞争性磋商文件全部实质性要求且按照评审因素的量化指标评审得分最高的供应商为成交候选供应商的评审方法。供应商总得分为磋商报价、技术部分等评定因素分别按照相应权重值计算分项得分后相加，满分为100分</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（十）磋商小组各成员独立对每个有效响应（通过资格性检查、</w:t>
      </w:r>
      <w:r>
        <w:rPr>
          <w:rFonts w:hint="eastAsia" w:ascii="宋体" w:hAnsi="宋体" w:cs="宋体"/>
          <w:kern w:val="0"/>
          <w:sz w:val="24"/>
          <w:szCs w:val="24"/>
        </w:rPr>
        <w:t>符合性检查的供应商</w:t>
      </w:r>
      <w:r>
        <w:rPr>
          <w:rFonts w:hint="eastAsia" w:ascii="宋体" w:hAnsi="宋体" w:cs="宋体"/>
          <w:sz w:val="24"/>
          <w:szCs w:val="24"/>
        </w:rPr>
        <w:t>）的文件进行评价、打分，然后汇总每个供应商每项评分因素的得分，并根据综合评分情况按照评审得分由高到低顺序推荐3名及以上成交候选供应商，并编写评审报告。若供应商的评审得分相同的，按照最后报价由低到高的顺序排列推荐。评审得分且最后报价相同的，按照技术部分优劣顺序排列推荐。</w:t>
      </w:r>
    </w:p>
    <w:p>
      <w:pPr>
        <w:pStyle w:val="5"/>
      </w:pPr>
      <w:bookmarkStart w:id="115" w:name="_Toc3927_WPSOffice_Level2"/>
      <w:bookmarkStart w:id="116" w:name="_Toc9296"/>
      <w:bookmarkStart w:id="117" w:name="_Toc150506538"/>
      <w:r>
        <w:rPr>
          <w:rFonts w:hint="eastAsia"/>
        </w:rPr>
        <w:t>二、</w:t>
      </w:r>
      <w:bookmarkStart w:id="118" w:name="_Toc342913394"/>
      <w:bookmarkStart w:id="119" w:name="_Toc102227320"/>
      <w:r>
        <w:rPr>
          <w:rFonts w:hint="eastAsia"/>
        </w:rPr>
        <w:t>评审标准</w:t>
      </w:r>
      <w:bookmarkEnd w:id="113"/>
      <w:bookmarkEnd w:id="114"/>
      <w:bookmarkEnd w:id="115"/>
      <w:bookmarkEnd w:id="116"/>
      <w:bookmarkEnd w:id="117"/>
    </w:p>
    <w:tbl>
      <w:tblPr>
        <w:tblStyle w:val="13"/>
        <w:tblpPr w:leftFromText="180" w:rightFromText="180" w:vertAnchor="text" w:horzAnchor="page" w:tblpX="1162" w:tblpY="554"/>
        <w:tblOverlap w:val="never"/>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82"/>
        <w:gridCol w:w="1276"/>
        <w:gridCol w:w="507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8"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b/>
                <w:bCs/>
                <w:sz w:val="24"/>
                <w:szCs w:val="24"/>
              </w:rPr>
            </w:pPr>
            <w:bookmarkStart w:id="120" w:name="_Toc535311841"/>
            <w:bookmarkStart w:id="121" w:name="_Toc1486"/>
            <w:bookmarkStart w:id="122" w:name="_Toc26385"/>
            <w:bookmarkStart w:id="123" w:name="_Toc226"/>
            <w:r>
              <w:rPr>
                <w:rFonts w:hint="eastAsia" w:ascii="宋体" w:hAnsi="宋体"/>
                <w:b/>
                <w:bCs/>
                <w:sz w:val="24"/>
                <w:szCs w:val="24"/>
              </w:rPr>
              <w:t>序号</w:t>
            </w:r>
          </w:p>
        </w:tc>
        <w:tc>
          <w:tcPr>
            <w:tcW w:w="13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bCs/>
                <w:sz w:val="24"/>
                <w:szCs w:val="24"/>
              </w:rPr>
            </w:pPr>
            <w:r>
              <w:rPr>
                <w:rFonts w:hint="eastAsia" w:ascii="宋体" w:hAnsi="宋体"/>
                <w:b/>
                <w:bCs/>
                <w:sz w:val="24"/>
                <w:szCs w:val="24"/>
              </w:rPr>
              <w:t>评分因素及权值</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b/>
                <w:bCs/>
                <w:sz w:val="24"/>
                <w:szCs w:val="24"/>
              </w:rPr>
            </w:pPr>
            <w:r>
              <w:rPr>
                <w:rFonts w:hint="eastAsia" w:ascii="宋体" w:hAnsi="宋体"/>
                <w:b/>
                <w:bCs/>
                <w:sz w:val="24"/>
                <w:szCs w:val="24"/>
              </w:rPr>
              <w:t>分值</w:t>
            </w:r>
          </w:p>
        </w:tc>
        <w:tc>
          <w:tcPr>
            <w:tcW w:w="5074"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b/>
                <w:bCs/>
                <w:sz w:val="24"/>
                <w:szCs w:val="24"/>
              </w:rPr>
            </w:pPr>
            <w:r>
              <w:rPr>
                <w:rFonts w:hint="eastAsia" w:ascii="宋体" w:hAnsi="宋体"/>
                <w:b/>
                <w:bCs/>
                <w:sz w:val="24"/>
                <w:szCs w:val="24"/>
              </w:rPr>
              <w:t>评分标准</w:t>
            </w:r>
          </w:p>
        </w:tc>
        <w:tc>
          <w:tcPr>
            <w:tcW w:w="201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b/>
                <w:bCs/>
                <w:sz w:val="24"/>
                <w:szCs w:val="24"/>
              </w:rPr>
            </w:pPr>
            <w:r>
              <w:rPr>
                <w:rFonts w:hint="eastAsia" w:ascii="宋体" w:hAnsi="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8"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szCs w:val="24"/>
              </w:rPr>
            </w:pPr>
            <w:r>
              <w:rPr>
                <w:rFonts w:hint="eastAsia" w:ascii="宋体" w:hAnsi="宋体"/>
                <w:sz w:val="24"/>
                <w:szCs w:val="24"/>
              </w:rPr>
              <w:t>1</w:t>
            </w:r>
          </w:p>
        </w:tc>
        <w:tc>
          <w:tcPr>
            <w:tcW w:w="138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szCs w:val="24"/>
              </w:rPr>
            </w:pPr>
            <w:r>
              <w:rPr>
                <w:rFonts w:hint="eastAsia" w:ascii="宋体" w:hAnsi="宋体"/>
                <w:sz w:val="24"/>
                <w:szCs w:val="24"/>
              </w:rPr>
              <w:t>价格部分</w:t>
            </w:r>
          </w:p>
          <w:p>
            <w:pPr>
              <w:spacing w:line="560" w:lineRule="exact"/>
              <w:jc w:val="left"/>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0分）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价格分（</w:t>
            </w:r>
            <w:r>
              <w:rPr>
                <w:rFonts w:ascii="宋体" w:hAnsi="宋体" w:cs="宋体"/>
                <w:sz w:val="22"/>
                <w:szCs w:val="22"/>
              </w:rPr>
              <w:t>30</w:t>
            </w:r>
            <w:r>
              <w:rPr>
                <w:rFonts w:hint="eastAsia" w:ascii="宋体" w:hAnsi="宋体" w:cs="宋体"/>
                <w:sz w:val="22"/>
                <w:szCs w:val="22"/>
              </w:rPr>
              <w:t>分）</w:t>
            </w:r>
          </w:p>
        </w:tc>
        <w:tc>
          <w:tcPr>
            <w:tcW w:w="507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满足资格性、符合性要求且最后报价最低的供应商的价格为磋商基准价，其价格分为满分。其他供应商的价格分统一按照下列公式计算：</w:t>
            </w:r>
          </w:p>
          <w:p>
            <w:pPr>
              <w:widowControl/>
              <w:snapToGrid w:val="0"/>
              <w:spacing w:line="360" w:lineRule="exact"/>
              <w:rPr>
                <w:rFonts w:ascii="宋体" w:hAnsi="宋体" w:cs="宋体"/>
                <w:sz w:val="22"/>
                <w:szCs w:val="22"/>
              </w:rPr>
            </w:pPr>
            <w:r>
              <w:rPr>
                <w:rFonts w:hint="eastAsia" w:ascii="宋体" w:hAnsi="宋体" w:cs="宋体"/>
                <w:sz w:val="22"/>
                <w:szCs w:val="22"/>
              </w:rPr>
              <w:t>磋商报价得分=（磋商基准价/最后磋商报价）×价格权值×100</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对小型和微型企业产品的价格给予6%的扣除，用扣除后的价格参与评审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8" w:type="dxa"/>
            <w:vMerge w:val="restart"/>
            <w:tcBorders>
              <w:top w:val="nil"/>
              <w:left w:val="single" w:color="auto" w:sz="4" w:space="0"/>
              <w:right w:val="single" w:color="auto" w:sz="4" w:space="0"/>
            </w:tcBorders>
            <w:vAlign w:val="center"/>
          </w:tcPr>
          <w:p>
            <w:pPr>
              <w:spacing w:line="560" w:lineRule="exact"/>
              <w:jc w:val="left"/>
              <w:rPr>
                <w:rFonts w:ascii="宋体" w:hAnsi="宋体"/>
                <w:sz w:val="24"/>
                <w:szCs w:val="24"/>
              </w:rPr>
            </w:pPr>
            <w:r>
              <w:rPr>
                <w:rFonts w:hint="eastAsia" w:ascii="宋体" w:hAnsi="宋体"/>
                <w:sz w:val="24"/>
                <w:szCs w:val="24"/>
              </w:rPr>
              <w:t>2</w:t>
            </w:r>
          </w:p>
        </w:tc>
        <w:tc>
          <w:tcPr>
            <w:tcW w:w="1382" w:type="dxa"/>
            <w:vMerge w:val="restart"/>
            <w:tcBorders>
              <w:top w:val="nil"/>
              <w:left w:val="single" w:color="auto" w:sz="4" w:space="0"/>
              <w:right w:val="single" w:color="auto" w:sz="4" w:space="0"/>
            </w:tcBorders>
            <w:vAlign w:val="center"/>
          </w:tcPr>
          <w:p>
            <w:pPr>
              <w:spacing w:line="560" w:lineRule="exact"/>
              <w:jc w:val="left"/>
              <w:rPr>
                <w:rFonts w:ascii="宋体" w:hAnsi="宋体"/>
                <w:sz w:val="24"/>
                <w:szCs w:val="24"/>
              </w:rPr>
            </w:pPr>
            <w:r>
              <w:rPr>
                <w:rFonts w:hint="eastAsia" w:ascii="宋体" w:hAnsi="宋体"/>
                <w:sz w:val="24"/>
                <w:szCs w:val="24"/>
              </w:rPr>
              <w:t>设计部分</w:t>
            </w:r>
          </w:p>
          <w:p>
            <w:pPr>
              <w:spacing w:line="560" w:lineRule="exact"/>
              <w:jc w:val="left"/>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0分）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技术响应程度（</w:t>
            </w:r>
            <w:r>
              <w:rPr>
                <w:rFonts w:ascii="宋体" w:hAnsi="宋体" w:cs="宋体"/>
                <w:sz w:val="22"/>
                <w:szCs w:val="22"/>
              </w:rPr>
              <w:t>1</w:t>
            </w:r>
            <w:r>
              <w:rPr>
                <w:rFonts w:hint="eastAsia" w:ascii="宋体" w:hAnsi="宋体" w:cs="宋体"/>
                <w:sz w:val="22"/>
                <w:szCs w:val="22"/>
              </w:rPr>
              <w:t>0分）</w:t>
            </w:r>
          </w:p>
        </w:tc>
        <w:tc>
          <w:tcPr>
            <w:tcW w:w="507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 xml:space="preserve">技术参数响应情况: </w:t>
            </w:r>
          </w:p>
          <w:p>
            <w:pPr>
              <w:widowControl/>
              <w:snapToGrid w:val="0"/>
              <w:spacing w:line="360" w:lineRule="exact"/>
              <w:rPr>
                <w:rFonts w:ascii="宋体" w:hAnsi="宋体" w:cs="宋体"/>
                <w:sz w:val="22"/>
                <w:szCs w:val="22"/>
              </w:rPr>
            </w:pPr>
            <w:r>
              <w:rPr>
                <w:rFonts w:hint="eastAsia" w:ascii="宋体" w:hAnsi="宋体" w:cs="宋体"/>
                <w:sz w:val="22"/>
                <w:szCs w:val="22"/>
              </w:rPr>
              <w:t>1.根据投标人对采购文件中的采购需求响应情况进行打分，满分10分；</w:t>
            </w:r>
          </w:p>
          <w:p>
            <w:pPr>
              <w:widowControl/>
              <w:snapToGrid w:val="0"/>
              <w:spacing w:line="360" w:lineRule="exact"/>
              <w:rPr>
                <w:rFonts w:ascii="宋体" w:hAnsi="宋体" w:cs="宋体"/>
                <w:sz w:val="22"/>
                <w:szCs w:val="22"/>
              </w:rPr>
            </w:pPr>
            <w:r>
              <w:rPr>
                <w:rFonts w:hint="eastAsia" w:ascii="宋体" w:hAnsi="宋体" w:cs="宋体"/>
                <w:sz w:val="22"/>
                <w:szCs w:val="22"/>
              </w:rPr>
              <w:t>供应商投标书里的技术参数全部满足招标文件技术要求的，得</w:t>
            </w:r>
            <w:r>
              <w:rPr>
                <w:rFonts w:ascii="宋体" w:hAnsi="宋体" w:cs="宋体"/>
                <w:sz w:val="22"/>
                <w:szCs w:val="22"/>
              </w:rPr>
              <w:t>1</w:t>
            </w:r>
            <w:r>
              <w:rPr>
                <w:rFonts w:hint="eastAsia" w:ascii="宋体" w:hAnsi="宋体" w:cs="宋体"/>
                <w:sz w:val="22"/>
                <w:szCs w:val="22"/>
              </w:rPr>
              <w:t>0分。</w:t>
            </w:r>
          </w:p>
          <w:p>
            <w:pPr>
              <w:pStyle w:val="3"/>
            </w:pPr>
            <w:r>
              <w:rPr>
                <w:rFonts w:ascii="宋体" w:hAnsi="宋体" w:cs="宋体"/>
                <w:sz w:val="22"/>
                <w:szCs w:val="22"/>
              </w:rPr>
              <w:t>如一条不满足，扣</w:t>
            </w:r>
            <w:r>
              <w:rPr>
                <w:rFonts w:hint="eastAsia" w:ascii="宋体" w:hAnsi="宋体" w:cs="宋体"/>
                <w:sz w:val="22"/>
                <w:szCs w:val="22"/>
              </w:rPr>
              <w:t>1分，扣完为止；优于招标文件技术参数不加分。</w:t>
            </w:r>
          </w:p>
          <w:p>
            <w:pPr>
              <w:pStyle w:val="2"/>
            </w:pPr>
          </w:p>
        </w:tc>
        <w:tc>
          <w:tcPr>
            <w:tcW w:w="201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8" w:type="dxa"/>
            <w:vMerge w:val="continue"/>
            <w:tcBorders>
              <w:left w:val="single" w:color="auto" w:sz="4" w:space="0"/>
              <w:bottom w:val="single" w:color="auto" w:sz="4" w:space="0"/>
              <w:right w:val="single" w:color="auto" w:sz="4" w:space="0"/>
            </w:tcBorders>
            <w:vAlign w:val="center"/>
          </w:tcPr>
          <w:p>
            <w:pPr>
              <w:spacing w:line="560" w:lineRule="exact"/>
              <w:jc w:val="left"/>
              <w:rPr>
                <w:rFonts w:ascii="宋体" w:hAnsi="宋体"/>
                <w:sz w:val="24"/>
                <w:szCs w:val="24"/>
              </w:rPr>
            </w:pPr>
          </w:p>
        </w:tc>
        <w:tc>
          <w:tcPr>
            <w:tcW w:w="1382" w:type="dxa"/>
            <w:vMerge w:val="continue"/>
            <w:tcBorders>
              <w:left w:val="single" w:color="auto" w:sz="4" w:space="0"/>
              <w:bottom w:val="single" w:color="auto" w:sz="4" w:space="0"/>
              <w:right w:val="single" w:color="auto" w:sz="4" w:space="0"/>
            </w:tcBorders>
            <w:vAlign w:val="center"/>
          </w:tcPr>
          <w:p>
            <w:pPr>
              <w:spacing w:line="560" w:lineRule="exact"/>
              <w:jc w:val="left"/>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设计方案（</w:t>
            </w:r>
            <w:r>
              <w:rPr>
                <w:rFonts w:ascii="宋体" w:hAnsi="宋体" w:cs="宋体"/>
                <w:sz w:val="22"/>
                <w:szCs w:val="22"/>
              </w:rPr>
              <w:t>3</w:t>
            </w:r>
            <w:r>
              <w:rPr>
                <w:rFonts w:hint="eastAsia" w:ascii="宋体" w:hAnsi="宋体" w:cs="宋体"/>
                <w:sz w:val="22"/>
                <w:szCs w:val="22"/>
              </w:rPr>
              <w:t>0分）</w:t>
            </w:r>
          </w:p>
        </w:tc>
        <w:tc>
          <w:tcPr>
            <w:tcW w:w="507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napToGrid w:val="0"/>
              <w:spacing w:line="360" w:lineRule="exact"/>
              <w:rPr>
                <w:rFonts w:ascii="宋体" w:hAnsi="宋体" w:cs="宋体"/>
                <w:sz w:val="22"/>
                <w:szCs w:val="22"/>
              </w:rPr>
            </w:pPr>
            <w:r>
              <w:rPr>
                <w:rFonts w:hint="eastAsia" w:ascii="宋体" w:hAnsi="宋体" w:cs="宋体"/>
                <w:sz w:val="22"/>
                <w:szCs w:val="22"/>
              </w:rPr>
              <w:t>符合相关法律法规，如不得涉及政治、宗教等敏感话题，不得侵犯他人的合法权益等（经专家鉴定，出现法律法规、政治、宗教等敏感话题等任一负面情况，设计方案记0分）。</w:t>
            </w:r>
          </w:p>
          <w:p>
            <w:pPr>
              <w:widowControl/>
              <w:numPr>
                <w:ilvl w:val="0"/>
                <w:numId w:val="3"/>
              </w:numPr>
              <w:snapToGrid w:val="0"/>
              <w:spacing w:line="360" w:lineRule="exact"/>
              <w:rPr>
                <w:rFonts w:ascii="宋体" w:hAnsi="宋体" w:cs="宋体"/>
                <w:sz w:val="22"/>
                <w:szCs w:val="22"/>
              </w:rPr>
            </w:pPr>
            <w:r>
              <w:rPr>
                <w:rFonts w:hint="eastAsia" w:ascii="宋体" w:hAnsi="宋体" w:cs="宋体"/>
                <w:sz w:val="22"/>
                <w:szCs w:val="22"/>
              </w:rPr>
              <w:t>园区的设计应该体现多元文化的特点，展示不同国家、不同文化的元素，以促进不同文化之间的交流和理解（未提供得0分，提供得</w:t>
            </w:r>
            <w:r>
              <w:rPr>
                <w:rFonts w:ascii="宋体" w:hAnsi="宋体" w:cs="宋体"/>
                <w:sz w:val="22"/>
                <w:szCs w:val="22"/>
              </w:rPr>
              <w:t>2</w:t>
            </w:r>
            <w:r>
              <w:rPr>
                <w:rFonts w:hint="eastAsia" w:ascii="宋体" w:hAnsi="宋体" w:cs="宋体"/>
                <w:sz w:val="22"/>
                <w:szCs w:val="22"/>
              </w:rPr>
              <w:t>分，基本满足项目需求得</w:t>
            </w:r>
            <w:r>
              <w:rPr>
                <w:rFonts w:ascii="宋体" w:hAnsi="宋体" w:cs="宋体"/>
                <w:sz w:val="22"/>
                <w:szCs w:val="22"/>
              </w:rPr>
              <w:t>5</w:t>
            </w:r>
            <w:r>
              <w:rPr>
                <w:rFonts w:hint="eastAsia" w:ascii="宋体" w:hAnsi="宋体" w:cs="宋体"/>
                <w:sz w:val="22"/>
                <w:szCs w:val="22"/>
              </w:rPr>
              <w:t>分，完全满足项目需求得1</w:t>
            </w:r>
            <w:r>
              <w:rPr>
                <w:rFonts w:ascii="宋体" w:hAnsi="宋体" w:cs="宋体"/>
                <w:sz w:val="22"/>
                <w:szCs w:val="22"/>
              </w:rPr>
              <w:t>0</w:t>
            </w:r>
            <w:r>
              <w:rPr>
                <w:rFonts w:hint="eastAsia" w:ascii="宋体" w:hAnsi="宋体" w:cs="宋体"/>
                <w:sz w:val="22"/>
                <w:szCs w:val="22"/>
              </w:rPr>
              <w:t>分）。</w:t>
            </w:r>
          </w:p>
          <w:p>
            <w:pPr>
              <w:widowControl/>
              <w:numPr>
                <w:ilvl w:val="0"/>
                <w:numId w:val="3"/>
              </w:numPr>
              <w:snapToGrid w:val="0"/>
              <w:spacing w:line="360" w:lineRule="exact"/>
              <w:rPr>
                <w:rFonts w:ascii="宋体" w:hAnsi="宋体" w:cs="宋体"/>
                <w:sz w:val="22"/>
                <w:szCs w:val="22"/>
              </w:rPr>
            </w:pPr>
            <w:r>
              <w:rPr>
                <w:rFonts w:hint="eastAsia" w:ascii="宋体" w:hAnsi="宋体" w:cs="宋体"/>
                <w:sz w:val="22"/>
                <w:szCs w:val="22"/>
              </w:rPr>
              <w:t>园区的设计应该突出国际教育学院的特色，展示学院的教育理念、办学特色、学生风采等内容（未提供得0分，提供得</w:t>
            </w:r>
            <w:r>
              <w:rPr>
                <w:rFonts w:ascii="宋体" w:hAnsi="宋体" w:cs="宋体"/>
                <w:sz w:val="22"/>
                <w:szCs w:val="22"/>
              </w:rPr>
              <w:t>2</w:t>
            </w:r>
            <w:r>
              <w:rPr>
                <w:rFonts w:hint="eastAsia" w:ascii="宋体" w:hAnsi="宋体" w:cs="宋体"/>
                <w:sz w:val="22"/>
                <w:szCs w:val="22"/>
              </w:rPr>
              <w:t>分，基本满足项目需求得</w:t>
            </w:r>
            <w:r>
              <w:rPr>
                <w:rFonts w:ascii="宋体" w:hAnsi="宋体" w:cs="宋体"/>
                <w:sz w:val="22"/>
                <w:szCs w:val="22"/>
              </w:rPr>
              <w:t>5</w:t>
            </w:r>
            <w:r>
              <w:rPr>
                <w:rFonts w:hint="eastAsia" w:ascii="宋体" w:hAnsi="宋体" w:cs="宋体"/>
                <w:sz w:val="22"/>
                <w:szCs w:val="22"/>
              </w:rPr>
              <w:t>分，完全满足1项目需求得1</w:t>
            </w:r>
            <w:r>
              <w:rPr>
                <w:rFonts w:ascii="宋体" w:hAnsi="宋体" w:cs="宋体"/>
                <w:sz w:val="22"/>
                <w:szCs w:val="22"/>
              </w:rPr>
              <w:t>0</w:t>
            </w:r>
            <w:r>
              <w:rPr>
                <w:rFonts w:hint="eastAsia" w:ascii="宋体" w:hAnsi="宋体" w:cs="宋体"/>
                <w:sz w:val="22"/>
                <w:szCs w:val="22"/>
              </w:rPr>
              <w:t>分）。</w:t>
            </w:r>
          </w:p>
          <w:p>
            <w:pPr>
              <w:widowControl/>
              <w:numPr>
                <w:ilvl w:val="0"/>
                <w:numId w:val="3"/>
              </w:numPr>
              <w:snapToGrid w:val="0"/>
              <w:spacing w:line="360" w:lineRule="exact"/>
              <w:rPr>
                <w:rFonts w:ascii="宋体" w:hAnsi="宋体" w:cs="宋体"/>
                <w:sz w:val="22"/>
                <w:szCs w:val="22"/>
              </w:rPr>
            </w:pPr>
            <w:r>
              <w:rPr>
                <w:rFonts w:hint="eastAsia" w:ascii="宋体" w:hAnsi="宋体" w:cs="宋体"/>
                <w:sz w:val="22"/>
                <w:szCs w:val="22"/>
              </w:rPr>
              <w:t>园区的设计应该注重美观与实用，不仅要体现学院的文化内涵，也要符合大众的审美观念，同时还要具有实用价值（未提供得0分，提供得2分，基本满足项目需求得5分，完全满足项目需求得10分）。</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5" w:hRule="atLeast"/>
        </w:trPr>
        <w:tc>
          <w:tcPr>
            <w:tcW w:w="598" w:type="dxa"/>
            <w:tcBorders>
              <w:top w:val="nil"/>
              <w:left w:val="single" w:color="auto" w:sz="4" w:space="0"/>
              <w:bottom w:val="nil"/>
              <w:right w:val="single" w:color="auto" w:sz="4" w:space="0"/>
            </w:tcBorders>
            <w:vAlign w:val="center"/>
          </w:tcPr>
          <w:p>
            <w:pPr>
              <w:spacing w:line="560" w:lineRule="exact"/>
              <w:jc w:val="left"/>
              <w:rPr>
                <w:rFonts w:ascii="宋体" w:hAnsi="宋体"/>
                <w:sz w:val="24"/>
                <w:szCs w:val="24"/>
              </w:rPr>
            </w:pPr>
            <w:r>
              <w:rPr>
                <w:rFonts w:hint="eastAsia" w:ascii="宋体" w:hAnsi="宋体"/>
                <w:sz w:val="24"/>
                <w:szCs w:val="24"/>
              </w:rPr>
              <w:t>3、</w:t>
            </w:r>
          </w:p>
        </w:tc>
        <w:tc>
          <w:tcPr>
            <w:tcW w:w="1382" w:type="dxa"/>
            <w:vMerge w:val="restart"/>
            <w:tcBorders>
              <w:top w:val="single" w:color="auto" w:sz="4" w:space="0"/>
              <w:left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商务部分</w:t>
            </w:r>
          </w:p>
          <w:p>
            <w:pPr>
              <w:widowControl/>
              <w:snapToGrid w:val="0"/>
              <w:spacing w:line="360" w:lineRule="exact"/>
              <w:rPr>
                <w:rFonts w:ascii="宋体" w:hAns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0分）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企业实力（</w:t>
            </w:r>
            <w:r>
              <w:rPr>
                <w:rFonts w:ascii="宋体" w:hAnsi="宋体" w:cs="宋体"/>
                <w:sz w:val="22"/>
                <w:szCs w:val="22"/>
              </w:rPr>
              <w:t>2</w:t>
            </w:r>
            <w:r>
              <w:rPr>
                <w:rFonts w:hint="eastAsia" w:ascii="宋体" w:hAnsi="宋体" w:cs="宋体"/>
                <w:sz w:val="22"/>
                <w:szCs w:val="22"/>
              </w:rPr>
              <w:t>0分）</w:t>
            </w:r>
          </w:p>
        </w:tc>
        <w:tc>
          <w:tcPr>
            <w:tcW w:w="507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所投产品具有以下</w:t>
            </w:r>
          </w:p>
          <w:p>
            <w:pPr>
              <w:widowControl/>
              <w:snapToGrid w:val="0"/>
              <w:spacing w:line="360" w:lineRule="exact"/>
              <w:rPr>
                <w:rFonts w:ascii="宋体" w:hAnsi="宋体" w:cs="宋体"/>
                <w:sz w:val="22"/>
                <w:szCs w:val="22"/>
              </w:rPr>
            </w:pPr>
            <w:r>
              <w:rPr>
                <w:rFonts w:hint="eastAsia" w:ascii="宋体" w:hAnsi="宋体" w:cs="宋体"/>
                <w:sz w:val="22"/>
                <w:szCs w:val="22"/>
              </w:rPr>
              <w:t>20</w:t>
            </w:r>
            <w:r>
              <w:rPr>
                <w:rFonts w:ascii="宋体" w:hAnsi="宋体" w:cs="宋体"/>
                <w:sz w:val="22"/>
                <w:szCs w:val="22"/>
              </w:rPr>
              <w:t>19</w:t>
            </w:r>
            <w:r>
              <w:rPr>
                <w:rFonts w:hint="eastAsia" w:ascii="宋体" w:hAnsi="宋体" w:cs="宋体"/>
                <w:sz w:val="22"/>
                <w:szCs w:val="22"/>
              </w:rPr>
              <w:t>年以来，</w:t>
            </w:r>
            <w:r>
              <w:rPr>
                <w:rFonts w:hint="eastAsia" w:ascii="宋体" w:hAnsi="宋体" w:cs="宋体"/>
                <w:sz w:val="22"/>
                <w:szCs w:val="22"/>
                <w:u w:val="single"/>
              </w:rPr>
              <w:t>为学校提供校园文化设计与制作</w:t>
            </w:r>
            <w:r>
              <w:rPr>
                <w:rFonts w:hint="eastAsia" w:ascii="宋体" w:hAnsi="宋体" w:cs="宋体"/>
                <w:sz w:val="22"/>
                <w:szCs w:val="22"/>
              </w:rPr>
              <w:t>等同类项目业绩的，每提供1份案例合同得</w:t>
            </w:r>
            <w:r>
              <w:rPr>
                <w:rFonts w:ascii="宋体" w:hAnsi="宋体" w:cs="宋体"/>
                <w:sz w:val="22"/>
                <w:szCs w:val="22"/>
              </w:rPr>
              <w:t>2</w:t>
            </w:r>
            <w:r>
              <w:rPr>
                <w:rFonts w:hint="eastAsia" w:ascii="宋体" w:hAnsi="宋体" w:cs="宋体"/>
                <w:sz w:val="22"/>
                <w:szCs w:val="22"/>
              </w:rPr>
              <w:t>分，最高可得</w:t>
            </w:r>
            <w:r>
              <w:rPr>
                <w:rFonts w:ascii="宋体" w:hAnsi="宋体" w:cs="宋体"/>
                <w:sz w:val="22"/>
                <w:szCs w:val="22"/>
              </w:rPr>
              <w:t>20</w:t>
            </w:r>
            <w:r>
              <w:rPr>
                <w:rFonts w:hint="eastAsia" w:ascii="宋体" w:hAnsi="宋体" w:cs="宋体"/>
                <w:sz w:val="22"/>
                <w:szCs w:val="22"/>
              </w:rPr>
              <w:t>分，不提供不得分。提供的案例内必须包含设计与制作2项内容（提供投标人与学校签订的合同复印件并加盖公章）</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5" w:hRule="atLeast"/>
        </w:trPr>
        <w:tc>
          <w:tcPr>
            <w:tcW w:w="598" w:type="dxa"/>
            <w:tcBorders>
              <w:top w:val="nil"/>
              <w:left w:val="single" w:color="auto" w:sz="4" w:space="0"/>
              <w:bottom w:val="single" w:color="auto" w:sz="4" w:space="0"/>
              <w:right w:val="single" w:color="auto" w:sz="4" w:space="0"/>
            </w:tcBorders>
            <w:vAlign w:val="center"/>
          </w:tcPr>
          <w:p>
            <w:pPr>
              <w:spacing w:line="560" w:lineRule="exact"/>
              <w:jc w:val="left"/>
              <w:rPr>
                <w:rFonts w:ascii="宋体" w:hAnsi="宋体"/>
                <w:sz w:val="24"/>
                <w:szCs w:val="24"/>
              </w:rPr>
            </w:pPr>
          </w:p>
        </w:tc>
        <w:tc>
          <w:tcPr>
            <w:tcW w:w="1382" w:type="dxa"/>
            <w:vMerge w:val="continue"/>
            <w:tcBorders>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质保期</w:t>
            </w:r>
          </w:p>
          <w:p>
            <w:pPr>
              <w:pStyle w:val="2"/>
              <w:rPr>
                <w:rFonts w:ascii="宋体" w:hAnsi="宋体" w:eastAsia="宋体"/>
              </w:rPr>
            </w:pPr>
            <w:r>
              <w:rPr>
                <w:rFonts w:hint="eastAsia" w:ascii="宋体" w:hAnsi="宋体" w:eastAsia="宋体" w:cs="宋体"/>
                <w:sz w:val="22"/>
                <w:szCs w:val="22"/>
              </w:rPr>
              <w:t>（</w:t>
            </w:r>
            <w:r>
              <w:rPr>
                <w:rFonts w:ascii="宋体" w:hAnsi="宋体" w:eastAsia="宋体" w:cs="宋体"/>
                <w:sz w:val="22"/>
                <w:szCs w:val="22"/>
              </w:rPr>
              <w:t>1</w:t>
            </w:r>
            <w:r>
              <w:rPr>
                <w:rFonts w:hint="eastAsia" w:ascii="宋体" w:hAnsi="宋体" w:eastAsia="宋体" w:cs="宋体"/>
                <w:sz w:val="22"/>
                <w:szCs w:val="22"/>
              </w:rPr>
              <w:t>0分）</w:t>
            </w:r>
          </w:p>
        </w:tc>
        <w:tc>
          <w:tcPr>
            <w:tcW w:w="507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质保期在满足招标文件要求的前提下，每增加1年得2分，最多得1</w:t>
            </w:r>
            <w:r>
              <w:rPr>
                <w:rFonts w:ascii="宋体" w:hAnsi="宋体" w:cs="宋体"/>
                <w:sz w:val="22"/>
                <w:szCs w:val="22"/>
              </w:rPr>
              <w:t>0</w:t>
            </w:r>
            <w:r>
              <w:rPr>
                <w:rFonts w:hint="eastAsia" w:ascii="宋体" w:hAnsi="宋体" w:cs="宋体"/>
                <w:sz w:val="22"/>
                <w:szCs w:val="22"/>
              </w:rPr>
              <w:t>分。</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szCs w:val="22"/>
              </w:rPr>
            </w:pPr>
            <w:r>
              <w:rPr>
                <w:rFonts w:hint="eastAsia" w:ascii="宋体" w:hAnsi="宋体" w:cs="宋体"/>
                <w:sz w:val="22"/>
                <w:szCs w:val="22"/>
              </w:rPr>
              <w:t>质保期以投标文件应答为准</w:t>
            </w:r>
          </w:p>
        </w:tc>
      </w:tr>
      <w:bookmarkEnd w:id="120"/>
      <w:bookmarkEnd w:id="121"/>
      <w:bookmarkEnd w:id="122"/>
      <w:bookmarkEnd w:id="123"/>
    </w:tbl>
    <w:p/>
    <w:bookmarkEnd w:id="118"/>
    <w:bookmarkEnd w:id="119"/>
    <w:p>
      <w:pPr>
        <w:snapToGrid w:val="0"/>
        <w:spacing w:line="360" w:lineRule="auto"/>
        <w:ind w:firstLine="465"/>
        <w:rPr>
          <w:rFonts w:ascii="宋体" w:hAnsi="宋体" w:cs="宋体"/>
          <w:sz w:val="24"/>
          <w:szCs w:val="24"/>
        </w:rPr>
      </w:pPr>
      <w:bookmarkStart w:id="124" w:name="_Toc21783148"/>
      <w:bookmarkStart w:id="125" w:name="_Toc289_WPSOffice_Level2"/>
      <w:bookmarkStart w:id="126" w:name="_Toc16077"/>
      <w:bookmarkStart w:id="127" w:name="_Toc6234608"/>
      <w:bookmarkStart w:id="128" w:name="_Toc12789059"/>
      <w:bookmarkStart w:id="129" w:name="_Toc11641055"/>
      <w:r>
        <w:rPr>
          <w:rFonts w:hint="eastAsia" w:ascii="宋体" w:hAnsi="宋体" w:cs="宋体"/>
          <w:b/>
          <w:sz w:val="24"/>
          <w:szCs w:val="24"/>
        </w:rPr>
        <w:t>说明：</w:t>
      </w:r>
      <w:r>
        <w:rPr>
          <w:rFonts w:hint="eastAsia" w:ascii="宋体" w:hAnsi="宋体"/>
          <w:sz w:val="24"/>
          <w:szCs w:val="24"/>
        </w:rPr>
        <w:t>磋商小组认为供应商的最后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响应处理。</w:t>
      </w:r>
    </w:p>
    <w:p>
      <w:pPr>
        <w:pStyle w:val="5"/>
      </w:pPr>
      <w:bookmarkStart w:id="130" w:name="_Toc150506539"/>
      <w:r>
        <w:rPr>
          <w:rFonts w:hint="eastAsia"/>
        </w:rPr>
        <w:t>三、无效响应</w:t>
      </w:r>
      <w:bookmarkEnd w:id="124"/>
      <w:bookmarkEnd w:id="125"/>
      <w:bookmarkEnd w:id="126"/>
      <w:bookmarkEnd w:id="130"/>
    </w:p>
    <w:p>
      <w:pPr>
        <w:snapToGrid w:val="0"/>
        <w:spacing w:line="400" w:lineRule="exact"/>
        <w:ind w:firstLine="465"/>
        <w:rPr>
          <w:rFonts w:ascii="宋体" w:hAnsi="宋体" w:cs="宋体"/>
          <w:sz w:val="24"/>
          <w:szCs w:val="24"/>
        </w:rPr>
      </w:pPr>
      <w:r>
        <w:rPr>
          <w:rFonts w:hint="eastAsia" w:ascii="宋体" w:hAnsi="宋体" w:cs="宋体"/>
          <w:sz w:val="24"/>
          <w:szCs w:val="24"/>
        </w:rPr>
        <w:t>供应商发生以下条款情况之一者，视为无效响应，其响应文件将被拒绝：</w:t>
      </w:r>
    </w:p>
    <w:p>
      <w:pPr>
        <w:snapToGrid w:val="0"/>
        <w:spacing w:line="400" w:lineRule="exact"/>
        <w:ind w:firstLine="465"/>
        <w:rPr>
          <w:rFonts w:ascii="宋体" w:hAnsi="宋体" w:cs="宋体"/>
          <w:sz w:val="24"/>
          <w:szCs w:val="24"/>
        </w:rPr>
      </w:pPr>
      <w:r>
        <w:rPr>
          <w:rFonts w:hint="eastAsia" w:ascii="宋体" w:hAnsi="宋体" w:cs="宋体"/>
          <w:sz w:val="24"/>
          <w:szCs w:val="24"/>
        </w:rPr>
        <w:t>（一）供应商不符合规定的基本资格条件或特定资格条件的；</w:t>
      </w:r>
    </w:p>
    <w:p>
      <w:pPr>
        <w:snapToGrid w:val="0"/>
        <w:spacing w:line="400" w:lineRule="exact"/>
        <w:ind w:firstLine="465"/>
        <w:rPr>
          <w:rFonts w:ascii="宋体" w:hAnsi="宋体" w:cs="宋体"/>
          <w:sz w:val="24"/>
          <w:szCs w:val="24"/>
        </w:rPr>
      </w:pPr>
      <w:r>
        <w:rPr>
          <w:rFonts w:hint="eastAsia" w:ascii="宋体" w:hAnsi="宋体" w:cs="宋体"/>
          <w:sz w:val="24"/>
          <w:szCs w:val="24"/>
        </w:rPr>
        <w:t>（二）供应商未按磋商文件规定购买磋商文件的；</w:t>
      </w:r>
    </w:p>
    <w:p>
      <w:pPr>
        <w:snapToGrid w:val="0"/>
        <w:spacing w:line="400" w:lineRule="exact"/>
        <w:ind w:firstLine="465"/>
        <w:rPr>
          <w:rFonts w:ascii="宋体" w:hAnsi="宋体" w:cs="宋体"/>
          <w:sz w:val="24"/>
          <w:szCs w:val="24"/>
        </w:rPr>
      </w:pPr>
      <w:r>
        <w:rPr>
          <w:rFonts w:hint="eastAsia" w:ascii="宋体" w:hAnsi="宋体" w:cs="宋体"/>
          <w:sz w:val="24"/>
          <w:szCs w:val="24"/>
        </w:rPr>
        <w:t>（三）供应商所提交的响应文件不按第七篇“响应文件编制要求”规定签字、盖章；</w:t>
      </w:r>
    </w:p>
    <w:p>
      <w:pPr>
        <w:snapToGrid w:val="0"/>
        <w:spacing w:line="400" w:lineRule="exact"/>
        <w:ind w:firstLine="465"/>
        <w:rPr>
          <w:rFonts w:ascii="宋体" w:hAnsi="宋体" w:cs="宋体"/>
          <w:sz w:val="24"/>
          <w:szCs w:val="24"/>
        </w:rPr>
      </w:pPr>
      <w:r>
        <w:rPr>
          <w:rFonts w:hint="eastAsia" w:ascii="宋体" w:hAnsi="宋体" w:cs="宋体"/>
          <w:sz w:val="24"/>
          <w:szCs w:val="24"/>
        </w:rPr>
        <w:t>（四）供应商的最后报价超过采购预算或最高限价的；</w:t>
      </w:r>
    </w:p>
    <w:p>
      <w:pPr>
        <w:snapToGrid w:val="0"/>
        <w:spacing w:line="400" w:lineRule="exact"/>
        <w:ind w:firstLine="465"/>
        <w:rPr>
          <w:rFonts w:ascii="宋体" w:hAnsi="宋体" w:cs="宋体"/>
          <w:sz w:val="24"/>
          <w:szCs w:val="24"/>
        </w:rPr>
      </w:pPr>
      <w:r>
        <w:rPr>
          <w:rFonts w:hint="eastAsia" w:ascii="宋体" w:hAnsi="宋体" w:cs="宋体"/>
          <w:sz w:val="24"/>
          <w:szCs w:val="24"/>
        </w:rPr>
        <w:t>（五）法定代表人为同一个人的两个及两个以上法人，母公司、全资子公司及其控股公司，在采购中同时参与磋商；</w:t>
      </w:r>
    </w:p>
    <w:p>
      <w:pPr>
        <w:snapToGrid w:val="0"/>
        <w:spacing w:line="400" w:lineRule="exact"/>
        <w:ind w:firstLine="465"/>
        <w:rPr>
          <w:rFonts w:ascii="宋体" w:hAnsi="宋体" w:cs="宋体"/>
          <w:sz w:val="24"/>
          <w:szCs w:val="24"/>
        </w:rPr>
      </w:pPr>
      <w:r>
        <w:rPr>
          <w:rFonts w:hint="eastAsia" w:ascii="宋体" w:hAnsi="宋体" w:cs="宋体"/>
          <w:sz w:val="24"/>
          <w:szCs w:val="24"/>
        </w:rPr>
        <w:t>（六）单位负责人为同一人或者存在直接控股、管理关系的不同供应商，参加本项目的采购活动的；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（七）为采购项目提供规范编制或者项目管理、监理、检测等服务的供应商，不得参该采购活动；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（八）供应商磋商有效期不满足竞争性磋商文件要求的；</w:t>
      </w:r>
    </w:p>
    <w:p>
      <w:pPr>
        <w:snapToGrid w:val="0"/>
        <w:spacing w:line="400" w:lineRule="exact"/>
        <w:ind w:firstLine="465"/>
        <w:rPr>
          <w:rFonts w:ascii="宋体" w:hAnsi="宋体" w:cs="宋体"/>
          <w:sz w:val="24"/>
          <w:szCs w:val="24"/>
        </w:rPr>
      </w:pPr>
      <w:r>
        <w:rPr>
          <w:rFonts w:hint="eastAsia" w:ascii="宋体" w:hAnsi="宋体" w:cs="宋体"/>
          <w:sz w:val="24"/>
          <w:szCs w:val="24"/>
        </w:rPr>
        <w:t>（九）供应商响应文件内容有与国家现行法律法规相违背的内容，或附有采购人无法接受的条件。</w:t>
      </w:r>
    </w:p>
    <w:p>
      <w:pPr>
        <w:snapToGrid w:val="0"/>
        <w:spacing w:line="400" w:lineRule="exact"/>
        <w:ind w:firstLine="465"/>
        <w:rPr>
          <w:rFonts w:ascii="宋体" w:hAnsi="宋体" w:cs="宋体"/>
          <w:sz w:val="24"/>
          <w:szCs w:val="24"/>
        </w:rPr>
      </w:pPr>
      <w:r>
        <w:rPr>
          <w:rFonts w:hint="eastAsia" w:ascii="宋体" w:hAnsi="宋体" w:cs="宋体"/>
          <w:sz w:val="24"/>
          <w:szCs w:val="24"/>
        </w:rPr>
        <w:t>（十）供应商被列入失信被执行人、重大税收违法案件当事人名单、政府采购严重违法失信行为记录名单的。</w:t>
      </w:r>
    </w:p>
    <w:p>
      <w:pPr>
        <w:pStyle w:val="5"/>
      </w:pPr>
      <w:bookmarkStart w:id="131" w:name="_Toc6874"/>
      <w:bookmarkStart w:id="132" w:name="_Toc9695_WPSOffice_Level2"/>
      <w:bookmarkStart w:id="133" w:name="_Toc150506540"/>
      <w:bookmarkStart w:id="134" w:name="_Toc21783149"/>
      <w:r>
        <w:rPr>
          <w:rFonts w:hint="eastAsia"/>
        </w:rPr>
        <w:t>四、采购终止</w:t>
      </w:r>
      <w:bookmarkEnd w:id="131"/>
      <w:bookmarkEnd w:id="132"/>
      <w:bookmarkEnd w:id="133"/>
      <w:bookmarkEnd w:id="134"/>
    </w:p>
    <w:p>
      <w:pPr>
        <w:snapToGrid w:val="0"/>
        <w:spacing w:line="400" w:lineRule="exact"/>
        <w:ind w:firstLine="465"/>
        <w:rPr>
          <w:rFonts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snapToGrid w:val="0"/>
        <w:spacing w:line="400" w:lineRule="exact"/>
        <w:ind w:firstLine="465"/>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400" w:lineRule="exact"/>
        <w:ind w:firstLine="465"/>
        <w:rPr>
          <w:rFonts w:ascii="宋体" w:hAnsi="宋体" w:cs="宋体"/>
          <w:sz w:val="24"/>
          <w:szCs w:val="24"/>
        </w:rPr>
      </w:pPr>
      <w:r>
        <w:rPr>
          <w:rFonts w:hint="eastAsia" w:ascii="宋体" w:hAnsi="宋体" w:cs="宋体"/>
          <w:sz w:val="24"/>
          <w:szCs w:val="24"/>
        </w:rPr>
        <w:t>（三）在采购过程中符合要求的供应商或者报价未超过采购预算或最高限价的供应商不足3家的，特殊情形除外。</w:t>
      </w:r>
    </w:p>
    <w:p>
      <w:pPr>
        <w:spacing w:line="360" w:lineRule="auto"/>
        <w:ind w:firstLine="480" w:firstLineChars="200"/>
        <w:rPr>
          <w:rFonts w:ascii="宋体" w:hAnsi="宋体" w:cs="宋体"/>
          <w:sz w:val="24"/>
          <w:szCs w:val="24"/>
        </w:rPr>
        <w:sectPr>
          <w:footerReference r:id="rId4" w:type="default"/>
          <w:pgSz w:w="11907" w:h="16840"/>
          <w:pgMar w:top="1134" w:right="1191" w:bottom="851" w:left="1304" w:header="964" w:footer="992" w:gutter="0"/>
          <w:pgNumType w:fmt="numberInDash" w:start="1"/>
          <w:cols w:space="720" w:num="1"/>
          <w:docGrid w:linePitch="312" w:charSpace="0"/>
        </w:sectPr>
      </w:pPr>
    </w:p>
    <w:p>
      <w:pPr>
        <w:pStyle w:val="4"/>
      </w:pPr>
      <w:bookmarkStart w:id="135" w:name="_Toc21783150"/>
      <w:bookmarkStart w:id="136" w:name="_Toc150506541"/>
      <w:bookmarkStart w:id="137" w:name="_Toc16533"/>
      <w:bookmarkStart w:id="138" w:name="_Toc102227313"/>
      <w:bookmarkStart w:id="139" w:name="_Toc5314_WPSOffice_Level1"/>
      <w:bookmarkStart w:id="140" w:name="_Toc19806"/>
      <w:r>
        <w:rPr>
          <w:rFonts w:hint="eastAsia"/>
        </w:rPr>
        <w:t>第五篇  供应商须知</w:t>
      </w:r>
      <w:bookmarkEnd w:id="135"/>
      <w:bookmarkEnd w:id="136"/>
      <w:bookmarkEnd w:id="137"/>
      <w:bookmarkEnd w:id="138"/>
      <w:bookmarkEnd w:id="139"/>
      <w:bookmarkEnd w:id="140"/>
    </w:p>
    <w:p>
      <w:pPr>
        <w:pStyle w:val="5"/>
      </w:pPr>
      <w:bookmarkStart w:id="141" w:name="_Toc342913389"/>
      <w:bookmarkStart w:id="142" w:name="_Toc3701_WPSOffice_Level2"/>
      <w:bookmarkStart w:id="143" w:name="_Toc150506542"/>
      <w:bookmarkStart w:id="144" w:name="_Toc11372"/>
      <w:bookmarkStart w:id="145" w:name="_Toc21783151"/>
      <w:r>
        <w:rPr>
          <w:rFonts w:hint="eastAsia"/>
        </w:rPr>
        <w:t>一、磋商费用</w:t>
      </w:r>
      <w:bookmarkEnd w:id="141"/>
      <w:bookmarkEnd w:id="142"/>
      <w:bookmarkEnd w:id="143"/>
      <w:bookmarkEnd w:id="144"/>
      <w:bookmarkEnd w:id="145"/>
    </w:p>
    <w:p>
      <w:pPr>
        <w:pStyle w:val="20"/>
        <w:spacing w:line="360" w:lineRule="auto"/>
        <w:ind w:firstLine="480" w:firstLineChars="200"/>
        <w:rPr>
          <w:rFonts w:hAnsi="宋体" w:cs="宋体"/>
          <w:sz w:val="24"/>
          <w:szCs w:val="24"/>
        </w:rPr>
      </w:pPr>
      <w:r>
        <w:rPr>
          <w:rFonts w:hint="eastAsia" w:hAnsi="宋体" w:cs="宋体"/>
          <w:sz w:val="24"/>
          <w:szCs w:val="24"/>
        </w:rPr>
        <w:t>参与磋商的供应商应承担其编制响应文件与递交响应文件所涉及的一切费用，不论磋商结果如何，采购人和采购代理机构在任何情况下无义务也无责任承担这些费用。</w:t>
      </w:r>
    </w:p>
    <w:p>
      <w:pPr>
        <w:pStyle w:val="5"/>
      </w:pPr>
      <w:bookmarkStart w:id="146" w:name="_Toc150506543"/>
      <w:bookmarkStart w:id="147" w:name="_Toc21783152"/>
      <w:bookmarkStart w:id="148" w:name="_Toc342913391"/>
      <w:bookmarkStart w:id="149" w:name="_Toc30007_WPSOffice_Level2"/>
      <w:bookmarkStart w:id="150" w:name="_Toc29121"/>
      <w:r>
        <w:rPr>
          <w:rFonts w:hint="eastAsia"/>
        </w:rPr>
        <w:t>二、竞争性磋商文件</w:t>
      </w:r>
      <w:bookmarkEnd w:id="146"/>
      <w:bookmarkEnd w:id="147"/>
      <w:bookmarkEnd w:id="148"/>
      <w:bookmarkEnd w:id="149"/>
      <w:bookmarkEnd w:id="150"/>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（一）竞争性磋商文件由采购邀请书、项目技术需求、项目商务需求、磋商程序及方法、评审标准、无效响应和采购终止、供应商须知</w:t>
      </w:r>
      <w:r>
        <w:rPr>
          <w:rFonts w:hint="eastAsia" w:ascii="宋体" w:hAnsi="宋体" w:cs="宋体"/>
          <w:b/>
          <w:sz w:val="24"/>
          <w:szCs w:val="24"/>
        </w:rPr>
        <w:t>、</w:t>
      </w:r>
      <w:r>
        <w:rPr>
          <w:rFonts w:hint="eastAsia" w:ascii="宋体" w:hAnsi="宋体" w:cs="宋体"/>
          <w:sz w:val="24"/>
          <w:szCs w:val="24"/>
        </w:rPr>
        <w:t>采购合同</w:t>
      </w:r>
      <w:r>
        <w:rPr>
          <w:rFonts w:hint="eastAsia" w:ascii="宋体" w:hAnsi="宋体" w:cs="宋体"/>
          <w:b/>
          <w:sz w:val="24"/>
          <w:szCs w:val="24"/>
        </w:rPr>
        <w:t>、</w:t>
      </w:r>
      <w:r>
        <w:rPr>
          <w:rFonts w:hint="eastAsia" w:ascii="宋体" w:hAnsi="宋体" w:cs="宋体"/>
          <w:sz w:val="24"/>
          <w:szCs w:val="24"/>
        </w:rPr>
        <w:t>响应文件编制要求七部分组成。</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（三）竞争性磋商文件的解释</w:t>
      </w:r>
    </w:p>
    <w:p>
      <w:pPr>
        <w:spacing w:line="360" w:lineRule="auto"/>
        <w:ind w:firstLine="480" w:firstLineChars="200"/>
        <w:rPr>
          <w:rFonts w:ascii="宋体" w:hAnsi="宋体" w:cs="宋体"/>
          <w:sz w:val="24"/>
          <w:szCs w:val="24"/>
        </w:rPr>
      </w:pPr>
      <w:r>
        <w:rPr>
          <w:rFonts w:hint="eastAsia" w:ascii="宋体" w:hAnsi="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51" w:name="_Toc318159780"/>
      <w:bookmarkStart w:id="152" w:name="_Toc318166429"/>
      <w:bookmarkStart w:id="153" w:name="_Toc318159160"/>
      <w:bookmarkStart w:id="154" w:name="_Toc318159349"/>
    </w:p>
    <w:p>
      <w:pPr>
        <w:spacing w:line="360" w:lineRule="auto"/>
        <w:ind w:firstLine="480" w:firstLineChars="200"/>
        <w:rPr>
          <w:rFonts w:ascii="宋体" w:hAnsi="宋体" w:cs="宋体"/>
          <w:sz w:val="24"/>
          <w:szCs w:val="24"/>
        </w:rPr>
      </w:pPr>
      <w:r>
        <w:rPr>
          <w:rFonts w:hint="eastAsia" w:ascii="宋体" w:hAnsi="宋体" w:cs="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hAnsi="宋体" w:cs="宋体"/>
          <w:sz w:val="24"/>
          <w:szCs w:val="24"/>
        </w:rPr>
      </w:pPr>
      <w:r>
        <w:rPr>
          <w:rFonts w:hint="eastAsia" w:ascii="宋体" w:hAnsi="宋体" w:cs="宋体"/>
          <w:sz w:val="24"/>
          <w:szCs w:val="24"/>
        </w:rPr>
        <w:t>（五）评审的依据为竞争性磋商文件和响应文件（含有效的书面承诺）。磋商小组判断响应文件对竞争性磋商文件的响应，仅基于响应文件本身而不靠外部证据。</w:t>
      </w:r>
    </w:p>
    <w:bookmarkEnd w:id="151"/>
    <w:bookmarkEnd w:id="152"/>
    <w:bookmarkEnd w:id="153"/>
    <w:bookmarkEnd w:id="154"/>
    <w:p>
      <w:pPr>
        <w:pStyle w:val="5"/>
      </w:pPr>
      <w:bookmarkStart w:id="155" w:name="_Toc21783153"/>
      <w:bookmarkStart w:id="156" w:name="_Toc179714297"/>
      <w:bookmarkStart w:id="157" w:name="_Toc102227318"/>
      <w:bookmarkStart w:id="158" w:name="_Toc150506544"/>
      <w:bookmarkStart w:id="159" w:name="_Toc21772"/>
      <w:bookmarkStart w:id="160" w:name="_Toc342913392"/>
      <w:bookmarkStart w:id="161" w:name="_Toc4244_WPSOffice_Level2"/>
      <w:r>
        <w:rPr>
          <w:rFonts w:hint="eastAsia"/>
        </w:rPr>
        <w:t>三、磋商要求</w:t>
      </w:r>
      <w:bookmarkEnd w:id="155"/>
      <w:bookmarkEnd w:id="156"/>
      <w:bookmarkEnd w:id="157"/>
      <w:bookmarkEnd w:id="158"/>
      <w:bookmarkEnd w:id="159"/>
      <w:bookmarkEnd w:id="160"/>
      <w:bookmarkEnd w:id="161"/>
    </w:p>
    <w:p>
      <w:pPr>
        <w:spacing w:line="360" w:lineRule="auto"/>
        <w:ind w:firstLine="480" w:firstLineChars="200"/>
        <w:rPr>
          <w:rFonts w:ascii="宋体" w:hAnsi="宋体" w:cs="宋体"/>
          <w:sz w:val="24"/>
          <w:szCs w:val="24"/>
        </w:rPr>
      </w:pPr>
      <w:r>
        <w:rPr>
          <w:rFonts w:hint="eastAsia" w:ascii="宋体" w:hAnsi="宋体" w:cs="宋体"/>
          <w:sz w:val="24"/>
          <w:szCs w:val="24"/>
        </w:rPr>
        <w:t>（一）响应文件</w:t>
      </w:r>
    </w:p>
    <w:p>
      <w:pPr>
        <w:spacing w:line="360" w:lineRule="auto"/>
        <w:ind w:firstLine="480" w:firstLineChars="200"/>
        <w:rPr>
          <w:rFonts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1.供应商应当按照竞争性磋商文件的要求编制响应文件，并对竞争性磋商文件提出的要求和条件作出实质性响应，响应文件原则上采用软面订本，同时应编制完整的目录。</w:t>
      </w:r>
    </w:p>
    <w:p>
      <w:pPr>
        <w:spacing w:line="360" w:lineRule="auto"/>
        <w:ind w:firstLine="480" w:firstLineChars="200"/>
        <w:rPr>
          <w:rFonts w:ascii="宋体" w:hAnsi="宋体" w:cs="宋体"/>
          <w:sz w:val="24"/>
          <w:szCs w:val="24"/>
        </w:rPr>
      </w:pPr>
      <w:r>
        <w:rPr>
          <w:rFonts w:hint="eastAsia" w:ascii="宋体" w:hAnsi="宋体" w:cs="宋体"/>
          <w:sz w:val="24"/>
          <w:szCs w:val="24"/>
        </w:rPr>
        <w:t>2.响应文件组成</w:t>
      </w:r>
    </w:p>
    <w:p>
      <w:pPr>
        <w:spacing w:line="360" w:lineRule="auto"/>
        <w:ind w:firstLine="480" w:firstLineChars="200"/>
        <w:rPr>
          <w:rFonts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s="宋体"/>
          <w:sz w:val="24"/>
          <w:szCs w:val="24"/>
        </w:rPr>
      </w:pPr>
      <w:r>
        <w:rPr>
          <w:rFonts w:hint="eastAsia" w:ascii="宋体" w:hAnsi="宋体" w:cs="宋体"/>
          <w:sz w:val="24"/>
          <w:szCs w:val="24"/>
        </w:rPr>
        <w:t>（二）联合体</w:t>
      </w:r>
    </w:p>
    <w:p>
      <w:pPr>
        <w:spacing w:line="360" w:lineRule="auto"/>
        <w:ind w:firstLine="480" w:firstLineChars="200"/>
        <w:rPr>
          <w:rFonts w:ascii="宋体" w:hAnsi="宋体" w:cs="宋体"/>
          <w:sz w:val="24"/>
          <w:szCs w:val="24"/>
        </w:rPr>
      </w:pPr>
      <w:r>
        <w:rPr>
          <w:rFonts w:hint="eastAsia" w:ascii="宋体" w:hAnsi="宋体" w:cs="宋体"/>
          <w:sz w:val="24"/>
          <w:szCs w:val="24"/>
        </w:rPr>
        <w:t>本项目不接受联合体磋商。</w:t>
      </w:r>
    </w:p>
    <w:p>
      <w:pPr>
        <w:spacing w:line="360" w:lineRule="auto"/>
        <w:ind w:firstLine="480" w:firstLineChars="200"/>
        <w:rPr>
          <w:rFonts w:ascii="宋体" w:hAnsi="宋体" w:cs="宋体"/>
          <w:sz w:val="24"/>
          <w:szCs w:val="24"/>
        </w:rPr>
      </w:pPr>
      <w:r>
        <w:rPr>
          <w:rFonts w:hint="eastAsia" w:ascii="宋体" w:hAnsi="宋体" w:cs="宋体"/>
          <w:sz w:val="24"/>
          <w:szCs w:val="24"/>
        </w:rPr>
        <w:t>（三）磋商有效期：响应文件及有关承诺文件有效期为提交响应文件截止时间起90天。</w:t>
      </w:r>
    </w:p>
    <w:p>
      <w:pPr>
        <w:spacing w:line="360" w:lineRule="auto"/>
        <w:ind w:firstLine="480" w:firstLineChars="200"/>
        <w:rPr>
          <w:rFonts w:ascii="宋体" w:hAnsi="宋体" w:cs="宋体"/>
          <w:sz w:val="24"/>
          <w:szCs w:val="24"/>
        </w:rPr>
      </w:pPr>
      <w:r>
        <w:rPr>
          <w:rFonts w:hint="eastAsia" w:ascii="宋体" w:hAnsi="宋体" w:cs="宋体"/>
          <w:sz w:val="24"/>
          <w:szCs w:val="24"/>
        </w:rPr>
        <w:t>（四）修正错误</w:t>
      </w:r>
    </w:p>
    <w:p>
      <w:pPr>
        <w:spacing w:line="360" w:lineRule="auto"/>
        <w:ind w:firstLine="480" w:firstLineChars="200"/>
        <w:rPr>
          <w:rFonts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（五）提交响应文件的份数和签署</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1.响应文件一式三份，其中正本一份，副本二份；副本可为正本的复印件，应与正本一致，如出现不一致情况以正本为准。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（六）响应文件的递交</w:t>
      </w:r>
    </w:p>
    <w:p>
      <w:pPr>
        <w:pStyle w:val="7"/>
        <w:spacing w:line="360" w:lineRule="auto"/>
        <w:ind w:firstLine="480" w:firstLineChars="200"/>
        <w:rPr>
          <w:rFonts w:hAnsi="宋体" w:cs="宋体"/>
          <w:sz w:val="24"/>
        </w:rPr>
      </w:pPr>
      <w:r>
        <w:rPr>
          <w:rFonts w:hint="eastAsia" w:hAnsi="宋体" w:cs="宋体"/>
          <w:sz w:val="24"/>
        </w:rPr>
        <w:t>1.响应文件的密封与标记</w:t>
      </w:r>
    </w:p>
    <w:p>
      <w:pPr>
        <w:pStyle w:val="7"/>
        <w:spacing w:line="360" w:lineRule="auto"/>
        <w:ind w:firstLine="480" w:firstLineChars="200"/>
        <w:rPr>
          <w:rFonts w:hAnsi="宋体" w:cs="宋体"/>
          <w:sz w:val="24"/>
        </w:rPr>
      </w:pPr>
      <w:r>
        <w:rPr>
          <w:rFonts w:hint="eastAsia" w:hAnsi="宋体" w:cs="宋体"/>
          <w:sz w:val="24"/>
        </w:rPr>
        <w:t>1.1响应文件的正本、副本均应密封送达磋商地点，应在封套上注明磋商项目名称、供应商名称。若正本、副本分别进行密封的，还应在封套上注明“正本”、“副本”字样。</w:t>
      </w:r>
    </w:p>
    <w:p>
      <w:pPr>
        <w:pStyle w:val="7"/>
        <w:spacing w:line="360" w:lineRule="auto"/>
        <w:ind w:firstLine="480" w:firstLineChars="200"/>
        <w:rPr>
          <w:rFonts w:hAnsi="宋体" w:cs="宋体"/>
          <w:sz w:val="24"/>
        </w:rPr>
      </w:pPr>
      <w:r>
        <w:rPr>
          <w:rFonts w:hint="eastAsia" w:hAnsi="宋体" w:cs="宋体"/>
          <w:sz w:val="24"/>
        </w:rPr>
        <w:t>1.2封套的封口处应加盖供应商公章或由法定代表人授权代表签字。</w:t>
      </w:r>
    </w:p>
    <w:p>
      <w:pPr>
        <w:pStyle w:val="7"/>
        <w:spacing w:line="360" w:lineRule="auto"/>
        <w:ind w:firstLine="480" w:firstLineChars="200"/>
        <w:rPr>
          <w:rFonts w:hAnsi="宋体" w:cs="宋体"/>
          <w:sz w:val="24"/>
        </w:rPr>
      </w:pPr>
      <w:r>
        <w:rPr>
          <w:rFonts w:hint="eastAsia" w:hAnsi="宋体" w:cs="宋体"/>
          <w:sz w:val="24"/>
        </w:rPr>
        <w:t>2.如果响应文件通过邮寄递交，供应商应将响应文件用内、外两层封套密封。</w:t>
      </w:r>
    </w:p>
    <w:p>
      <w:pPr>
        <w:pStyle w:val="7"/>
        <w:spacing w:line="360" w:lineRule="auto"/>
        <w:ind w:firstLine="480" w:firstLineChars="200"/>
        <w:rPr>
          <w:rFonts w:hAnsi="宋体" w:cs="宋体"/>
          <w:sz w:val="24"/>
        </w:rPr>
      </w:pPr>
      <w:r>
        <w:rPr>
          <w:rFonts w:hint="eastAsia" w:hAnsi="宋体" w:cs="宋体"/>
          <w:sz w:val="24"/>
        </w:rPr>
        <w:t>2.1内层封套的封装与标记同 “1、”款规定。</w:t>
      </w:r>
    </w:p>
    <w:p>
      <w:pPr>
        <w:pStyle w:val="7"/>
        <w:spacing w:line="360" w:lineRule="auto"/>
        <w:ind w:firstLine="480" w:firstLineChars="200"/>
        <w:rPr>
          <w:rFonts w:hAnsi="宋体" w:cs="宋体"/>
          <w:sz w:val="24"/>
        </w:rPr>
      </w:pPr>
      <w:r>
        <w:rPr>
          <w:rFonts w:hint="eastAsia" w:hAnsi="宋体" w:cs="宋体"/>
          <w:sz w:val="24"/>
        </w:rPr>
        <w:t>2.2外层封套装入“1、”款所述全部内封资料，并注明项目号、磋商项目编号、磋商项目名称。同时应写明供应商的名称、地址，以便将迟交的响应文件原封退还。</w:t>
      </w:r>
    </w:p>
    <w:p>
      <w:pPr>
        <w:snapToGrid w:val="0"/>
        <w:spacing w:line="360" w:lineRule="auto"/>
        <w:ind w:firstLine="480" w:firstLineChars="200"/>
        <w:rPr>
          <w:rFonts w:ascii="宋体" w:hAnsi="宋体" w:cs="宋体"/>
          <w:sz w:val="24"/>
          <w:szCs w:val="24"/>
        </w:rPr>
      </w:pPr>
      <w:r>
        <w:rPr>
          <w:rFonts w:hint="eastAsia" w:ascii="宋体" w:hAnsi="宋体" w:cs="宋体"/>
          <w:sz w:val="24"/>
        </w:rPr>
        <w:t>3.如果未按上述规定进行密封和标记，采购代理机构对响应文件误投、丢失或提前拆封不负责任。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（七）供应商参与人员</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各个供应商应当派1-2名代表参与磋商，至少1人应为法定代表人或具有法定代表人授权委托书的授权代表。</w:t>
      </w:r>
    </w:p>
    <w:p>
      <w:pPr>
        <w:pStyle w:val="5"/>
      </w:pPr>
      <w:bookmarkStart w:id="162" w:name="_Toc21783154"/>
      <w:bookmarkStart w:id="163" w:name="_Toc537"/>
      <w:bookmarkStart w:id="164" w:name="_Toc11774_WPSOffice_Level2"/>
      <w:bookmarkStart w:id="165" w:name="_Toc150506545"/>
      <w:r>
        <w:rPr>
          <w:rFonts w:hint="eastAsia"/>
        </w:rPr>
        <w:t>四、成交供应商的确认和变更</w:t>
      </w:r>
      <w:bookmarkEnd w:id="162"/>
      <w:bookmarkEnd w:id="163"/>
      <w:bookmarkEnd w:id="164"/>
      <w:bookmarkEnd w:id="165"/>
    </w:p>
    <w:p>
      <w:pPr>
        <w:snapToGrid w:val="0"/>
        <w:spacing w:line="360" w:lineRule="auto"/>
        <w:ind w:firstLine="480" w:firstLineChars="200"/>
        <w:rPr>
          <w:rFonts w:ascii="宋体" w:hAnsi="宋体" w:cs="宋体"/>
          <w:sz w:val="24"/>
          <w:szCs w:val="24"/>
        </w:rPr>
      </w:pPr>
      <w:bookmarkStart w:id="166" w:name="_Toc11245_WPSOffice_Level3"/>
      <w:r>
        <w:rPr>
          <w:rFonts w:hint="eastAsia" w:ascii="宋体" w:hAnsi="宋体" w:cs="宋体"/>
          <w:sz w:val="24"/>
          <w:szCs w:val="24"/>
        </w:rPr>
        <w:t>（一）成交供应商的确认</w:t>
      </w:r>
      <w:bookmarkEnd w:id="166"/>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s="宋体"/>
          <w:sz w:val="24"/>
          <w:szCs w:val="24"/>
        </w:rPr>
      </w:pPr>
      <w:bookmarkStart w:id="167" w:name="_Toc398_WPSOffice_Level3"/>
      <w:r>
        <w:rPr>
          <w:rFonts w:hint="eastAsia" w:ascii="宋体" w:hAnsi="宋体" w:cs="宋体"/>
          <w:sz w:val="24"/>
          <w:szCs w:val="24"/>
        </w:rPr>
        <w:t>（二）成交供应商的变更</w:t>
      </w:r>
      <w:bookmarkEnd w:id="167"/>
    </w:p>
    <w:p>
      <w:pPr>
        <w:snapToGrid w:val="0"/>
        <w:spacing w:line="360" w:lineRule="auto"/>
        <w:ind w:firstLine="480" w:firstLineChars="200"/>
        <w:rPr>
          <w:rFonts w:ascii="宋体" w:hAnsi="宋体" w:cs="宋体"/>
          <w:sz w:val="24"/>
          <w:szCs w:val="24"/>
        </w:rPr>
      </w:pPr>
      <w:r>
        <w:rPr>
          <w:rFonts w:hint="eastAsia" w:ascii="宋体" w:hAnsi="宋体" w:cs="宋体"/>
          <w:sz w:val="24"/>
        </w:rPr>
        <w:t>成交供应商拒绝与采购人签订合同的，采购人可以按照评审报告推荐的成交候选供应商顺序，确定排名下一位的候选人为成交供应商，也可以重新开展采购活动。</w:t>
      </w:r>
    </w:p>
    <w:p>
      <w:pPr>
        <w:pStyle w:val="5"/>
      </w:pPr>
      <w:bookmarkStart w:id="168" w:name="_Toc102227321"/>
      <w:bookmarkStart w:id="169" w:name="_Toc21783155"/>
      <w:bookmarkStart w:id="170" w:name="_Toc150506546"/>
      <w:bookmarkStart w:id="171" w:name="_Toc342913395"/>
      <w:bookmarkStart w:id="172" w:name="_Toc13252"/>
      <w:bookmarkStart w:id="173" w:name="_Toc23699_WPSOffice_Level2"/>
      <w:r>
        <w:rPr>
          <w:rFonts w:hint="eastAsia"/>
        </w:rPr>
        <w:t>五、成交通知</w:t>
      </w:r>
      <w:bookmarkEnd w:id="168"/>
      <w:bookmarkEnd w:id="169"/>
      <w:bookmarkEnd w:id="170"/>
      <w:bookmarkEnd w:id="171"/>
      <w:bookmarkEnd w:id="172"/>
      <w:bookmarkEnd w:id="173"/>
      <w:bookmarkStart w:id="174" w:name="_Toc20819_WPSOffice_Level2"/>
      <w:bookmarkStart w:id="175" w:name="_Toc30867"/>
      <w:bookmarkStart w:id="176" w:name="_Toc21783157"/>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（一）成交供应商确定后，采购代理机构将在重庆医科大学校园网上（主页-服务大厅-招投标信息）上发布成交结果公告。</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（二）网上成交结果公告将作为签订合同的依据。</w:t>
      </w:r>
    </w:p>
    <w:p>
      <w:pPr>
        <w:pStyle w:val="5"/>
      </w:pPr>
      <w:bookmarkStart w:id="177" w:name="_Toc150432525"/>
      <w:bookmarkStart w:id="178" w:name="_Toc150506547"/>
      <w:r>
        <w:rPr>
          <w:rFonts w:hint="eastAsia"/>
        </w:rPr>
        <w:t>六、关于质疑和投诉</w:t>
      </w:r>
      <w:bookmarkEnd w:id="177"/>
      <w:bookmarkEnd w:id="178"/>
    </w:p>
    <w:p>
      <w:pPr>
        <w:spacing w:line="560" w:lineRule="exact"/>
        <w:ind w:firstLine="480" w:firstLineChars="200"/>
        <w:rPr>
          <w:rFonts w:ascii="宋体" w:hAnsi="宋体" w:cs="仿宋"/>
          <w:sz w:val="24"/>
          <w:szCs w:val="28"/>
        </w:rPr>
      </w:pPr>
      <w:r>
        <w:rPr>
          <w:rFonts w:hint="eastAsia" w:ascii="宋体" w:hAnsi="宋体" w:cs="仿宋"/>
          <w:sz w:val="24"/>
          <w:szCs w:val="28"/>
        </w:rPr>
        <w:t>（一）质疑</w:t>
      </w:r>
    </w:p>
    <w:p>
      <w:pPr>
        <w:spacing w:line="560" w:lineRule="exact"/>
        <w:ind w:firstLine="480" w:firstLineChars="200"/>
        <w:rPr>
          <w:rFonts w:ascii="宋体" w:hAnsi="宋体" w:cs="仿宋"/>
          <w:sz w:val="24"/>
          <w:szCs w:val="28"/>
        </w:rPr>
      </w:pPr>
      <w:r>
        <w:rPr>
          <w:rFonts w:hint="eastAsia" w:ascii="宋体" w:hAnsi="宋体" w:cs="仿宋"/>
          <w:sz w:val="24"/>
          <w:szCs w:val="28"/>
        </w:rPr>
        <w:t>供应商认为采购文件、采购过程和成交结果使自己的权益收到伤害的，可向采购人或采购代理机构以书面形式提出质疑。</w:t>
      </w:r>
    </w:p>
    <w:p>
      <w:pPr>
        <w:spacing w:line="560" w:lineRule="exact"/>
        <w:ind w:firstLine="480" w:firstLineChars="200"/>
        <w:rPr>
          <w:rFonts w:ascii="宋体" w:hAnsi="宋体" w:cs="仿宋"/>
          <w:sz w:val="24"/>
          <w:szCs w:val="28"/>
        </w:rPr>
      </w:pPr>
      <w:r>
        <w:rPr>
          <w:rFonts w:hint="eastAsia" w:ascii="宋体" w:hAnsi="宋体" w:cs="仿宋"/>
          <w:sz w:val="24"/>
          <w:szCs w:val="28"/>
        </w:rPr>
        <w:t xml:space="preserve">提出质疑的应当是参与所质疑项目采购活动的供应商。 </w:t>
      </w:r>
    </w:p>
    <w:p>
      <w:pPr>
        <w:spacing w:line="560" w:lineRule="exact"/>
        <w:ind w:firstLine="480"/>
        <w:rPr>
          <w:rFonts w:ascii="宋体" w:hAnsi="宋体" w:cs="仿宋"/>
          <w:sz w:val="24"/>
          <w:szCs w:val="28"/>
        </w:rPr>
      </w:pPr>
      <w:r>
        <w:rPr>
          <w:rFonts w:hint="eastAsia" w:ascii="宋体" w:hAnsi="宋体" w:cs="仿宋"/>
          <w:sz w:val="24"/>
          <w:szCs w:val="28"/>
        </w:rPr>
        <w:t>1.质疑时限、内容</w:t>
      </w:r>
    </w:p>
    <w:p>
      <w:pPr>
        <w:spacing w:line="560" w:lineRule="exact"/>
        <w:ind w:firstLine="480"/>
        <w:rPr>
          <w:rFonts w:ascii="宋体" w:hAnsi="宋体" w:cs="仿宋"/>
          <w:sz w:val="24"/>
          <w:szCs w:val="28"/>
        </w:rPr>
      </w:pPr>
      <w:r>
        <w:rPr>
          <w:rFonts w:hint="eastAsia" w:ascii="宋体" w:hAnsi="宋体" w:cs="仿宋"/>
          <w:sz w:val="24"/>
          <w:szCs w:val="28"/>
        </w:rPr>
        <w:t>供应商认为采购文件、采购过程、成交结果使自己的权益受到损害的，可以在知道或者应知其权益受到损害之日起7个工作日内，以书面形式向采购人、采购代理机构提出质疑。</w:t>
      </w:r>
    </w:p>
    <w:p>
      <w:pPr>
        <w:spacing w:line="560" w:lineRule="exact"/>
        <w:ind w:firstLine="480"/>
        <w:rPr>
          <w:rFonts w:ascii="宋体" w:hAnsi="宋体" w:cs="仿宋"/>
          <w:sz w:val="24"/>
          <w:szCs w:val="28"/>
        </w:rPr>
      </w:pPr>
      <w:r>
        <w:rPr>
          <w:rFonts w:hint="eastAsia" w:ascii="宋体" w:hAnsi="宋体" w:cs="仿宋"/>
          <w:sz w:val="24"/>
          <w:szCs w:val="28"/>
        </w:rPr>
        <w:t>1.2供应商提出质疑应当提交质疑函和必要的证明材料，质疑函应当包括下列内容：</w:t>
      </w:r>
    </w:p>
    <w:p>
      <w:pPr>
        <w:spacing w:line="560" w:lineRule="exact"/>
        <w:ind w:firstLine="480"/>
        <w:rPr>
          <w:rFonts w:ascii="宋体" w:hAnsi="宋体" w:cs="仿宋"/>
          <w:sz w:val="24"/>
          <w:szCs w:val="28"/>
        </w:rPr>
      </w:pPr>
      <w:r>
        <w:rPr>
          <w:rFonts w:hint="eastAsia" w:ascii="宋体" w:hAnsi="宋体" w:cs="仿宋"/>
          <w:sz w:val="24"/>
          <w:szCs w:val="28"/>
        </w:rPr>
        <w:t>1.2.1供应商的姓名或者名称、地址、邮编、联系人及联系电话；</w:t>
      </w:r>
    </w:p>
    <w:p>
      <w:pPr>
        <w:spacing w:line="560" w:lineRule="exact"/>
        <w:ind w:firstLine="480"/>
        <w:rPr>
          <w:rFonts w:ascii="宋体" w:hAnsi="宋体" w:cs="仿宋"/>
          <w:sz w:val="24"/>
          <w:szCs w:val="28"/>
        </w:rPr>
      </w:pPr>
      <w:r>
        <w:rPr>
          <w:rFonts w:hint="eastAsia" w:ascii="宋体" w:hAnsi="宋体" w:cs="仿宋"/>
          <w:sz w:val="24"/>
          <w:szCs w:val="28"/>
        </w:rPr>
        <w:t>1.2.2质疑项目的名称、项目号以及磋商项目编号；</w:t>
      </w:r>
    </w:p>
    <w:p>
      <w:pPr>
        <w:spacing w:line="560" w:lineRule="exact"/>
        <w:ind w:firstLine="480"/>
        <w:rPr>
          <w:rFonts w:ascii="宋体" w:hAnsi="宋体" w:cs="仿宋"/>
          <w:sz w:val="24"/>
          <w:szCs w:val="28"/>
        </w:rPr>
      </w:pPr>
      <w:r>
        <w:rPr>
          <w:rFonts w:hint="eastAsia" w:ascii="宋体" w:hAnsi="宋体" w:cs="仿宋"/>
          <w:sz w:val="24"/>
          <w:szCs w:val="28"/>
        </w:rPr>
        <w:t>1.2.3具体、明确的质疑事项和与质疑事项相关的请求；</w:t>
      </w:r>
    </w:p>
    <w:p>
      <w:pPr>
        <w:spacing w:line="560" w:lineRule="exact"/>
        <w:ind w:firstLine="480"/>
        <w:rPr>
          <w:rFonts w:ascii="宋体" w:hAnsi="宋体" w:cs="仿宋"/>
          <w:sz w:val="24"/>
          <w:szCs w:val="28"/>
        </w:rPr>
      </w:pPr>
      <w:r>
        <w:rPr>
          <w:rFonts w:hint="eastAsia" w:ascii="宋体" w:hAnsi="宋体" w:cs="仿宋"/>
          <w:sz w:val="24"/>
          <w:szCs w:val="28"/>
        </w:rPr>
        <w:t>1.2.4事实依据；</w:t>
      </w:r>
    </w:p>
    <w:p>
      <w:pPr>
        <w:spacing w:line="560" w:lineRule="exact"/>
        <w:ind w:firstLine="480"/>
        <w:rPr>
          <w:rFonts w:ascii="宋体" w:hAnsi="宋体" w:cs="仿宋"/>
          <w:sz w:val="24"/>
          <w:szCs w:val="28"/>
        </w:rPr>
      </w:pPr>
      <w:r>
        <w:rPr>
          <w:rFonts w:hint="eastAsia" w:ascii="宋体" w:hAnsi="宋体" w:cs="仿宋"/>
          <w:sz w:val="24"/>
          <w:szCs w:val="28"/>
        </w:rPr>
        <w:t>1.2.5必要的法律依据；</w:t>
      </w:r>
    </w:p>
    <w:p>
      <w:pPr>
        <w:spacing w:line="560" w:lineRule="exact"/>
        <w:ind w:firstLine="480"/>
        <w:rPr>
          <w:rFonts w:ascii="宋体" w:hAnsi="宋体" w:cs="仿宋"/>
          <w:sz w:val="24"/>
          <w:szCs w:val="28"/>
        </w:rPr>
      </w:pPr>
      <w:r>
        <w:rPr>
          <w:rFonts w:hint="eastAsia" w:ascii="宋体" w:hAnsi="宋体" w:cs="仿宋"/>
          <w:sz w:val="24"/>
          <w:szCs w:val="28"/>
        </w:rPr>
        <w:t>1.2.6提出质疑的日期；</w:t>
      </w:r>
    </w:p>
    <w:p>
      <w:pPr>
        <w:spacing w:line="560" w:lineRule="exact"/>
        <w:ind w:firstLine="480"/>
        <w:rPr>
          <w:rFonts w:ascii="宋体" w:hAnsi="宋体" w:cs="仿宋"/>
          <w:sz w:val="24"/>
          <w:szCs w:val="28"/>
        </w:rPr>
      </w:pPr>
      <w:r>
        <w:rPr>
          <w:rFonts w:hint="eastAsia" w:ascii="宋体" w:hAnsi="宋体" w:cs="仿宋"/>
          <w:sz w:val="24"/>
          <w:szCs w:val="28"/>
        </w:rPr>
        <w:t>1.2.7营业执照（或事业单位法人证书，或个体工商户营业执照或有效的自然人身份证明、组织机构代码证）复印件；</w:t>
      </w:r>
    </w:p>
    <w:p>
      <w:pPr>
        <w:spacing w:line="560" w:lineRule="exact"/>
        <w:ind w:firstLine="480"/>
        <w:rPr>
          <w:rFonts w:ascii="宋体" w:hAnsi="宋体" w:cs="仿宋"/>
          <w:sz w:val="24"/>
          <w:szCs w:val="28"/>
        </w:rPr>
      </w:pPr>
      <w:r>
        <w:rPr>
          <w:rFonts w:hint="eastAsia" w:ascii="宋体" w:hAnsi="宋体" w:cs="仿宋"/>
          <w:sz w:val="24"/>
          <w:szCs w:val="28"/>
        </w:rPr>
        <w:t>1.2.8法定代表人授权委托书原件、法定代表人身份证复印件和其授权代表的身份证复印件（供应商为自然人的提供自然人身份证复印件）；</w:t>
      </w:r>
    </w:p>
    <w:p>
      <w:pPr>
        <w:spacing w:line="560" w:lineRule="exact"/>
        <w:ind w:firstLine="480"/>
        <w:rPr>
          <w:rFonts w:ascii="宋体" w:hAnsi="宋体" w:cs="仿宋"/>
          <w:sz w:val="24"/>
          <w:szCs w:val="28"/>
        </w:rPr>
      </w:pPr>
      <w:r>
        <w:rPr>
          <w:rFonts w:hint="eastAsia" w:ascii="宋体" w:hAnsi="宋体" w:cs="仿宋"/>
          <w:sz w:val="24"/>
          <w:szCs w:val="28"/>
        </w:rPr>
        <w:t>1.3供应商为自然人的，质疑函应当由本人签字；供应商为法人或者其他组织的，质疑函应当由法定代表人、主要负责人，或者其授权代表签字或者盖章，并加盖公章。</w:t>
      </w:r>
    </w:p>
    <w:p>
      <w:pPr>
        <w:spacing w:line="560" w:lineRule="exact"/>
        <w:ind w:firstLine="480"/>
        <w:rPr>
          <w:rFonts w:ascii="宋体" w:hAnsi="宋体" w:cs="仿宋"/>
          <w:sz w:val="24"/>
          <w:szCs w:val="28"/>
        </w:rPr>
      </w:pPr>
      <w:r>
        <w:rPr>
          <w:rFonts w:hint="eastAsia" w:ascii="宋体" w:hAnsi="宋体" w:cs="仿宋"/>
          <w:sz w:val="24"/>
          <w:szCs w:val="28"/>
        </w:rPr>
        <w:t>2.质疑答复</w:t>
      </w:r>
    </w:p>
    <w:p>
      <w:pPr>
        <w:spacing w:line="560" w:lineRule="exact"/>
        <w:ind w:firstLine="480"/>
        <w:rPr>
          <w:rFonts w:ascii="宋体" w:hAnsi="宋体" w:cs="仿宋"/>
          <w:sz w:val="24"/>
          <w:szCs w:val="28"/>
        </w:rPr>
      </w:pPr>
      <w:r>
        <w:rPr>
          <w:rFonts w:hint="eastAsia" w:ascii="宋体" w:hAnsi="宋体" w:cs="仿宋"/>
          <w:sz w:val="24"/>
          <w:szCs w:val="28"/>
        </w:rPr>
        <w:t>采购人、采购代理机构应当在收到供应商的书面质疑后七个工作日内作出答复，并以书面形式通知质疑供应商和其他有关供应商。</w:t>
      </w:r>
    </w:p>
    <w:p>
      <w:pPr>
        <w:spacing w:line="560" w:lineRule="exact"/>
        <w:ind w:firstLine="480"/>
        <w:rPr>
          <w:rFonts w:ascii="宋体" w:hAnsi="宋体" w:cs="仿宋"/>
          <w:sz w:val="24"/>
          <w:szCs w:val="28"/>
        </w:rPr>
      </w:pPr>
      <w:r>
        <w:rPr>
          <w:rFonts w:hint="eastAsia" w:ascii="宋体" w:hAnsi="宋体" w:cs="仿宋"/>
          <w:sz w:val="24"/>
          <w:szCs w:val="28"/>
        </w:rPr>
        <w:t>3.其他</w:t>
      </w:r>
    </w:p>
    <w:p>
      <w:pPr>
        <w:spacing w:line="560" w:lineRule="exact"/>
        <w:ind w:firstLine="480"/>
        <w:rPr>
          <w:rFonts w:ascii="宋体" w:hAnsi="宋体" w:cs="仿宋"/>
          <w:sz w:val="24"/>
          <w:szCs w:val="28"/>
        </w:rPr>
      </w:pPr>
      <w:r>
        <w:rPr>
          <w:rFonts w:hint="eastAsia" w:ascii="宋体" w:hAnsi="宋体" w:cs="仿宋"/>
          <w:sz w:val="24"/>
          <w:szCs w:val="28"/>
        </w:rPr>
        <w:t>3.1供应商应按照《政府采购质疑和投诉办法》（财政部令第94号）及相关法律法规要求，在法定质疑期内一次性提出针对同一采购程序环节的质疑。</w:t>
      </w:r>
    </w:p>
    <w:p>
      <w:pPr>
        <w:spacing w:line="560" w:lineRule="exact"/>
        <w:ind w:firstLine="480"/>
        <w:rPr>
          <w:rFonts w:ascii="宋体" w:hAnsi="宋体" w:cs="仿宋"/>
          <w:sz w:val="24"/>
          <w:szCs w:val="28"/>
        </w:rPr>
      </w:pPr>
      <w:r>
        <w:rPr>
          <w:rFonts w:hint="eastAsia" w:ascii="宋体" w:hAnsi="宋体" w:cs="仿宋"/>
          <w:sz w:val="24"/>
          <w:szCs w:val="28"/>
        </w:rPr>
        <w:t>3.2质疑函范本可在财政部门户网站和中国政府采购网下载。</w:t>
      </w:r>
    </w:p>
    <w:p>
      <w:pPr>
        <w:spacing w:line="560" w:lineRule="exact"/>
        <w:ind w:firstLine="480"/>
        <w:rPr>
          <w:rFonts w:ascii="宋体" w:hAnsi="宋体" w:cs="仿宋"/>
          <w:sz w:val="24"/>
          <w:szCs w:val="28"/>
        </w:rPr>
      </w:pPr>
      <w:r>
        <w:rPr>
          <w:rFonts w:hint="eastAsia" w:ascii="宋体" w:hAnsi="宋体" w:cs="仿宋"/>
          <w:sz w:val="24"/>
          <w:szCs w:val="28"/>
        </w:rPr>
        <w:t>（二）投诉</w:t>
      </w:r>
    </w:p>
    <w:p>
      <w:pPr>
        <w:spacing w:line="560" w:lineRule="exact"/>
        <w:ind w:firstLine="480"/>
        <w:rPr>
          <w:rFonts w:ascii="宋体" w:hAnsi="宋体" w:cs="仿宋"/>
          <w:sz w:val="24"/>
          <w:szCs w:val="28"/>
        </w:rPr>
      </w:pPr>
      <w:r>
        <w:rPr>
          <w:rFonts w:hint="eastAsia" w:ascii="宋体" w:hAnsi="宋体" w:cs="仿宋"/>
          <w:sz w:val="24"/>
          <w:szCs w:val="28"/>
        </w:rPr>
        <w:t>1.供应商对采购人、采购代理机构的答复不满意，或者采购人、采购代理机构未在规定时间内作出答复的，可以在答复期满后15个工作日内按照相关法律法规向财政部门提起投诉。</w:t>
      </w:r>
    </w:p>
    <w:p>
      <w:pPr>
        <w:spacing w:line="560" w:lineRule="exact"/>
        <w:ind w:firstLine="480"/>
        <w:rPr>
          <w:rFonts w:ascii="宋体" w:hAnsi="宋体" w:cs="仿宋"/>
          <w:sz w:val="24"/>
          <w:szCs w:val="28"/>
        </w:rPr>
      </w:pPr>
      <w:r>
        <w:rPr>
          <w:rFonts w:hint="eastAsia" w:ascii="宋体" w:hAnsi="宋体" w:cs="仿宋"/>
          <w:sz w:val="24"/>
          <w:szCs w:val="28"/>
        </w:rPr>
        <w:t>2.供应商应按照《政府采购质疑和投诉办法》（财政部令第94号）及相关法律法规要求递交投诉书和必要的证明材料。投诉书范本可在财政部门户网站和中国政府采购网下载。</w:t>
      </w:r>
    </w:p>
    <w:p>
      <w:pPr>
        <w:spacing w:line="560" w:lineRule="exact"/>
        <w:ind w:firstLine="480"/>
        <w:rPr>
          <w:rFonts w:ascii="宋体" w:hAnsi="宋体" w:cs="仿宋"/>
          <w:sz w:val="24"/>
          <w:szCs w:val="28"/>
        </w:rPr>
      </w:pPr>
      <w:r>
        <w:rPr>
          <w:rFonts w:hint="eastAsia" w:ascii="宋体" w:hAnsi="宋体" w:cs="仿宋"/>
          <w:sz w:val="24"/>
          <w:szCs w:val="28"/>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560" w:lineRule="exact"/>
        <w:ind w:firstLine="480" w:firstLineChars="200"/>
        <w:rPr>
          <w:rFonts w:ascii="宋体" w:hAnsi="宋体" w:cs="仿宋"/>
          <w:sz w:val="24"/>
          <w:szCs w:val="28"/>
        </w:rPr>
      </w:pPr>
      <w:r>
        <w:rPr>
          <w:rFonts w:hint="eastAsia" w:ascii="宋体" w:hAnsi="宋体" w:cs="仿宋"/>
          <w:sz w:val="24"/>
          <w:szCs w:val="28"/>
        </w:rPr>
        <w:t>4.在确定受理投诉后，财政部门自受理投诉之日起30个工作日内（需要检验、检测、鉴定、专家评审以及需要投诉人补正材料的，所需时间不计算在投诉处理期限内）对投诉事项做出处理决定。</w:t>
      </w:r>
    </w:p>
    <w:p>
      <w:pPr>
        <w:pStyle w:val="3"/>
        <w:ind w:left="0"/>
      </w:pPr>
    </w:p>
    <w:bookmarkEnd w:id="174"/>
    <w:bookmarkEnd w:id="175"/>
    <w:bookmarkEnd w:id="176"/>
    <w:p>
      <w:pPr>
        <w:pStyle w:val="5"/>
      </w:pPr>
      <w:bookmarkStart w:id="179" w:name="_Toc150506548"/>
      <w:r>
        <w:rPr>
          <w:rFonts w:hint="eastAsia"/>
        </w:rPr>
        <w:t>七、签订合同</w:t>
      </w:r>
      <w:bookmarkEnd w:id="179"/>
    </w:p>
    <w:p>
      <w:pPr>
        <w:spacing w:line="560" w:lineRule="exact"/>
        <w:ind w:firstLine="360" w:firstLineChars="150"/>
        <w:rPr>
          <w:rFonts w:ascii="宋体" w:hAnsi="宋体" w:cs="仿宋"/>
          <w:sz w:val="24"/>
          <w:szCs w:val="28"/>
        </w:rPr>
      </w:pPr>
      <w:r>
        <w:rPr>
          <w:rFonts w:hint="eastAsia" w:ascii="宋体" w:hAnsi="宋体" w:cs="仿宋"/>
          <w:sz w:val="24"/>
          <w:szCs w:val="28"/>
        </w:rPr>
        <w:t xml:space="preserve">（一）采购人应当自网上成交结果公告发出之日起三十日内，按照竞争性磋商文件和成交供应商响应文件的约定，与成交供应商签订书面合同。所签订的合同不得对竞争性磋商文件和供应商的响应文件作实质性修改。 </w:t>
      </w:r>
    </w:p>
    <w:p>
      <w:pPr>
        <w:spacing w:line="560" w:lineRule="exact"/>
        <w:ind w:firstLine="360" w:firstLineChars="150"/>
        <w:rPr>
          <w:rFonts w:ascii="宋体" w:hAnsi="宋体" w:cs="仿宋"/>
          <w:sz w:val="24"/>
          <w:szCs w:val="28"/>
        </w:rPr>
      </w:pPr>
      <w:r>
        <w:rPr>
          <w:rFonts w:hint="eastAsia" w:ascii="宋体" w:hAnsi="宋体" w:cs="仿宋"/>
          <w:sz w:val="24"/>
          <w:szCs w:val="28"/>
        </w:rPr>
        <w:t>（二）竞争性磋商文件、供应商的响应文件及澄清文件等，均为签订采购合同的依据。</w:t>
      </w:r>
    </w:p>
    <w:p>
      <w:pPr>
        <w:spacing w:line="560" w:lineRule="exact"/>
        <w:ind w:firstLine="360" w:firstLineChars="150"/>
        <w:rPr>
          <w:rFonts w:ascii="宋体" w:hAnsi="宋体" w:cs="仿宋"/>
          <w:sz w:val="24"/>
          <w:szCs w:val="28"/>
        </w:rPr>
      </w:pPr>
      <w:r>
        <w:rPr>
          <w:rFonts w:hint="eastAsia" w:ascii="宋体" w:hAnsi="宋体" w:cs="仿宋"/>
          <w:sz w:val="24"/>
          <w:szCs w:val="28"/>
        </w:rPr>
        <w:t>（三）合同生效条款由供需双方约定，法律、行政法规规定应当办理批准、登记等手续后生效的合同，依照其规定。</w:t>
      </w:r>
    </w:p>
    <w:p>
      <w:pPr>
        <w:spacing w:line="560" w:lineRule="exact"/>
        <w:ind w:firstLine="360" w:firstLineChars="150"/>
        <w:rPr>
          <w:rFonts w:ascii="宋体" w:hAnsi="宋体" w:cs="仿宋"/>
          <w:sz w:val="24"/>
          <w:szCs w:val="28"/>
        </w:rPr>
      </w:pPr>
      <w:r>
        <w:rPr>
          <w:rFonts w:hint="eastAsia" w:ascii="宋体" w:hAnsi="宋体" w:cs="仿宋"/>
          <w:sz w:val="24"/>
          <w:szCs w:val="28"/>
        </w:rPr>
        <w:t>（四）合同原则上应按照《重庆医科大学经济合同》签订，相关单位要求适用合同通用格式版本的，应按其要求另行签订其他合同。</w:t>
      </w:r>
    </w:p>
    <w:p>
      <w:pPr>
        <w:spacing w:line="560" w:lineRule="exact"/>
        <w:ind w:firstLine="480" w:firstLineChars="200"/>
        <w:rPr>
          <w:rFonts w:ascii="宋体" w:hAnsi="宋体" w:cs="仿宋"/>
          <w:sz w:val="24"/>
          <w:szCs w:val="28"/>
        </w:rPr>
      </w:pPr>
      <w:r>
        <w:rPr>
          <w:rFonts w:hint="eastAsia" w:ascii="宋体" w:hAnsi="宋体" w:cs="仿宋"/>
          <w:sz w:val="24"/>
          <w:szCs w:val="28"/>
        </w:rPr>
        <w:t>（五）采购人要求成交供应商提供履约保证金的，应当在竞争性磋商文件中予以约定。成交供应商履约完毕后，采购人根据采购文件规定无息退还其履约保证金。</w:t>
      </w:r>
    </w:p>
    <w:p>
      <w:bookmarkStart w:id="180" w:name="_Toc150432526"/>
    </w:p>
    <w:p/>
    <w:p/>
    <w:p/>
    <w:p>
      <w:pPr>
        <w:pStyle w:val="2"/>
      </w:pPr>
    </w:p>
    <w:p>
      <w:pPr>
        <w:pStyle w:val="3"/>
        <w:ind w:left="0"/>
      </w:pPr>
    </w:p>
    <w:p/>
    <w:p>
      <w:pPr>
        <w:pStyle w:val="2"/>
      </w:pPr>
    </w:p>
    <w:p>
      <w:pPr>
        <w:pStyle w:val="3"/>
      </w:pPr>
    </w:p>
    <w:p/>
    <w:p>
      <w:pPr>
        <w:pStyle w:val="2"/>
      </w:pPr>
    </w:p>
    <w:p>
      <w:pPr>
        <w:pStyle w:val="3"/>
      </w:pPr>
    </w:p>
    <w:p/>
    <w:p>
      <w:pPr>
        <w:pStyle w:val="2"/>
      </w:pPr>
    </w:p>
    <w:p>
      <w:pPr>
        <w:pStyle w:val="3"/>
      </w:pPr>
    </w:p>
    <w:p/>
    <w:p/>
    <w:p>
      <w:pPr>
        <w:pStyle w:val="3"/>
      </w:pPr>
    </w:p>
    <w:p/>
    <w:p>
      <w:pPr>
        <w:pStyle w:val="4"/>
      </w:pPr>
      <w:bookmarkStart w:id="181" w:name="_Toc150506549"/>
      <w:r>
        <w:rPr>
          <w:rFonts w:hint="eastAsia"/>
        </w:rPr>
        <w:t>第六篇  采购合同</w:t>
      </w:r>
      <w:bookmarkEnd w:id="180"/>
      <w:bookmarkEnd w:id="181"/>
      <w:r>
        <w:rPr>
          <w:rFonts w:hint="eastAsia"/>
        </w:rPr>
        <w:t>样本</w:t>
      </w:r>
    </w:p>
    <w:p>
      <w:pPr>
        <w:rPr>
          <w:rFonts w:ascii="仿宋" w:hAnsi="仿宋" w:eastAsia="仿宋" w:cs="仿宋"/>
        </w:rPr>
      </w:pPr>
    </w:p>
    <w:p>
      <w:pPr>
        <w:spacing w:line="560" w:lineRule="exact"/>
        <w:jc w:val="center"/>
        <w:rPr>
          <w:rFonts w:ascii="仿宋" w:hAnsi="仿宋" w:eastAsia="仿宋" w:cs="仿宋"/>
          <w:sz w:val="32"/>
          <w:szCs w:val="32"/>
          <w:u w:val="single"/>
        </w:rPr>
      </w:pPr>
      <w:r>
        <w:rPr>
          <w:rFonts w:hint="eastAsia" w:ascii="仿宋" w:hAnsi="仿宋" w:eastAsia="仿宋" w:cs="仿宋"/>
          <w:szCs w:val="28"/>
        </w:rPr>
        <w:t xml:space="preserve">                       </w:t>
      </w:r>
      <w:r>
        <w:rPr>
          <w:rFonts w:hint="eastAsia" w:ascii="仿宋" w:hAnsi="仿宋" w:eastAsia="仿宋" w:cs="仿宋"/>
          <w:sz w:val="32"/>
          <w:szCs w:val="32"/>
        </w:rPr>
        <w:t xml:space="preserve">  合同编号：</w:t>
      </w:r>
      <w:r>
        <w:rPr>
          <w:rFonts w:hint="eastAsia" w:ascii="仿宋" w:hAnsi="仿宋" w:eastAsia="仿宋" w:cs="仿宋"/>
          <w:sz w:val="32"/>
          <w:szCs w:val="32"/>
          <w:u w:val="single"/>
        </w:rPr>
        <w:t xml:space="preserve">         </w:t>
      </w:r>
    </w:p>
    <w:p>
      <w:pPr>
        <w:spacing w:line="560" w:lineRule="exact"/>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2" w:char="00A3"/>
      </w:r>
      <w:r>
        <w:rPr>
          <w:rFonts w:hint="eastAsia" w:ascii="仿宋" w:hAnsi="仿宋" w:eastAsia="仿宋" w:cs="仿宋"/>
          <w:sz w:val="32"/>
          <w:szCs w:val="32"/>
        </w:rPr>
        <w:t xml:space="preserve">正本      </w:t>
      </w:r>
      <w:r>
        <w:rPr>
          <w:rFonts w:hint="eastAsia" w:ascii="仿宋" w:hAnsi="仿宋" w:eastAsia="仿宋" w:cs="仿宋"/>
          <w:sz w:val="32"/>
          <w:szCs w:val="32"/>
        </w:rPr>
        <w:sym w:font="Wingdings 2" w:char="00A3"/>
      </w:r>
      <w:r>
        <w:rPr>
          <w:rFonts w:hint="eastAsia" w:ascii="仿宋" w:hAnsi="仿宋" w:eastAsia="仿宋" w:cs="仿宋"/>
          <w:sz w:val="32"/>
          <w:szCs w:val="32"/>
        </w:rPr>
        <w:t>副本</w:t>
      </w:r>
    </w:p>
    <w:p>
      <w:pPr>
        <w:spacing w:line="560" w:lineRule="exact"/>
        <w:rPr>
          <w:rFonts w:ascii="仿宋" w:hAnsi="仿宋" w:eastAsia="仿宋" w:cs="仿宋"/>
          <w:szCs w:val="28"/>
        </w:rPr>
      </w:pPr>
    </w:p>
    <w:p>
      <w:pPr>
        <w:spacing w:line="560" w:lineRule="exact"/>
        <w:rPr>
          <w:rFonts w:ascii="仿宋" w:hAnsi="仿宋" w:eastAsia="仿宋" w:cs="仿宋"/>
          <w:szCs w:val="28"/>
        </w:rPr>
      </w:pPr>
    </w:p>
    <w:p>
      <w:pPr>
        <w:spacing w:line="560" w:lineRule="exact"/>
        <w:rPr>
          <w:rFonts w:ascii="仿宋" w:hAnsi="仿宋" w:eastAsia="仿宋" w:cs="仿宋"/>
          <w:szCs w:val="28"/>
        </w:rPr>
      </w:pPr>
    </w:p>
    <w:p>
      <w:pPr>
        <w:spacing w:line="900" w:lineRule="exact"/>
        <w:jc w:val="center"/>
        <w:rPr>
          <w:rFonts w:ascii="仿宋" w:hAnsi="仿宋" w:eastAsia="仿宋" w:cs="仿宋"/>
          <w:sz w:val="72"/>
          <w:szCs w:val="72"/>
        </w:rPr>
      </w:pPr>
      <w:r>
        <w:rPr>
          <w:rFonts w:hint="eastAsia" w:ascii="仿宋" w:hAnsi="仿宋" w:eastAsia="仿宋" w:cs="仿宋"/>
          <w:sz w:val="72"/>
          <w:szCs w:val="72"/>
        </w:rPr>
        <w:t>重庆医科大学经济合同</w:t>
      </w:r>
    </w:p>
    <w:p>
      <w:pPr>
        <w:spacing w:line="640" w:lineRule="exact"/>
        <w:jc w:val="center"/>
        <w:rPr>
          <w:rFonts w:ascii="仿宋" w:hAnsi="仿宋" w:eastAsia="仿宋" w:cs="仿宋"/>
          <w:szCs w:val="28"/>
        </w:rPr>
      </w:pPr>
    </w:p>
    <w:p>
      <w:pPr>
        <w:spacing w:line="640" w:lineRule="exact"/>
        <w:rPr>
          <w:rFonts w:ascii="仿宋" w:hAnsi="仿宋" w:eastAsia="仿宋" w:cs="仿宋"/>
          <w:szCs w:val="28"/>
        </w:rPr>
      </w:pPr>
    </w:p>
    <w:p>
      <w:pPr>
        <w:spacing w:line="640" w:lineRule="exact"/>
        <w:ind w:firstLine="480" w:firstLineChars="150"/>
        <w:rPr>
          <w:rFonts w:ascii="仿宋" w:hAnsi="仿宋" w:eastAsia="仿宋" w:cs="仿宋"/>
          <w:sz w:val="32"/>
          <w:szCs w:val="32"/>
        </w:rPr>
      </w:pPr>
      <w:r>
        <w:rPr>
          <w:rFonts w:hint="eastAsia" w:ascii="仿宋" w:hAnsi="仿宋" w:eastAsia="仿宋" w:cs="仿宋"/>
          <w:sz w:val="32"/>
          <w:szCs w:val="32"/>
        </w:rPr>
        <w:t xml:space="preserve">合同类型：■买卖合同  </w:t>
      </w:r>
      <w:r>
        <w:rPr>
          <w:rFonts w:hint="eastAsia" w:ascii="仿宋" w:hAnsi="仿宋" w:eastAsia="仿宋" w:cs="仿宋"/>
          <w:sz w:val="32"/>
          <w:szCs w:val="32"/>
        </w:rPr>
        <w:sym w:font="Wingdings 2" w:char="00A3"/>
      </w:r>
      <w:r>
        <w:rPr>
          <w:rFonts w:hint="eastAsia" w:ascii="仿宋" w:hAnsi="仿宋" w:eastAsia="仿宋" w:cs="仿宋"/>
          <w:sz w:val="32"/>
          <w:szCs w:val="32"/>
        </w:rPr>
        <w:t xml:space="preserve">技术合同 </w:t>
      </w:r>
      <w:r>
        <w:rPr>
          <w:rFonts w:hint="eastAsia" w:ascii="仿宋" w:hAnsi="仿宋" w:eastAsia="仿宋" w:cs="仿宋"/>
          <w:sz w:val="32"/>
          <w:szCs w:val="32"/>
        </w:rPr>
        <w:sym w:font="Wingdings 2" w:char="00A3"/>
      </w:r>
      <w:r>
        <w:rPr>
          <w:rFonts w:hint="eastAsia" w:ascii="仿宋" w:hAnsi="仿宋" w:eastAsia="仿宋" w:cs="仿宋"/>
          <w:sz w:val="32"/>
          <w:szCs w:val="32"/>
        </w:rPr>
        <w:t>建设工程合同</w:t>
      </w:r>
    </w:p>
    <w:p>
      <w:pPr>
        <w:spacing w:line="640" w:lineRule="exact"/>
        <w:ind w:firstLine="2080" w:firstLineChars="650"/>
        <w:rPr>
          <w:rFonts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 xml:space="preserve">委托合同  </w:t>
      </w:r>
      <w:r>
        <w:rPr>
          <w:rFonts w:hint="eastAsia" w:ascii="仿宋" w:hAnsi="仿宋" w:eastAsia="仿宋" w:cs="仿宋"/>
          <w:sz w:val="32"/>
          <w:szCs w:val="32"/>
        </w:rPr>
        <w:sym w:font="Wingdings 2" w:char="00A3"/>
      </w:r>
      <w:r>
        <w:rPr>
          <w:rFonts w:hint="eastAsia" w:ascii="仿宋" w:hAnsi="仿宋" w:eastAsia="仿宋" w:cs="仿宋"/>
          <w:sz w:val="32"/>
          <w:szCs w:val="32"/>
        </w:rPr>
        <w:t xml:space="preserve">租赁合同 </w:t>
      </w:r>
      <w:r>
        <w:rPr>
          <w:rFonts w:hint="eastAsia" w:ascii="仿宋" w:hAnsi="仿宋" w:eastAsia="仿宋" w:cs="仿宋"/>
          <w:sz w:val="32"/>
          <w:szCs w:val="32"/>
        </w:rPr>
        <w:sym w:font="Wingdings 2" w:char="00A3"/>
      </w:r>
      <w:r>
        <w:rPr>
          <w:rFonts w:hint="eastAsia" w:ascii="仿宋" w:hAnsi="仿宋" w:eastAsia="仿宋" w:cs="仿宋"/>
          <w:sz w:val="32"/>
          <w:szCs w:val="32"/>
        </w:rPr>
        <w:t>承揽合同</w:t>
      </w:r>
    </w:p>
    <w:p>
      <w:pPr>
        <w:spacing w:line="640" w:lineRule="exact"/>
        <w:ind w:firstLine="2080" w:firstLineChars="650"/>
        <w:rPr>
          <w:rFonts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 xml:space="preserve">赠与合同  </w:t>
      </w:r>
      <w:r>
        <w:rPr>
          <w:rFonts w:hint="eastAsia" w:ascii="仿宋" w:hAnsi="仿宋" w:eastAsia="仿宋" w:cs="仿宋"/>
          <w:sz w:val="32"/>
          <w:szCs w:val="32"/>
        </w:rPr>
        <w:sym w:font="Wingdings 2" w:char="00A3"/>
      </w:r>
      <w:r>
        <w:rPr>
          <w:rFonts w:hint="eastAsia" w:ascii="仿宋" w:hAnsi="仿宋" w:eastAsia="仿宋" w:cs="仿宋"/>
          <w:sz w:val="32"/>
          <w:szCs w:val="32"/>
        </w:rPr>
        <w:t xml:space="preserve">运输合同 </w:t>
      </w:r>
      <w:r>
        <w:rPr>
          <w:rFonts w:hint="eastAsia" w:ascii="仿宋" w:hAnsi="仿宋" w:eastAsia="仿宋" w:cs="仿宋"/>
          <w:sz w:val="32"/>
          <w:szCs w:val="32"/>
        </w:rPr>
        <w:sym w:font="Wingdings 2" w:char="00A3"/>
      </w:r>
      <w:r>
        <w:rPr>
          <w:rFonts w:hint="eastAsia" w:ascii="仿宋" w:hAnsi="仿宋" w:eastAsia="仿宋" w:cs="仿宋"/>
          <w:sz w:val="32"/>
          <w:szCs w:val="32"/>
        </w:rPr>
        <w:t>物业服务合同</w:t>
      </w:r>
    </w:p>
    <w:p>
      <w:pPr>
        <w:spacing w:line="640" w:lineRule="exact"/>
        <w:ind w:firstLine="2080" w:firstLineChars="650"/>
        <w:rPr>
          <w:rFonts w:ascii="仿宋" w:hAnsi="仿宋" w:eastAsia="仿宋" w:cs="仿宋"/>
          <w:sz w:val="32"/>
          <w:szCs w:val="32"/>
          <w:u w:val="single"/>
        </w:rPr>
      </w:pPr>
      <w:r>
        <w:rPr>
          <w:rFonts w:hint="eastAsia" w:ascii="仿宋" w:hAnsi="仿宋" w:eastAsia="仿宋" w:cs="仿宋"/>
          <w:sz w:val="32"/>
          <w:szCs w:val="32"/>
        </w:rPr>
        <w:sym w:font="Wingdings 2" w:char="00A3"/>
      </w:r>
      <w:r>
        <w:rPr>
          <w:rFonts w:hint="eastAsia" w:ascii="仿宋" w:hAnsi="仿宋" w:eastAsia="仿宋" w:cs="仿宋"/>
          <w:sz w:val="32"/>
          <w:szCs w:val="32"/>
        </w:rPr>
        <w:t>其它典型合同</w:t>
      </w:r>
      <w:r>
        <w:rPr>
          <w:rFonts w:hint="eastAsia" w:ascii="仿宋" w:hAnsi="仿宋" w:eastAsia="仿宋" w:cs="仿宋"/>
          <w:sz w:val="32"/>
          <w:szCs w:val="32"/>
          <w:u w:val="single"/>
        </w:rPr>
        <w:t xml:space="preserve">                       </w:t>
      </w:r>
    </w:p>
    <w:p>
      <w:pPr>
        <w:spacing w:line="640" w:lineRule="exact"/>
        <w:rPr>
          <w:rFonts w:ascii="仿宋" w:hAnsi="仿宋" w:eastAsia="仿宋" w:cs="仿宋"/>
          <w:sz w:val="32"/>
          <w:szCs w:val="32"/>
        </w:rPr>
      </w:pPr>
      <w:r>
        <w:rPr>
          <w:rFonts w:hint="eastAsia" w:ascii="仿宋" w:hAnsi="仿宋" w:eastAsia="仿宋" w:cs="仿宋"/>
          <w:sz w:val="32"/>
          <w:szCs w:val="32"/>
        </w:rPr>
        <w:t xml:space="preserve">    合同甲方：重庆医科大学</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合同乙方：</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合同金额：人民币     元</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经费项目：</w:t>
      </w:r>
    </w:p>
    <w:p>
      <w:pPr>
        <w:spacing w:line="640" w:lineRule="exact"/>
        <w:jc w:val="center"/>
        <w:rPr>
          <w:rFonts w:ascii="仿宋" w:hAnsi="仿宋" w:eastAsia="仿宋" w:cs="仿宋"/>
          <w:sz w:val="32"/>
          <w:szCs w:val="32"/>
        </w:rPr>
      </w:pPr>
    </w:p>
    <w:p>
      <w:pPr>
        <w:spacing w:line="640" w:lineRule="exact"/>
        <w:jc w:val="center"/>
        <w:rPr>
          <w:rFonts w:ascii="仿宋" w:hAnsi="仿宋" w:eastAsia="仿宋" w:cs="仿宋"/>
          <w:sz w:val="32"/>
          <w:szCs w:val="32"/>
        </w:rPr>
      </w:pPr>
      <w:r>
        <w:rPr>
          <w:rFonts w:hint="eastAsia" w:ascii="仿宋" w:hAnsi="仿宋" w:eastAsia="仿宋" w:cs="仿宋"/>
          <w:sz w:val="32"/>
          <w:szCs w:val="32"/>
        </w:rPr>
        <w:t>签订时间：     年   月   日</w:t>
      </w:r>
    </w:p>
    <w:p>
      <w:pPr>
        <w:spacing w:line="640" w:lineRule="exact"/>
        <w:jc w:val="center"/>
        <w:rPr>
          <w:rFonts w:ascii="仿宋" w:hAnsi="仿宋" w:eastAsia="仿宋" w:cs="仿宋"/>
          <w:sz w:val="32"/>
          <w:szCs w:val="32"/>
        </w:rPr>
      </w:pPr>
    </w:p>
    <w:p>
      <w:pPr>
        <w:spacing w:line="640" w:lineRule="exact"/>
        <w:jc w:val="center"/>
        <w:rPr>
          <w:rFonts w:ascii="仿宋" w:hAnsi="仿宋" w:eastAsia="仿宋" w:cs="仿宋"/>
          <w:sz w:val="32"/>
          <w:szCs w:val="32"/>
        </w:rPr>
      </w:pPr>
      <w:r>
        <w:rPr>
          <w:rFonts w:hint="eastAsia" w:ascii="仿宋" w:hAnsi="仿宋" w:eastAsia="仿宋" w:cs="仿宋"/>
          <w:sz w:val="32"/>
          <w:szCs w:val="32"/>
        </w:rPr>
        <w:t>重庆医科大学财务处 监制</w:t>
      </w:r>
    </w:p>
    <w:p>
      <w:pPr>
        <w:snapToGrid w:val="0"/>
        <w:spacing w:line="500" w:lineRule="exact"/>
        <w:jc w:val="center"/>
        <w:outlineLvl w:val="0"/>
        <w:rPr>
          <w:rFonts w:ascii="仿宋" w:hAnsi="仿宋" w:eastAsia="仿宋" w:cs="仿宋"/>
          <w:sz w:val="44"/>
        </w:rPr>
        <w:sectPr>
          <w:headerReference r:id="rId5" w:type="default"/>
          <w:pgSz w:w="11907" w:h="16840"/>
          <w:pgMar w:top="1134" w:right="1191" w:bottom="1134" w:left="1304" w:header="964" w:footer="992" w:gutter="0"/>
          <w:pgNumType w:fmt="numberInDash"/>
          <w:cols w:space="720" w:num="1"/>
          <w:docGrid w:linePitch="312" w:charSpace="0"/>
        </w:sectPr>
      </w:pPr>
    </w:p>
    <w:p>
      <w:pPr>
        <w:spacing w:line="480" w:lineRule="exact"/>
        <w:jc w:val="center"/>
        <w:rPr>
          <w:rFonts w:ascii="仿宋" w:hAnsi="仿宋" w:eastAsia="仿宋" w:cs="仿宋"/>
          <w:b/>
          <w:sz w:val="44"/>
        </w:rPr>
      </w:pPr>
      <w:r>
        <w:rPr>
          <w:rFonts w:hint="eastAsia" w:ascii="仿宋" w:hAnsi="仿宋" w:eastAsia="仿宋" w:cs="仿宋"/>
          <w:b/>
          <w:sz w:val="44"/>
        </w:rPr>
        <w:t>经济合同</w:t>
      </w:r>
    </w:p>
    <w:p>
      <w:pPr>
        <w:spacing w:line="480" w:lineRule="exact"/>
        <w:jc w:val="center"/>
        <w:rPr>
          <w:rFonts w:ascii="仿宋" w:hAnsi="仿宋" w:eastAsia="仿宋" w:cs="仿宋"/>
        </w:rPr>
      </w:pPr>
      <w:r>
        <w:rPr>
          <w:rFonts w:hint="eastAsia" w:ascii="仿宋" w:hAnsi="仿宋" w:eastAsia="仿宋" w:cs="仿宋"/>
        </w:rPr>
        <w:t>（项目号：     ）</w:t>
      </w:r>
    </w:p>
    <w:p>
      <w:pPr>
        <w:pStyle w:val="2"/>
      </w:pPr>
    </w:p>
    <w:p>
      <w:pPr>
        <w:spacing w:line="480" w:lineRule="exact"/>
        <w:rPr>
          <w:rFonts w:ascii="仿宋" w:hAnsi="仿宋" w:eastAsia="仿宋" w:cs="仿宋"/>
          <w:sz w:val="24"/>
        </w:rPr>
      </w:pPr>
      <w:r>
        <w:rPr>
          <w:rFonts w:hint="eastAsia" w:ascii="仿宋" w:hAnsi="仿宋" w:eastAsia="仿宋" w:cs="仿宋"/>
          <w:sz w:val="24"/>
        </w:rPr>
        <w:t>甲方（需方、</w:t>
      </w:r>
      <w:r>
        <w:rPr>
          <w:rFonts w:hint="eastAsia" w:ascii="仿宋" w:hAnsi="仿宋" w:eastAsia="仿宋" w:cs="仿宋"/>
          <w:bCs/>
          <w:sz w:val="24"/>
        </w:rPr>
        <w:t>采购人</w:t>
      </w:r>
      <w:r>
        <w:rPr>
          <w:rFonts w:hint="eastAsia" w:ascii="仿宋" w:hAnsi="仿宋" w:eastAsia="仿宋" w:cs="仿宋"/>
          <w:sz w:val="24"/>
        </w:rPr>
        <w:t>）：</w:t>
      </w:r>
      <w:r>
        <w:rPr>
          <w:rFonts w:hint="eastAsia" w:ascii="仿宋" w:hAnsi="仿宋" w:eastAsia="仿宋" w:cs="仿宋"/>
          <w:sz w:val="24"/>
          <w:u w:val="single"/>
        </w:rPr>
        <w:t>_ _重庆医科大学_ _</w:t>
      </w:r>
      <w:r>
        <w:rPr>
          <w:rFonts w:hint="eastAsia" w:ascii="仿宋" w:hAnsi="仿宋" w:eastAsia="仿宋" w:cs="仿宋"/>
          <w:sz w:val="24"/>
        </w:rPr>
        <w:t xml:space="preserve">       计价单位：</w:t>
      </w:r>
      <w:r>
        <w:rPr>
          <w:rFonts w:hint="eastAsia" w:ascii="仿宋" w:hAnsi="仿宋" w:eastAsia="仿宋" w:cs="仿宋"/>
          <w:sz w:val="24"/>
          <w:u w:val="single"/>
        </w:rPr>
        <w:t>_人民币：元__</w:t>
      </w:r>
    </w:p>
    <w:p>
      <w:pPr>
        <w:spacing w:line="480" w:lineRule="exact"/>
        <w:rPr>
          <w:rFonts w:ascii="仿宋" w:hAnsi="仿宋" w:eastAsia="仿宋" w:cs="仿宋"/>
          <w:sz w:val="24"/>
        </w:rPr>
      </w:pPr>
      <w:r>
        <w:rPr>
          <w:rFonts w:hint="eastAsia" w:ascii="仿宋" w:hAnsi="仿宋" w:eastAsia="仿宋" w:cs="仿宋"/>
          <w:sz w:val="24"/>
        </w:rPr>
        <w:t>乙方（供方、</w:t>
      </w:r>
      <w:r>
        <w:rPr>
          <w:rFonts w:hint="eastAsia" w:ascii="仿宋" w:hAnsi="仿宋" w:eastAsia="仿宋" w:cs="仿宋"/>
          <w:bCs/>
          <w:sz w:val="24"/>
        </w:rPr>
        <w:t>中标人</w:t>
      </w:r>
      <w:r>
        <w:rPr>
          <w:rFonts w:hint="eastAsia" w:ascii="仿宋" w:hAnsi="仿宋" w:eastAsia="仿宋" w:cs="仿宋"/>
          <w:sz w:val="24"/>
        </w:rPr>
        <w:t>）：___________________      计量单位：_____________</w:t>
      </w:r>
    </w:p>
    <w:p>
      <w:pPr>
        <w:spacing w:line="480" w:lineRule="exact"/>
        <w:rPr>
          <w:rFonts w:ascii="仿宋" w:hAnsi="仿宋" w:eastAsia="仿宋" w:cs="仿宋"/>
          <w:sz w:val="24"/>
        </w:rPr>
      </w:pP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根据《中华人民共和国民法典》《中华人民共和国政府采购法》等法律规定，经双方协商一致，达成以下经济合同：</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7"/>
        <w:gridCol w:w="865"/>
        <w:gridCol w:w="850"/>
        <w:gridCol w:w="155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1330"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项目名称</w:t>
            </w:r>
          </w:p>
        </w:tc>
        <w:tc>
          <w:tcPr>
            <w:tcW w:w="1741"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规格型号</w:t>
            </w:r>
          </w:p>
        </w:tc>
        <w:tc>
          <w:tcPr>
            <w:tcW w:w="984"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数量</w:t>
            </w:r>
          </w:p>
        </w:tc>
        <w:tc>
          <w:tcPr>
            <w:tcW w:w="1582" w:type="dxa"/>
            <w:gridSpan w:val="2"/>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单价（元）</w:t>
            </w:r>
          </w:p>
        </w:tc>
        <w:tc>
          <w:tcPr>
            <w:tcW w:w="850"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总价（元）</w:t>
            </w:r>
          </w:p>
        </w:tc>
        <w:tc>
          <w:tcPr>
            <w:tcW w:w="1559"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交货时间</w:t>
            </w:r>
          </w:p>
        </w:tc>
        <w:tc>
          <w:tcPr>
            <w:tcW w:w="1567"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2" w:hRule="atLeast"/>
          <w:jc w:val="center"/>
        </w:trPr>
        <w:tc>
          <w:tcPr>
            <w:tcW w:w="1330" w:type="dxa"/>
            <w:vAlign w:val="center"/>
          </w:tcPr>
          <w:p>
            <w:pPr>
              <w:spacing w:line="240" w:lineRule="atLeast"/>
              <w:jc w:val="center"/>
              <w:rPr>
                <w:rFonts w:ascii="仿宋" w:hAnsi="仿宋" w:eastAsia="仿宋" w:cs="仿宋"/>
                <w:sz w:val="24"/>
                <w:szCs w:val="24"/>
              </w:rPr>
            </w:pPr>
          </w:p>
        </w:tc>
        <w:tc>
          <w:tcPr>
            <w:tcW w:w="1741"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见附件1</w:t>
            </w:r>
          </w:p>
        </w:tc>
        <w:tc>
          <w:tcPr>
            <w:tcW w:w="984"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见附件1</w:t>
            </w:r>
          </w:p>
        </w:tc>
        <w:tc>
          <w:tcPr>
            <w:tcW w:w="1582" w:type="dxa"/>
            <w:gridSpan w:val="2"/>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见附件1</w:t>
            </w:r>
          </w:p>
        </w:tc>
        <w:tc>
          <w:tcPr>
            <w:tcW w:w="850"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见附件1</w:t>
            </w:r>
          </w:p>
        </w:tc>
        <w:tc>
          <w:tcPr>
            <w:tcW w:w="1559"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年 月 日</w:t>
            </w:r>
          </w:p>
        </w:tc>
        <w:tc>
          <w:tcPr>
            <w:tcW w:w="1567"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重庆医科大学用户单位指定地点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8" w:hRule="atLeast"/>
          <w:jc w:val="center"/>
        </w:trPr>
        <w:tc>
          <w:tcPr>
            <w:tcW w:w="9613" w:type="dxa"/>
            <w:gridSpan w:val="8"/>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合同总价（含税）：人民币（小写）</w:t>
            </w:r>
          </w:p>
          <w:p>
            <w:pPr>
              <w:spacing w:line="240" w:lineRule="atLeast"/>
              <w:ind w:firstLine="2040" w:firstLineChars="850"/>
              <w:rPr>
                <w:rFonts w:ascii="仿宋" w:hAnsi="仿宋" w:eastAsia="仿宋" w:cs="仿宋"/>
                <w:sz w:val="24"/>
                <w:szCs w:val="24"/>
              </w:rPr>
            </w:pPr>
            <w:r>
              <w:rPr>
                <w:rFonts w:hint="eastAsia" w:ascii="仿宋" w:hAnsi="仿宋" w:eastAsia="仿宋" w:cs="仿宋"/>
                <w:sz w:val="24"/>
                <w:szCs w:val="24"/>
              </w:rPr>
              <w:t>人民币（大写）</w:t>
            </w:r>
          </w:p>
          <w:p>
            <w:pPr>
              <w:spacing w:line="240" w:lineRule="atLeast"/>
              <w:jc w:val="left"/>
              <w:rPr>
                <w:rFonts w:ascii="仿宋" w:hAnsi="仿宋" w:eastAsia="仿宋" w:cs="仿宋"/>
                <w:sz w:val="24"/>
                <w:szCs w:val="24"/>
              </w:rPr>
            </w:pPr>
            <w:r>
              <w:rPr>
                <w:rFonts w:hint="eastAsia" w:ascii="仿宋" w:hAnsi="仿宋" w:eastAsia="仿宋" w:cs="仿宋"/>
                <w:sz w:val="24"/>
                <w:szCs w:val="24"/>
              </w:rPr>
              <w:t>备注：</w:t>
            </w:r>
          </w:p>
          <w:p>
            <w:pPr>
              <w:spacing w:line="240" w:lineRule="atLeast"/>
              <w:jc w:val="left"/>
              <w:rPr>
                <w:rFonts w:ascii="仿宋" w:hAnsi="仿宋" w:eastAsia="仿宋" w:cs="仿宋"/>
                <w:sz w:val="24"/>
                <w:szCs w:val="24"/>
              </w:rPr>
            </w:pPr>
            <w:r>
              <w:rPr>
                <w:rFonts w:hint="eastAsia" w:ascii="仿宋" w:hAnsi="仿宋" w:eastAsia="仿宋" w:cs="仿宋"/>
                <w:sz w:val="24"/>
                <w:szCs w:val="24"/>
              </w:rPr>
              <w:t>1.本项目为“交钥匙工程”，上述合同总价为“包干价”，包括但不限于：乙方为履行合同所需的货款、技术资料费、安装调试费、运输费、保险费、包装费、装卸费及与所有税费。乙方投标时已充分考虑到所有费用，甲方后续不额外支付任何费用。</w:t>
            </w:r>
          </w:p>
          <w:p>
            <w:pPr>
              <w:spacing w:line="240" w:lineRule="atLeast"/>
              <w:rPr>
                <w:rFonts w:ascii="仿宋" w:hAnsi="仿宋" w:eastAsia="仿宋" w:cs="仿宋"/>
                <w:sz w:val="24"/>
                <w:szCs w:val="24"/>
              </w:rPr>
            </w:pPr>
            <w:r>
              <w:rPr>
                <w:rFonts w:hint="eastAsia" w:ascii="仿宋" w:hAnsi="仿宋" w:eastAsia="仿宋" w:cs="仿宋"/>
                <w:sz w:val="24"/>
                <w:szCs w:val="24"/>
              </w:rPr>
              <w:t>2.本合同技术参数详见附件，甲方用户单位已逐页确认，符合其采购需求。</w:t>
            </w:r>
          </w:p>
          <w:p>
            <w:pPr>
              <w:spacing w:line="240" w:lineRule="atLeast"/>
              <w:rPr>
                <w:rFonts w:ascii="仿宋" w:hAnsi="仿宋" w:eastAsia="仿宋" w:cs="仿宋"/>
                <w:sz w:val="24"/>
                <w:szCs w:val="24"/>
              </w:rPr>
            </w:pPr>
            <w:r>
              <w:rPr>
                <w:rFonts w:hint="eastAsia" w:ascii="仿宋" w:hAnsi="仿宋" w:eastAsia="仿宋" w:cs="仿宋"/>
                <w:sz w:val="24"/>
                <w:szCs w:val="24"/>
              </w:rPr>
              <w:t>3.税率为：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8" w:hRule="atLeast"/>
          <w:jc w:val="center"/>
        </w:trPr>
        <w:tc>
          <w:tcPr>
            <w:tcW w:w="9613" w:type="dxa"/>
            <w:gridSpan w:val="8"/>
            <w:vAlign w:val="center"/>
          </w:tcPr>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一、质量要求和技术标准。乙方提供的商品必须是全新的（按招标文件规定的服务性能、技术要求、质量标准），完全符合国家有关技术标准。乙方的质量保证及售后服务承诺如下：</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（一）质保期限：</w:t>
            </w:r>
            <w:r>
              <w:rPr>
                <w:rFonts w:hint="eastAsia" w:ascii="仿宋" w:hAnsi="仿宋" w:eastAsia="仿宋" w:cs="仿宋"/>
                <w:sz w:val="24"/>
                <w:szCs w:val="24"/>
                <w:u w:val="single"/>
              </w:rPr>
              <w:t xml:space="preserve">    </w:t>
            </w:r>
            <w:r>
              <w:rPr>
                <w:rFonts w:hint="eastAsia" w:ascii="仿宋" w:hAnsi="仿宋" w:eastAsia="仿宋" w:cs="仿宋"/>
                <w:sz w:val="24"/>
                <w:szCs w:val="24"/>
              </w:rPr>
              <w:t>年。自验收合格之日起计算。</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（二）保修范围：上述列表所示的所有服务均属保修范围。质保期限内，乙方应当对甲方正常使用中、非人为原因、基于不可抗力出现质量及安全问题的服务，负责处理解决并承担一切费用。</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（三）服务措施：</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1. 质保期限内，乙方提供的服务因服务本身的质量问题发生故障，乙方应负责免费更换。对达不到技术要求者，甲方可根据实际情况，选择按以下第</w:t>
            </w:r>
            <w:r>
              <w:rPr>
                <w:rFonts w:hint="eastAsia" w:ascii="仿宋" w:hAnsi="仿宋" w:eastAsia="仿宋" w:cs="仿宋"/>
                <w:sz w:val="24"/>
                <w:szCs w:val="24"/>
                <w:u w:val="single"/>
              </w:rPr>
              <w:t xml:space="preserve">   </w:t>
            </w:r>
            <w:r>
              <w:rPr>
                <w:rFonts w:hint="eastAsia" w:ascii="仿宋" w:hAnsi="仿宋" w:eastAsia="仿宋" w:cs="仿宋"/>
                <w:sz w:val="24"/>
                <w:szCs w:val="24"/>
              </w:rPr>
              <w:t>类办法处理：</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（1）更换：由乙方承担所发生的全部费用。</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（2）退货处理：乙方应退还甲方支付的全部合同款，同时应承担该服务的直接费用（运输、保险、检验、货款利息及银行手续费等）。</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2. 质保期限内，乙方应当即时采取以下措施，并承担所有费用：</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（1）电话或网络在线咨询：甲方用户单位求助时，乙方应当立即响应，提供相关的技术支持，帮助用户单位迅速解决问题。</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52" w:hRule="atLeast"/>
          <w:jc w:val="center"/>
        </w:trPr>
        <w:tc>
          <w:tcPr>
            <w:tcW w:w="9613" w:type="dxa"/>
            <w:gridSpan w:val="8"/>
          </w:tcPr>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 xml:space="preserve">（四）质保期后服务： </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1. 继续提供或网络在线咨询；乙方接到甲方的求助后应当立即响应，提供技术咨询服务。</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2. 继续提供上门服务：在无法解决时，乙方应当于24小时内达到甲方现场处置。若维护维修甲方服务涉及费用，乙方应当按成本价及最惠价据实收取原厂零配件费、服务费；若甲方需要添购，乙方应当依法与甲方另行达成补充协议。</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3. 继续提供技术升级：乙方向甲方交付服务所附随的所有软件，乙方终身提供免费维护、升级服务。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3" w:hRule="atLeast"/>
          <w:jc w:val="center"/>
        </w:trPr>
        <w:tc>
          <w:tcPr>
            <w:tcW w:w="9613" w:type="dxa"/>
            <w:gridSpan w:val="8"/>
          </w:tcPr>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二、随机备品、附件、工具数量及供应方法：</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服务所附的备件、产品使用说明书、技术资料及配套工具应当随服务主体一次性交付至甲方，由甲方用户单位统一保管。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1" w:hRule="atLeast"/>
          <w:jc w:val="center"/>
        </w:trPr>
        <w:tc>
          <w:tcPr>
            <w:tcW w:w="9613" w:type="dxa"/>
            <w:gridSpan w:val="8"/>
          </w:tcPr>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三、交提货方式：</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一）本合同范围的服务，应由乙方直接供应，不得转让他人供应；非经甲方书面同意，乙方不得将本合同范围的服务全部或部分分包给他人供应；如有转让和未经甲方书面同意的分包行为，甲方有权解除合同，没收履约保证金并追究乙方的违约责任。</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（二）乙方应当在本合同签订后</w:t>
            </w:r>
            <w:r>
              <w:rPr>
                <w:rFonts w:hint="eastAsia" w:ascii="仿宋" w:hAnsi="仿宋" w:eastAsia="仿宋" w:cs="仿宋"/>
                <w:sz w:val="24"/>
                <w:szCs w:val="24"/>
                <w:u w:val="single"/>
              </w:rPr>
              <w:t xml:space="preserve">    </w:t>
            </w:r>
            <w:r>
              <w:rPr>
                <w:rFonts w:hint="eastAsia" w:ascii="仿宋" w:hAnsi="仿宋" w:eastAsia="仿宋" w:cs="仿宋"/>
                <w:sz w:val="24"/>
                <w:szCs w:val="24"/>
              </w:rPr>
              <w:t>个自然日内，将服务交付至甲方用户单位指定地点并完成安装调试。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jc w:val="center"/>
        </w:trPr>
        <w:tc>
          <w:tcPr>
            <w:tcW w:w="9628" w:type="dxa"/>
            <w:gridSpan w:val="8"/>
          </w:tcPr>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四、验收标准、方法：</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（一）交付服务时，乙方应与甲方用户单位共同核验，做好验收记录并完成双方签字确认。</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（二）乙方应随服务提供涉及的相关产品合格证、质量证明文件、检验报告等资料。</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三）乙方所交服务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服务送有关权威检测部门检测；如检测不合格，乙方应承担甲方所支出的检测费用并向甲方赔偿一切损失。</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（四）如验收不合格，甲方有权解除本合同并没收履约保证金；乙方应当赔偿甲方一切损失，并返还甲方已支付的全部合同款，并接受被全市通报、被取消两年政府采购供应商资格的处理结果。</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五）甲方对乙方交付服务的验收仅为表面验收，验收合格不视为乙方对质量问题免责；甲方验收时未提出异议不视为对乙方服务质量合格之认定。若乙方服务存在任何质量问题，甲方有权要求乙方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jc w:val="center"/>
        </w:trPr>
        <w:tc>
          <w:tcPr>
            <w:tcW w:w="9628" w:type="dxa"/>
            <w:gridSpan w:val="8"/>
          </w:tcPr>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五、付款方式：</w:t>
            </w:r>
          </w:p>
          <w:p>
            <w:pPr>
              <w:pStyle w:val="8"/>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（一）甲方按以下第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种方式，向乙方付款。</w:t>
            </w:r>
          </w:p>
          <w:p>
            <w:pPr>
              <w:pStyle w:val="8"/>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 xml:space="preserve">1. 银行转账。2. 现金支票。 </w:t>
            </w:r>
          </w:p>
          <w:p>
            <w:pPr>
              <w:ind w:firstLine="480" w:firstLineChars="200"/>
              <w:rPr>
                <w:rFonts w:ascii="仿宋" w:hAnsi="仿宋" w:eastAsia="仿宋" w:cs="仿宋"/>
                <w:sz w:val="24"/>
                <w:szCs w:val="24"/>
              </w:rPr>
            </w:pPr>
            <w:r>
              <w:rPr>
                <w:rFonts w:hint="eastAsia" w:ascii="仿宋" w:hAnsi="仿宋" w:eastAsia="仿宋" w:cs="仿宋"/>
                <w:sz w:val="24"/>
                <w:szCs w:val="24"/>
              </w:rPr>
              <w:t>（二）付款方法：服务全部到货并验收合格后，乙方按合同总价的5%向甲方交纳质保金，甲方向乙方按合同总价支付价款，乙方未支付质保金的，甲方有权拒绝支付货款。质保期内乙方提供的服务无质量问题且没有其他违约行为，质保期届满后由甲方全额无息退还。</w:t>
            </w:r>
          </w:p>
          <w:p>
            <w:pPr>
              <w:ind w:firstLine="480" w:firstLineChars="200"/>
              <w:rPr>
                <w:rFonts w:ascii="仿宋" w:hAnsi="仿宋" w:eastAsia="仿宋" w:cs="仿宋"/>
                <w:sz w:val="24"/>
                <w:szCs w:val="24"/>
              </w:rPr>
            </w:pPr>
            <w:r>
              <w:rPr>
                <w:rFonts w:hint="eastAsia" w:ascii="仿宋" w:hAnsi="仿宋" w:eastAsia="仿宋" w:cs="仿宋"/>
                <w:sz w:val="24"/>
                <w:szCs w:val="24"/>
              </w:rPr>
              <w:t>（三）甲方要求乙方提供的履约保证金，其收取和退还应按招标文件相关要求处理（合同履行期内，履约保证金减少的，乙方应当补足，逾期未补足的视为违约）。涉及提供担保的，按《中华人民共和国民法典》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jc w:val="center"/>
        </w:trPr>
        <w:tc>
          <w:tcPr>
            <w:tcW w:w="9628" w:type="dxa"/>
            <w:gridSpan w:val="8"/>
          </w:tcPr>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六、合同争议及违约责任：</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（一）乙方在投标时未明确提出异议，视为完全响应甲方在本合同内的各项要求。</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二）乙方应按本合同第一条“质量要求和技术标准”提供服务。若乙方超过7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服务费用的，甲方有权向乙方主张进行补足。</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乙方应当按第三条“交提货方式”按时交付服务。若乙方逾期，每延期1个自然日应当按合同总价的1‰向甲方支付违约金（最高不超过合同总价的10%），甲方可在乙方缴纳的质保金或履约保证金内扣除；若乙方逾期超过</w:t>
            </w:r>
            <w:r>
              <w:rPr>
                <w:rFonts w:hint="eastAsia" w:ascii="仿宋" w:hAnsi="仿宋" w:eastAsia="仿宋" w:cs="仿宋"/>
                <w:sz w:val="24"/>
                <w:szCs w:val="24"/>
                <w:u w:val="single"/>
              </w:rPr>
              <w:t>60</w:t>
            </w:r>
            <w:r>
              <w:rPr>
                <w:rFonts w:hint="eastAsia" w:ascii="仿宋" w:hAnsi="仿宋" w:eastAsia="仿宋" w:cs="仿宋"/>
                <w:sz w:val="24"/>
                <w:szCs w:val="24"/>
              </w:rPr>
              <w:t>个自然日的，甲方有权解除本合同，没收全部履约保证金，并要求乙方返还甲方已支付款项，赔偿甲方全部损失。</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三）乙方应当按照本合同列明的服务名称、规格、数量全面履行义务。若乙方向甲方交付的服务与本合同不符，甲方有权拒绝接收并不延长交付时间，乙方应承担由此造成甲方的损失以及逾期交付的违约责任。若甲方同意让步接收的，除要求乙方赔偿损失外，甲方有权根据服务的疵劣和受损程度要求乙方降低服务价格并承担违约责任。</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四）甲方、乙方中的任何一方违约，不履行合同义务或者履行合同义务不符合约定的，应当向守约方承担继续履行、采取补救措施、赔偿损失等违约责任。乙方因过错给甲方造成损失的，或乙方超越权限行使代理权给甲方造成损失的，乙方承担赔偿损失的责任。双方都违反合同的，应当各自承担相应的责任。</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（五）履约保证金减少的，乙方未按照甲方要求补足履约保证金的，每逾期1个自然日，甲方有权要求乙方支付履约保证金总额</w:t>
            </w:r>
            <w:r>
              <w:rPr>
                <w:rFonts w:hint="eastAsia" w:ascii="仿宋" w:hAnsi="仿宋" w:eastAsia="仿宋" w:cs="仿宋"/>
                <w:sz w:val="24"/>
                <w:szCs w:val="24"/>
                <w:u w:val="single"/>
              </w:rPr>
              <w:t xml:space="preserve"> 0.1 </w:t>
            </w:r>
            <w:r>
              <w:rPr>
                <w:rFonts w:hint="eastAsia" w:ascii="仿宋" w:hAnsi="仿宋" w:eastAsia="仿宋" w:cs="仿宋"/>
                <w:sz w:val="24"/>
                <w:szCs w:val="24"/>
              </w:rPr>
              <w:t>%的违约金；逾期超过</w:t>
            </w:r>
            <w:r>
              <w:rPr>
                <w:rFonts w:hint="eastAsia" w:ascii="仿宋" w:hAnsi="仿宋" w:eastAsia="仿宋" w:cs="仿宋"/>
                <w:sz w:val="24"/>
                <w:szCs w:val="24"/>
                <w:u w:val="single"/>
              </w:rPr>
              <w:t xml:space="preserve"> 60 </w:t>
            </w:r>
            <w:r>
              <w:rPr>
                <w:rFonts w:hint="eastAsia" w:ascii="仿宋" w:hAnsi="仿宋" w:eastAsia="仿宋" w:cs="仿宋"/>
                <w:sz w:val="24"/>
                <w:szCs w:val="24"/>
              </w:rPr>
              <w:t>个自然日，甲方有权解除合同，要求乙方支付前述违约金并没收剩余的履约保证金。</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七）乙方承诺本合同履行期间持续具有履行本经济合同所需合法、有效资质，否则视为重大违约，甲方有权立即解除本合同，已交付的费用乙方须无条件全额退还，甲方没收全部履约保证金并追究乙方违约责任。</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（八）甲乙双方若不能按互谅互惠原则协商解决争议，任何一方均可向重庆仲裁委员会提请仲裁。</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九）甲方或乙方一方违约时，守约方据此向违约方主张权利的，违约方应向守约方支付违约金及由此产生的一切损失（包括但不限于直接损失、间接损失、诉讼费、仲裁费、律师费、保全费、保全担保费、鉴定费、差旅费等）。</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 xml:space="preserve">（十）本合同项下各违约责任相互独立，可同时、一并适用。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9628" w:type="dxa"/>
            <w:gridSpan w:val="8"/>
          </w:tcPr>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七、其他约定事项：</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一）甲方招标文件及其补遗文件、乙方投标文件和承诺不可分割，与本合同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二）甲方在中华人民共和国境内使用乙方提供的合同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（三）乙方负责及时将服务包装材料清运离开甲方所在地，由此产生的费用由乙方自行承担。</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（四）乙方向甲方申请付款时，应当按甲方财务管理要求开具增值税专用发票。若乙方未提供有效增值税专用发票的，甲方有权拒绝支付合同价款且不承担任何延迟履行的责任。</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五）本经济合同尾部载明的联系方式为一方通知对方、以及涉及诉讼或者仲裁时接收法律文书的送达地址。地址应当真实有效。任何一方送达地址变更的，应当自变更之日起5个工作日内书面通知对方。如地址有误、地址变更、未及时书面通知对方而导致法律文书送达不能的，应当自行承担后果。</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（六）本经济合同的任何修订、变更或调整，须经甲方、乙方共同书面确认。补充协议与本经济合同具有同等法律效力，不一致之处，以补充协议为准。</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（七）合同有效期：本合同有效期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年（不超过叁年），自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（八）本合同</w:t>
            </w:r>
            <w:r>
              <w:rPr>
                <w:rFonts w:hint="eastAsia" w:ascii="仿宋" w:hAnsi="仿宋" w:eastAsia="仿宋" w:cs="仿宋"/>
                <w:sz w:val="24"/>
                <w:szCs w:val="24"/>
                <w:u w:val="single"/>
              </w:rPr>
              <w:t xml:space="preserve"> 壹 </w:t>
            </w:r>
            <w:r>
              <w:rPr>
                <w:rFonts w:hint="eastAsia" w:ascii="仿宋" w:hAnsi="仿宋" w:eastAsia="仿宋" w:cs="仿宋"/>
                <w:sz w:val="24"/>
                <w:szCs w:val="24"/>
              </w:rPr>
              <w:t>式</w:t>
            </w:r>
            <w:r>
              <w:rPr>
                <w:rFonts w:hint="eastAsia" w:ascii="仿宋" w:hAnsi="仿宋" w:eastAsia="仿宋" w:cs="仿宋"/>
                <w:sz w:val="24"/>
                <w:szCs w:val="24"/>
                <w:u w:val="single"/>
              </w:rPr>
              <w:t xml:space="preserve"> 陆 </w:t>
            </w:r>
            <w:r>
              <w:rPr>
                <w:rFonts w:hint="eastAsia" w:ascii="仿宋" w:hAnsi="仿宋" w:eastAsia="仿宋" w:cs="仿宋"/>
                <w:sz w:val="24"/>
                <w:szCs w:val="24"/>
              </w:rPr>
              <w:t>份，甲方执正本</w:t>
            </w:r>
            <w:r>
              <w:rPr>
                <w:rFonts w:hint="eastAsia" w:ascii="仿宋" w:hAnsi="仿宋" w:eastAsia="仿宋" w:cs="仿宋"/>
                <w:sz w:val="24"/>
                <w:szCs w:val="24"/>
                <w:u w:val="single"/>
              </w:rPr>
              <w:t xml:space="preserve"> 壹 </w:t>
            </w:r>
            <w:r>
              <w:rPr>
                <w:rFonts w:hint="eastAsia" w:ascii="仿宋" w:hAnsi="仿宋" w:eastAsia="仿宋" w:cs="仿宋"/>
                <w:sz w:val="24"/>
                <w:szCs w:val="24"/>
              </w:rPr>
              <w:t xml:space="preserve">份、副本 </w:t>
            </w:r>
            <w:r>
              <w:rPr>
                <w:rFonts w:hint="eastAsia" w:ascii="仿宋" w:hAnsi="仿宋" w:eastAsia="仿宋" w:cs="仿宋"/>
                <w:sz w:val="24"/>
                <w:szCs w:val="24"/>
                <w:u w:val="single"/>
              </w:rPr>
              <w:t xml:space="preserve">肆 </w:t>
            </w:r>
            <w:r>
              <w:rPr>
                <w:rFonts w:hint="eastAsia" w:ascii="仿宋" w:hAnsi="仿宋" w:eastAsia="仿宋" w:cs="仿宋"/>
                <w:sz w:val="24"/>
                <w:szCs w:val="24"/>
              </w:rPr>
              <w:t>份，乙方执正本</w:t>
            </w:r>
            <w:r>
              <w:rPr>
                <w:rFonts w:hint="eastAsia" w:ascii="仿宋" w:hAnsi="仿宋" w:eastAsia="仿宋" w:cs="仿宋"/>
                <w:sz w:val="24"/>
                <w:szCs w:val="24"/>
                <w:u w:val="single"/>
              </w:rPr>
              <w:t xml:space="preserve"> 壹</w:t>
            </w:r>
            <w:r>
              <w:rPr>
                <w:rFonts w:hint="eastAsia" w:ascii="仿宋" w:hAnsi="仿宋" w:eastAsia="仿宋" w:cs="仿宋"/>
                <w:sz w:val="24"/>
                <w:szCs w:val="24"/>
              </w:rPr>
              <w:t xml:space="preserve"> 份，均具备同等法律效力。</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（九）本经济合同自当事人法定代表人或委托代理人签字并加盖双方合同专用章或公章后生效。</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（以下无正文）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1" w:hRule="atLeast"/>
          <w:jc w:val="center"/>
        </w:trPr>
        <w:tc>
          <w:tcPr>
            <w:tcW w:w="4772" w:type="dxa"/>
            <w:gridSpan w:val="4"/>
          </w:tcPr>
          <w:p>
            <w:pPr>
              <w:spacing w:line="240" w:lineRule="atLeast"/>
              <w:rPr>
                <w:rFonts w:ascii="仿宋" w:hAnsi="仿宋" w:eastAsia="仿宋" w:cs="仿宋"/>
                <w:sz w:val="24"/>
                <w:szCs w:val="24"/>
              </w:rPr>
            </w:pPr>
            <w:r>
              <w:rPr>
                <w:rFonts w:hint="eastAsia" w:ascii="仿宋" w:hAnsi="仿宋" w:eastAsia="仿宋" w:cs="仿宋"/>
                <w:sz w:val="24"/>
                <w:szCs w:val="24"/>
              </w:rPr>
              <w:t>甲方（需方）：重庆医科大学</w:t>
            </w:r>
          </w:p>
          <w:p>
            <w:pPr>
              <w:spacing w:line="240" w:lineRule="atLeast"/>
              <w:rPr>
                <w:rFonts w:ascii="仿宋" w:hAnsi="仿宋" w:eastAsia="仿宋" w:cs="仿宋"/>
                <w:sz w:val="24"/>
                <w:szCs w:val="24"/>
              </w:rPr>
            </w:pPr>
            <w:r>
              <w:rPr>
                <w:rFonts w:hint="eastAsia" w:ascii="仿宋" w:hAnsi="仿宋" w:eastAsia="仿宋" w:cs="仿宋"/>
                <w:sz w:val="24"/>
                <w:szCs w:val="24"/>
              </w:rPr>
              <w:t>地址：重庆市渝中区医学院路1号</w:t>
            </w:r>
          </w:p>
          <w:p>
            <w:pPr>
              <w:spacing w:line="240" w:lineRule="atLeast"/>
              <w:rPr>
                <w:rFonts w:ascii="仿宋" w:hAnsi="仿宋" w:eastAsia="仿宋" w:cs="仿宋"/>
                <w:sz w:val="24"/>
                <w:szCs w:val="24"/>
              </w:rPr>
            </w:pPr>
            <w:r>
              <w:rPr>
                <w:rFonts w:hint="eastAsia" w:ascii="仿宋" w:hAnsi="仿宋" w:eastAsia="仿宋" w:cs="仿宋"/>
                <w:sz w:val="24"/>
                <w:szCs w:val="24"/>
              </w:rPr>
              <w:t>统一社会信用代码：12500000450401805G</w:t>
            </w:r>
          </w:p>
          <w:p>
            <w:pPr>
              <w:spacing w:line="240" w:lineRule="atLeast"/>
              <w:rPr>
                <w:rFonts w:ascii="仿宋" w:hAnsi="仿宋" w:eastAsia="仿宋" w:cs="仿宋"/>
                <w:sz w:val="24"/>
                <w:szCs w:val="24"/>
              </w:rPr>
            </w:pPr>
            <w:r>
              <w:rPr>
                <w:rFonts w:hint="eastAsia" w:ascii="仿宋" w:hAnsi="仿宋" w:eastAsia="仿宋" w:cs="仿宋"/>
                <w:sz w:val="24"/>
                <w:szCs w:val="24"/>
              </w:rPr>
              <w:t>开户行：中国建设银行股份有限公司重庆高新区分行</w:t>
            </w:r>
          </w:p>
          <w:p>
            <w:pPr>
              <w:spacing w:line="240" w:lineRule="atLeast"/>
              <w:rPr>
                <w:rFonts w:ascii="仿宋" w:hAnsi="仿宋" w:eastAsia="仿宋" w:cs="仿宋"/>
                <w:sz w:val="24"/>
                <w:szCs w:val="24"/>
              </w:rPr>
            </w:pPr>
            <w:r>
              <w:rPr>
                <w:rFonts w:hint="eastAsia" w:ascii="仿宋" w:hAnsi="仿宋" w:eastAsia="仿宋" w:cs="仿宋"/>
                <w:sz w:val="24"/>
                <w:szCs w:val="24"/>
              </w:rPr>
              <w:t>账号：50001033600050008726</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sz w:val="24"/>
                <w:szCs w:val="24"/>
              </w:rPr>
              <w:t>法定代表人：</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sz w:val="24"/>
                <w:szCs w:val="24"/>
              </w:rPr>
              <w:t>授权代表人：</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sz w:val="24"/>
                <w:szCs w:val="24"/>
              </w:rPr>
              <w:t>联系电话：（请备注用户单位联系人电话）</w:t>
            </w:r>
          </w:p>
          <w:p>
            <w:pPr>
              <w:spacing w:line="240" w:lineRule="atLeast"/>
              <w:rPr>
                <w:rFonts w:ascii="仿宋" w:hAnsi="仿宋" w:eastAsia="仿宋" w:cs="仿宋"/>
                <w:sz w:val="24"/>
                <w:szCs w:val="24"/>
              </w:rPr>
            </w:pPr>
          </w:p>
        </w:tc>
        <w:tc>
          <w:tcPr>
            <w:tcW w:w="4856" w:type="dxa"/>
            <w:gridSpan w:val="4"/>
          </w:tcPr>
          <w:p>
            <w:pPr>
              <w:spacing w:line="240" w:lineRule="atLeast"/>
              <w:rPr>
                <w:rFonts w:ascii="仿宋" w:hAnsi="仿宋" w:eastAsia="仿宋" w:cs="仿宋"/>
                <w:sz w:val="24"/>
                <w:szCs w:val="24"/>
              </w:rPr>
            </w:pPr>
            <w:r>
              <w:rPr>
                <w:rFonts w:hint="eastAsia" w:ascii="仿宋" w:hAnsi="仿宋" w:eastAsia="仿宋" w:cs="仿宋"/>
                <w:sz w:val="24"/>
                <w:szCs w:val="24"/>
              </w:rPr>
              <w:t>乙方（供方）：</w:t>
            </w:r>
          </w:p>
          <w:p>
            <w:pPr>
              <w:spacing w:line="240" w:lineRule="atLeast"/>
              <w:rPr>
                <w:rFonts w:ascii="仿宋" w:hAnsi="仿宋" w:eastAsia="仿宋" w:cs="仿宋"/>
                <w:sz w:val="24"/>
                <w:szCs w:val="24"/>
              </w:rPr>
            </w:pPr>
            <w:r>
              <w:rPr>
                <w:rFonts w:hint="eastAsia" w:ascii="仿宋" w:hAnsi="仿宋" w:eastAsia="仿宋" w:cs="仿宋"/>
                <w:sz w:val="24"/>
                <w:szCs w:val="24"/>
              </w:rPr>
              <w:t>地址：</w:t>
            </w:r>
          </w:p>
          <w:p>
            <w:pPr>
              <w:spacing w:line="240" w:lineRule="atLeast"/>
              <w:rPr>
                <w:rFonts w:ascii="仿宋" w:hAnsi="仿宋" w:eastAsia="仿宋" w:cs="仿宋"/>
                <w:sz w:val="24"/>
                <w:szCs w:val="24"/>
              </w:rPr>
            </w:pPr>
            <w:r>
              <w:rPr>
                <w:rFonts w:hint="eastAsia" w:ascii="仿宋" w:hAnsi="仿宋" w:eastAsia="仿宋" w:cs="仿宋"/>
                <w:sz w:val="24"/>
                <w:szCs w:val="24"/>
              </w:rPr>
              <w:t>统一社会信用代码：</w:t>
            </w:r>
          </w:p>
          <w:p>
            <w:pPr>
              <w:spacing w:line="240" w:lineRule="atLeast"/>
              <w:rPr>
                <w:rFonts w:ascii="仿宋" w:hAnsi="仿宋" w:eastAsia="仿宋" w:cs="仿宋"/>
                <w:sz w:val="24"/>
                <w:szCs w:val="24"/>
              </w:rPr>
            </w:pPr>
            <w:r>
              <w:rPr>
                <w:rFonts w:hint="eastAsia" w:ascii="仿宋" w:hAnsi="仿宋" w:eastAsia="仿宋" w:cs="仿宋"/>
                <w:sz w:val="24"/>
                <w:szCs w:val="24"/>
              </w:rPr>
              <w:t>开户行：</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sz w:val="24"/>
                <w:szCs w:val="24"/>
              </w:rPr>
              <w:t>账号：</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sz w:val="24"/>
                <w:szCs w:val="24"/>
              </w:rPr>
              <w:t>法定代表人：</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sz w:val="24"/>
                <w:szCs w:val="24"/>
              </w:rPr>
              <w:t>授权代表人：</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sz w:val="24"/>
                <w:szCs w:val="24"/>
              </w:rPr>
              <w:t>联系电话：</w:t>
            </w:r>
          </w:p>
          <w:p>
            <w:pPr>
              <w:spacing w:line="240" w:lineRule="atLeas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9628" w:type="dxa"/>
            <w:gridSpan w:val="8"/>
          </w:tcPr>
          <w:p>
            <w:pPr>
              <w:spacing w:line="240" w:lineRule="atLeast"/>
              <w:rPr>
                <w:rFonts w:ascii="仿宋" w:hAnsi="仿宋" w:eastAsia="仿宋" w:cs="仿宋"/>
                <w:sz w:val="24"/>
                <w:szCs w:val="24"/>
              </w:rPr>
            </w:pPr>
            <w:r>
              <w:rPr>
                <w:rFonts w:hint="eastAsia" w:ascii="仿宋" w:hAnsi="仿宋" w:eastAsia="仿宋" w:cs="仿宋"/>
                <w:sz w:val="24"/>
                <w:szCs w:val="24"/>
              </w:rPr>
              <w:t>备注：</w:t>
            </w:r>
          </w:p>
        </w:tc>
      </w:tr>
    </w:tbl>
    <w:p>
      <w:pPr>
        <w:spacing w:line="560" w:lineRule="exact"/>
        <w:jc w:val="left"/>
        <w:rPr>
          <w:rFonts w:ascii="仿宋" w:hAnsi="仿宋" w:eastAsia="仿宋" w:cs="仿宋"/>
          <w:sz w:val="24"/>
          <w:szCs w:val="24"/>
        </w:rPr>
      </w:pP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签约时间：           年   月   日      签约地点：重庆医科大学袁家岗校区</w:t>
      </w:r>
    </w:p>
    <w:p>
      <w:pPr>
        <w:spacing w:line="560" w:lineRule="exact"/>
        <w:jc w:val="left"/>
        <w:rPr>
          <w:rFonts w:ascii="仿宋" w:hAnsi="仿宋" w:eastAsia="仿宋" w:cs="仿宋"/>
          <w:sz w:val="24"/>
          <w:szCs w:val="24"/>
        </w:rPr>
      </w:pPr>
    </w:p>
    <w:p>
      <w:pPr>
        <w:jc w:val="center"/>
        <w:outlineLvl w:val="0"/>
      </w:pPr>
      <w:r>
        <w:rPr>
          <w:rFonts w:hint="eastAsia" w:ascii="宋体" w:hAnsi="宋体" w:cs="宋体"/>
          <w:sz w:val="36"/>
          <w:szCs w:val="30"/>
        </w:rPr>
        <w:br w:type="page"/>
      </w:r>
      <w:bookmarkEnd w:id="127"/>
      <w:bookmarkEnd w:id="128"/>
      <w:bookmarkEnd w:id="129"/>
      <w:bookmarkStart w:id="182" w:name="_Toc29984_WPSOffice_Level1"/>
      <w:bookmarkStart w:id="183" w:name="_Toc21783162"/>
      <w:bookmarkStart w:id="184" w:name="_Toc7106"/>
      <w:bookmarkStart w:id="185" w:name="_Toc6273_WPSOffice_Level1"/>
      <w:r>
        <w:rPr>
          <w:rFonts w:hint="eastAsia"/>
        </w:rPr>
        <w:t xml:space="preserve"> </w:t>
      </w:r>
    </w:p>
    <w:p>
      <w:pPr>
        <w:pStyle w:val="4"/>
      </w:pPr>
      <w:bookmarkStart w:id="186" w:name="_Toc150506550"/>
      <w:bookmarkStart w:id="187" w:name="_Toc12377"/>
      <w:r>
        <w:rPr>
          <w:rFonts w:hint="eastAsia"/>
        </w:rPr>
        <w:t>第七篇  响应文件编制要求</w:t>
      </w:r>
      <w:bookmarkEnd w:id="182"/>
      <w:bookmarkEnd w:id="183"/>
      <w:bookmarkEnd w:id="184"/>
      <w:bookmarkEnd w:id="185"/>
      <w:bookmarkEnd w:id="186"/>
      <w:bookmarkEnd w:id="187"/>
    </w:p>
    <w:p>
      <w:pPr>
        <w:tabs>
          <w:tab w:val="left" w:pos="3600"/>
          <w:tab w:val="left" w:pos="4480"/>
          <w:tab w:val="left" w:pos="5360"/>
        </w:tabs>
        <w:autoSpaceDE w:val="0"/>
        <w:autoSpaceDN w:val="0"/>
        <w:adjustRightInd w:val="0"/>
        <w:snapToGrid w:val="0"/>
        <w:spacing w:line="360" w:lineRule="auto"/>
        <w:rPr>
          <w:rFonts w:ascii="宋体" w:hAnsi="宋体" w:cs="宋体"/>
          <w:b/>
          <w:sz w:val="24"/>
          <w:szCs w:val="24"/>
        </w:rPr>
      </w:pPr>
      <w:bookmarkStart w:id="188" w:name="_Toc18169_WPSOffice_Level2"/>
      <w:bookmarkStart w:id="189" w:name="_Toc16954_WPSOffice_Level2"/>
      <w:bookmarkStart w:id="190" w:name="_Toc16787_WPSOffice_Level2"/>
      <w:bookmarkStart w:id="191" w:name="_Toc17306_WPSOffice_Level2"/>
    </w:p>
    <w:p>
      <w:pPr>
        <w:spacing w:line="560" w:lineRule="exact"/>
        <w:ind w:firstLine="560" w:firstLineChars="200"/>
        <w:rPr>
          <w:rFonts w:ascii="仿宋" w:hAnsi="仿宋" w:eastAsia="仿宋" w:cs="仿宋"/>
          <w:szCs w:val="28"/>
        </w:rPr>
      </w:pPr>
      <w:r>
        <w:rPr>
          <w:rFonts w:hint="eastAsia" w:ascii="仿宋" w:hAnsi="仿宋" w:eastAsia="仿宋" w:cs="仿宋"/>
          <w:szCs w:val="28"/>
        </w:rPr>
        <w:t>一、经济部分</w:t>
      </w:r>
    </w:p>
    <w:p>
      <w:pPr>
        <w:spacing w:line="560" w:lineRule="exact"/>
        <w:ind w:firstLine="560" w:firstLineChars="200"/>
        <w:rPr>
          <w:rFonts w:ascii="仿宋" w:hAnsi="仿宋" w:eastAsia="仿宋" w:cs="仿宋"/>
          <w:szCs w:val="28"/>
        </w:rPr>
      </w:pPr>
      <w:r>
        <w:rPr>
          <w:rFonts w:hint="eastAsia" w:ascii="仿宋" w:hAnsi="仿宋" w:eastAsia="仿宋" w:cs="仿宋"/>
          <w:szCs w:val="28"/>
        </w:rPr>
        <w:t>（一）竞争性磋商报价函</w:t>
      </w:r>
    </w:p>
    <w:p>
      <w:pPr>
        <w:spacing w:line="560" w:lineRule="exact"/>
        <w:ind w:firstLine="560" w:firstLineChars="200"/>
        <w:rPr>
          <w:rFonts w:ascii="仿宋" w:hAnsi="仿宋" w:eastAsia="仿宋" w:cs="仿宋"/>
          <w:szCs w:val="28"/>
        </w:rPr>
      </w:pPr>
      <w:r>
        <w:rPr>
          <w:rFonts w:hint="eastAsia" w:ascii="仿宋" w:hAnsi="仿宋" w:eastAsia="仿宋" w:cs="仿宋"/>
          <w:szCs w:val="28"/>
        </w:rPr>
        <w:t>（二）明细报价表</w:t>
      </w:r>
    </w:p>
    <w:p>
      <w:pPr>
        <w:spacing w:line="560" w:lineRule="exact"/>
        <w:ind w:firstLine="560" w:firstLineChars="200"/>
        <w:rPr>
          <w:rFonts w:ascii="仿宋" w:hAnsi="仿宋" w:eastAsia="仿宋" w:cs="仿宋"/>
          <w:szCs w:val="28"/>
        </w:rPr>
      </w:pPr>
      <w:r>
        <w:rPr>
          <w:rFonts w:hint="eastAsia" w:ascii="仿宋" w:hAnsi="仿宋" w:eastAsia="仿宋" w:cs="仿宋"/>
          <w:szCs w:val="28"/>
        </w:rPr>
        <w:t>二、服务部分</w:t>
      </w:r>
    </w:p>
    <w:p>
      <w:pPr>
        <w:spacing w:line="560" w:lineRule="exact"/>
        <w:ind w:firstLine="560" w:firstLineChars="200"/>
        <w:rPr>
          <w:rFonts w:ascii="仿宋" w:hAnsi="仿宋" w:eastAsia="仿宋" w:cs="仿宋"/>
          <w:szCs w:val="28"/>
        </w:rPr>
      </w:pPr>
      <w:r>
        <w:rPr>
          <w:rFonts w:hint="eastAsia" w:ascii="仿宋" w:hAnsi="仿宋" w:eastAsia="仿宋" w:cs="仿宋"/>
          <w:szCs w:val="28"/>
        </w:rPr>
        <w:t>（一）服务方案</w:t>
      </w:r>
    </w:p>
    <w:p>
      <w:pPr>
        <w:spacing w:line="560" w:lineRule="exact"/>
        <w:ind w:firstLine="560" w:firstLineChars="200"/>
        <w:rPr>
          <w:rFonts w:ascii="仿宋" w:hAnsi="仿宋" w:eastAsia="仿宋" w:cs="仿宋"/>
          <w:szCs w:val="28"/>
        </w:rPr>
      </w:pPr>
      <w:r>
        <w:rPr>
          <w:rFonts w:hint="eastAsia" w:ascii="仿宋" w:hAnsi="仿宋" w:eastAsia="仿宋" w:cs="仿宋"/>
          <w:szCs w:val="28"/>
        </w:rPr>
        <w:t>（二）服务响应偏离表</w:t>
      </w:r>
    </w:p>
    <w:p>
      <w:pPr>
        <w:spacing w:line="560" w:lineRule="exact"/>
        <w:ind w:firstLine="560" w:firstLineChars="200"/>
        <w:rPr>
          <w:rFonts w:ascii="仿宋" w:hAnsi="仿宋" w:eastAsia="仿宋" w:cs="仿宋"/>
          <w:szCs w:val="28"/>
        </w:rPr>
      </w:pPr>
      <w:r>
        <w:rPr>
          <w:rFonts w:hint="eastAsia" w:ascii="仿宋" w:hAnsi="仿宋" w:eastAsia="仿宋" w:cs="仿宋"/>
          <w:szCs w:val="28"/>
        </w:rPr>
        <w:t>三、商务部分</w:t>
      </w:r>
    </w:p>
    <w:p>
      <w:pPr>
        <w:spacing w:line="560" w:lineRule="exact"/>
        <w:ind w:firstLine="560" w:firstLineChars="200"/>
        <w:rPr>
          <w:rFonts w:ascii="仿宋" w:hAnsi="仿宋" w:eastAsia="仿宋" w:cs="仿宋"/>
          <w:szCs w:val="28"/>
        </w:rPr>
      </w:pPr>
      <w:r>
        <w:rPr>
          <w:rFonts w:hint="eastAsia" w:ascii="仿宋" w:hAnsi="仿宋" w:eastAsia="仿宋" w:cs="仿宋"/>
          <w:szCs w:val="28"/>
        </w:rPr>
        <w:t>（一）商务要求响应情况：服务期及地点、报价要求、质量保证及售后服务等。</w:t>
      </w:r>
    </w:p>
    <w:p>
      <w:pPr>
        <w:spacing w:line="560" w:lineRule="exact"/>
        <w:ind w:firstLine="560" w:firstLineChars="200"/>
        <w:rPr>
          <w:rFonts w:ascii="仿宋" w:hAnsi="仿宋" w:eastAsia="仿宋" w:cs="仿宋"/>
          <w:szCs w:val="28"/>
        </w:rPr>
      </w:pPr>
      <w:r>
        <w:rPr>
          <w:rFonts w:hint="eastAsia" w:ascii="仿宋" w:hAnsi="仿宋" w:eastAsia="仿宋" w:cs="仿宋"/>
          <w:szCs w:val="28"/>
        </w:rPr>
        <w:t>（二）商务响应偏离表</w:t>
      </w:r>
    </w:p>
    <w:p>
      <w:pPr>
        <w:spacing w:line="560" w:lineRule="exact"/>
        <w:ind w:firstLine="560" w:firstLineChars="200"/>
        <w:rPr>
          <w:rFonts w:ascii="仿宋" w:hAnsi="仿宋" w:eastAsia="仿宋" w:cs="仿宋"/>
          <w:szCs w:val="28"/>
        </w:rPr>
      </w:pPr>
      <w:r>
        <w:rPr>
          <w:rFonts w:hint="eastAsia" w:ascii="仿宋" w:hAnsi="仿宋" w:eastAsia="仿宋" w:cs="仿宋"/>
          <w:szCs w:val="28"/>
        </w:rPr>
        <w:t>（三）其它优惠服务承诺</w:t>
      </w:r>
    </w:p>
    <w:p>
      <w:pPr>
        <w:spacing w:line="560" w:lineRule="exact"/>
        <w:ind w:firstLine="560" w:firstLineChars="200"/>
        <w:rPr>
          <w:rFonts w:ascii="仿宋" w:hAnsi="仿宋" w:eastAsia="仿宋" w:cs="仿宋"/>
          <w:szCs w:val="28"/>
        </w:rPr>
      </w:pPr>
      <w:r>
        <w:rPr>
          <w:rFonts w:hint="eastAsia" w:ascii="仿宋" w:hAnsi="仿宋" w:eastAsia="仿宋" w:cs="仿宋"/>
          <w:szCs w:val="28"/>
        </w:rPr>
        <w:t>四、资格条件及其他</w:t>
      </w:r>
    </w:p>
    <w:p>
      <w:pPr>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（一）营业执照（副本）或事业单位法人证书（副本）复印件</w:t>
      </w:r>
    </w:p>
    <w:p>
      <w:pPr>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（二）组织机构代码证复印件</w:t>
      </w:r>
    </w:p>
    <w:p>
      <w:pPr>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（三）法定代表人身份证明书（格式）</w:t>
      </w:r>
    </w:p>
    <w:p>
      <w:pPr>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（四）法定代表人授权委托书（格式）</w:t>
      </w:r>
    </w:p>
    <w:p>
      <w:pPr>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（五）2022年度财务状况报告（表）复印件，本年度新成立的公司提供提交响应文件截止时间前一个月的财务状况报告（表）复印件</w:t>
      </w:r>
    </w:p>
    <w:p>
      <w:pPr>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（六）书面声明（格式）</w:t>
      </w:r>
    </w:p>
    <w:p>
      <w:pPr>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（七）税务登记证（副本）复印件和社会保险缴纳证明材料</w:t>
      </w:r>
    </w:p>
    <w:p>
      <w:pPr>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（八）特定资格条件证书或证明文件</w:t>
      </w:r>
    </w:p>
    <w:p>
      <w:pPr>
        <w:spacing w:line="560" w:lineRule="exact"/>
        <w:ind w:firstLine="560" w:firstLineChars="200"/>
        <w:rPr>
          <w:rFonts w:ascii="仿宋" w:hAnsi="仿宋" w:eastAsia="仿宋" w:cs="仿宋"/>
          <w:szCs w:val="28"/>
        </w:rPr>
      </w:pPr>
      <w:r>
        <w:rPr>
          <w:rFonts w:hint="eastAsia" w:ascii="仿宋" w:hAnsi="仿宋" w:eastAsia="仿宋" w:cs="仿宋"/>
          <w:szCs w:val="28"/>
        </w:rPr>
        <w:t>说明：供应商按“多证合一”登记制度办理营业执照的，组织机构代码证和税务登记证以供应商所提供的法人营业执照（副本）复印件为准</w:t>
      </w:r>
    </w:p>
    <w:p>
      <w:pPr>
        <w:spacing w:line="560" w:lineRule="exact"/>
        <w:ind w:firstLine="560" w:firstLineChars="200"/>
        <w:rPr>
          <w:rFonts w:ascii="仿宋" w:hAnsi="仿宋" w:eastAsia="仿宋" w:cs="仿宋"/>
          <w:szCs w:val="28"/>
        </w:rPr>
      </w:pPr>
      <w:r>
        <w:rPr>
          <w:rFonts w:hint="eastAsia" w:ascii="仿宋" w:hAnsi="仿宋" w:eastAsia="仿宋" w:cs="仿宋"/>
          <w:szCs w:val="28"/>
        </w:rPr>
        <w:t>五、其他应提供的资料</w:t>
      </w:r>
    </w:p>
    <w:p>
      <w:pPr>
        <w:spacing w:line="560" w:lineRule="exact"/>
        <w:ind w:firstLine="560" w:firstLineChars="200"/>
        <w:rPr>
          <w:rFonts w:ascii="仿宋" w:hAnsi="仿宋" w:eastAsia="仿宋" w:cs="仿宋"/>
          <w:szCs w:val="28"/>
        </w:rPr>
      </w:pPr>
      <w:r>
        <w:rPr>
          <w:rFonts w:hint="eastAsia" w:ascii="仿宋" w:hAnsi="仿宋" w:eastAsia="仿宋" w:cs="仿宋"/>
          <w:szCs w:val="28"/>
        </w:rPr>
        <w:t>（一）供应商小微企业证明文件（非小微企业不提供）</w:t>
      </w:r>
    </w:p>
    <w:p>
      <w:pPr>
        <w:spacing w:line="560" w:lineRule="exact"/>
        <w:ind w:firstLine="560" w:firstLineChars="200"/>
        <w:rPr>
          <w:rFonts w:ascii="仿宋" w:hAnsi="仿宋" w:eastAsia="仿宋" w:cs="仿宋"/>
          <w:szCs w:val="28"/>
        </w:rPr>
      </w:pPr>
      <w:r>
        <w:rPr>
          <w:rFonts w:hint="eastAsia" w:ascii="仿宋" w:hAnsi="仿宋" w:eastAsia="仿宋" w:cs="仿宋"/>
          <w:szCs w:val="28"/>
        </w:rPr>
        <w:t>（二）联合体共同联合协议（如果有）</w:t>
      </w:r>
    </w:p>
    <w:p>
      <w:pPr>
        <w:spacing w:line="560" w:lineRule="exact"/>
        <w:ind w:firstLine="560" w:firstLineChars="200"/>
        <w:rPr>
          <w:rFonts w:ascii="仿宋" w:hAnsi="仿宋" w:eastAsia="仿宋" w:cs="仿宋"/>
          <w:szCs w:val="28"/>
        </w:rPr>
      </w:pPr>
      <w:r>
        <w:rPr>
          <w:rFonts w:hint="eastAsia" w:ascii="仿宋" w:hAnsi="仿宋" w:eastAsia="仿宋" w:cs="仿宋"/>
          <w:szCs w:val="28"/>
        </w:rPr>
        <w:t>（三）其他资料</w:t>
      </w:r>
    </w:p>
    <w:p>
      <w:pPr>
        <w:spacing w:line="560" w:lineRule="exact"/>
        <w:ind w:firstLine="560" w:firstLineChars="200"/>
        <w:rPr>
          <w:rFonts w:ascii="仿宋" w:hAnsi="仿宋" w:eastAsia="仿宋" w:cs="仿宋"/>
          <w:szCs w:val="28"/>
        </w:rPr>
      </w:pPr>
      <w:r>
        <w:rPr>
          <w:rFonts w:hint="eastAsia" w:ascii="仿宋" w:hAnsi="仿宋" w:eastAsia="仿宋" w:cs="仿宋"/>
          <w:szCs w:val="28"/>
        </w:rPr>
        <w:t>其他与项目有关的资料</w:t>
      </w: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p>
      <w:pPr>
        <w:pStyle w:val="21"/>
        <w:ind w:firstLine="800"/>
        <w:rPr>
          <w:rFonts w:ascii="宋体" w:hAnsi="宋体" w:cs="宋体"/>
          <w:sz w:val="40"/>
          <w:szCs w:val="24"/>
        </w:rPr>
      </w:pPr>
    </w:p>
    <w:bookmarkEnd w:id="188"/>
    <w:bookmarkEnd w:id="189"/>
    <w:bookmarkEnd w:id="190"/>
    <w:bookmarkEnd w:id="191"/>
    <w:p>
      <w:pPr>
        <w:pStyle w:val="5"/>
      </w:pPr>
      <w:bookmarkStart w:id="192" w:name="_Toc150432528"/>
      <w:bookmarkStart w:id="193" w:name="_Toc150506551"/>
      <w:bookmarkStart w:id="194" w:name="_Toc313888360"/>
      <w:bookmarkStart w:id="195" w:name="_Toc313008356"/>
      <w:bookmarkStart w:id="196" w:name="_Toc342913419"/>
      <w:bookmarkStart w:id="197" w:name="_Toc12789073"/>
      <w:bookmarkStart w:id="198" w:name="_Toc283382454"/>
      <w:r>
        <w:rPr>
          <w:rFonts w:hint="eastAsia"/>
        </w:rPr>
        <w:t>一、经济部分</w:t>
      </w:r>
      <w:bookmarkEnd w:id="192"/>
      <w:bookmarkEnd w:id="193"/>
      <w:bookmarkEnd w:id="194"/>
      <w:bookmarkEnd w:id="195"/>
      <w:bookmarkEnd w:id="196"/>
    </w:p>
    <w:bookmarkEnd w:id="197"/>
    <w:bookmarkEnd w:id="198"/>
    <w:p>
      <w:r>
        <w:rPr>
          <w:rFonts w:hint="eastAsia"/>
        </w:rPr>
        <w:t>（一）竞争性磋商报价函</w:t>
      </w:r>
    </w:p>
    <w:p>
      <w:pPr>
        <w:jc w:val="center"/>
      </w:pPr>
      <w:r>
        <w:rPr>
          <w:rFonts w:hint="eastAsia"/>
        </w:rPr>
        <w:t>竞争性磋商报价函</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我方收到____________________________（磋商项目名称）的竞争性磋商文件，经详细研究，决定参加该项目的磋商。</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1.愿意按照竞争性磋商文件中的一切要求，提供本项目的服务，初始报价为人民币大写：</w:t>
      </w:r>
      <w:r>
        <w:rPr>
          <w:rFonts w:hint="eastAsia" w:ascii="仿宋" w:hAnsi="仿宋" w:eastAsia="仿宋" w:cs="仿宋"/>
          <w:szCs w:val="28"/>
          <w:u w:val="single"/>
        </w:rPr>
        <w:t xml:space="preserve">      </w:t>
      </w:r>
      <w:r>
        <w:rPr>
          <w:rFonts w:hint="eastAsia" w:ascii="仿宋" w:hAnsi="仿宋" w:eastAsia="仿宋" w:cs="仿宋"/>
          <w:szCs w:val="28"/>
        </w:rPr>
        <w:t>元整；人民币小写：</w:t>
      </w:r>
      <w:r>
        <w:rPr>
          <w:rFonts w:hint="eastAsia" w:ascii="仿宋" w:hAnsi="仿宋" w:eastAsia="仿宋" w:cs="仿宋"/>
          <w:szCs w:val="28"/>
          <w:u w:val="single"/>
        </w:rPr>
        <w:t xml:space="preserve">    </w:t>
      </w:r>
      <w:r>
        <w:rPr>
          <w:rFonts w:hint="eastAsia" w:ascii="仿宋" w:hAnsi="仿宋" w:eastAsia="仿宋" w:cs="仿宋"/>
          <w:szCs w:val="28"/>
        </w:rPr>
        <w:t>元。以我公司最后报价为准。</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2.我方现提交的响应文件为：响应文件正本</w:t>
      </w:r>
      <w:r>
        <w:rPr>
          <w:rFonts w:hint="eastAsia" w:ascii="仿宋" w:hAnsi="仿宋" w:eastAsia="仿宋" w:cs="仿宋"/>
          <w:szCs w:val="28"/>
          <w:u w:val="single"/>
        </w:rPr>
        <w:t xml:space="preserve">   </w:t>
      </w:r>
      <w:r>
        <w:rPr>
          <w:rFonts w:hint="eastAsia" w:ascii="仿宋" w:hAnsi="仿宋" w:eastAsia="仿宋" w:cs="仿宋"/>
          <w:szCs w:val="28"/>
        </w:rPr>
        <w:t>份，副本</w:t>
      </w:r>
      <w:r>
        <w:rPr>
          <w:rFonts w:hint="eastAsia" w:ascii="仿宋" w:hAnsi="仿宋" w:eastAsia="仿宋" w:cs="仿宋"/>
          <w:szCs w:val="28"/>
          <w:u w:val="single"/>
        </w:rPr>
        <w:t xml:space="preserve">   </w:t>
      </w:r>
      <w:r>
        <w:rPr>
          <w:rFonts w:hint="eastAsia" w:ascii="仿宋" w:hAnsi="仿宋" w:eastAsia="仿宋" w:cs="仿宋"/>
          <w:szCs w:val="28"/>
        </w:rPr>
        <w:t>份，电子文档</w:t>
      </w:r>
      <w:r>
        <w:rPr>
          <w:rFonts w:hint="eastAsia" w:ascii="仿宋" w:hAnsi="仿宋" w:eastAsia="仿宋" w:cs="仿宋"/>
          <w:szCs w:val="28"/>
          <w:u w:val="single"/>
        </w:rPr>
        <w:t xml:space="preserve">   </w:t>
      </w:r>
      <w:r>
        <w:rPr>
          <w:rFonts w:hint="eastAsia" w:ascii="仿宋" w:hAnsi="仿宋" w:eastAsia="仿宋" w:cs="仿宋"/>
          <w:szCs w:val="28"/>
        </w:rPr>
        <w:t>份。</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3.我方承诺：本次磋商的有效期为90天。</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4.我方完全理解和接受贵方竞争性磋商文件的一切规定和要求及评审办法。</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5.在整个竞争性磋商过程中，我方若有违规行为，接受按照《中华人民共和国政府采购法》和《竞争性磋商文件》之规定给予惩罚。</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7.如果我方成为成交供应商，保证在接到成交通知书后，向采购代理机构和重庆联合产权交易所集团股份有限公司竞争性磋商文件规定的采购代理服务费和交易服务费。</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8.我方未为采购项目提供整体设计、规范编制或者项目管理、监理、检测等服务。</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供应商（公章）：</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 xml:space="preserve">地址：  </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电话：                                     传真：</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网址：                                     邮编：</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联系人：</w:t>
      </w:r>
    </w:p>
    <w:p>
      <w:pPr>
        <w:snapToGrid w:val="0"/>
        <w:spacing w:line="560" w:lineRule="exact"/>
        <w:ind w:firstLine="560" w:firstLineChars="200"/>
        <w:rPr>
          <w:rFonts w:ascii="仿宋" w:hAnsi="仿宋" w:eastAsia="仿宋" w:cs="仿宋"/>
          <w:szCs w:val="28"/>
        </w:rPr>
        <w:sectPr>
          <w:headerReference r:id="rId6" w:type="default"/>
          <w:pgSz w:w="11907" w:h="16840"/>
          <w:pgMar w:top="1134" w:right="1304" w:bottom="1134" w:left="1304" w:header="851" w:footer="992" w:gutter="0"/>
          <w:pgNumType w:fmt="numberInDash"/>
          <w:cols w:space="720" w:num="1"/>
          <w:docGrid w:linePitch="380" w:charSpace="-5735"/>
        </w:sectPr>
      </w:pPr>
      <w:r>
        <w:rPr>
          <w:rFonts w:hint="eastAsia" w:ascii="仿宋" w:hAnsi="仿宋" w:eastAsia="仿宋" w:cs="仿宋"/>
          <w:szCs w:val="28"/>
        </w:rPr>
        <w:t xml:space="preserve">                                                  年   月  </w:t>
      </w:r>
    </w:p>
    <w:p>
      <w:pPr>
        <w:rPr>
          <w:rFonts w:cs="宋体"/>
        </w:rPr>
      </w:pPr>
      <w:r>
        <w:rPr>
          <w:rFonts w:hint="eastAsia" w:cs="宋体"/>
        </w:rPr>
        <w:t>（二）</w:t>
      </w:r>
      <w:r>
        <w:rPr>
          <w:rFonts w:hint="eastAsia"/>
        </w:rPr>
        <w:t>明细报价表</w:t>
      </w:r>
    </w:p>
    <w:p>
      <w:bookmarkStart w:id="199" w:name="_Toc8386"/>
      <w:bookmarkStart w:id="200" w:name="_Toc16465"/>
      <w:bookmarkStart w:id="201" w:name="_Toc13851"/>
      <w:bookmarkStart w:id="202" w:name="_Toc342913420"/>
      <w:bookmarkStart w:id="203" w:name="_Toc313008357"/>
      <w:bookmarkStart w:id="204" w:name="_Toc313888361"/>
      <w:bookmarkStart w:id="205" w:name="_Toc25932349"/>
      <w:r>
        <w:rPr>
          <w:rFonts w:hint="eastAsia"/>
        </w:rPr>
        <w:t>明细报价表</w:t>
      </w:r>
      <w:bookmarkEnd w:id="199"/>
      <w:bookmarkEnd w:id="200"/>
      <w:bookmarkEnd w:id="201"/>
    </w:p>
    <w:p>
      <w:pPr>
        <w:spacing w:line="360" w:lineRule="auto"/>
        <w:rPr>
          <w:rFonts w:ascii="宋体" w:hAnsi="宋体"/>
          <w:sz w:val="24"/>
          <w:szCs w:val="24"/>
        </w:rPr>
      </w:pPr>
      <w:r>
        <w:rPr>
          <w:rFonts w:hint="eastAsia" w:ascii="宋体" w:hAnsi="宋体"/>
          <w:sz w:val="24"/>
          <w:szCs w:val="24"/>
        </w:rPr>
        <w:t>项目编号：</w:t>
      </w:r>
    </w:p>
    <w:p>
      <w:pPr>
        <w:spacing w:line="360" w:lineRule="auto"/>
        <w:rPr>
          <w:rFonts w:ascii="宋体" w:hAnsi="宋体"/>
          <w:sz w:val="24"/>
          <w:szCs w:val="24"/>
        </w:rPr>
      </w:pPr>
      <w:r>
        <w:rPr>
          <w:rFonts w:hint="eastAsia" w:ascii="宋体" w:hAnsi="宋体"/>
          <w:sz w:val="24"/>
          <w:szCs w:val="24"/>
        </w:rPr>
        <w:t>项目名称：</w:t>
      </w:r>
    </w:p>
    <w:tbl>
      <w:tblPr>
        <w:tblStyle w:val="13"/>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041"/>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022" w:type="dxa"/>
            <w:vAlign w:val="center"/>
          </w:tcPr>
          <w:p>
            <w:pPr>
              <w:jc w:val="center"/>
              <w:rPr>
                <w:rFonts w:ascii="宋体" w:hAnsi="宋体"/>
                <w:b/>
                <w:sz w:val="21"/>
                <w:szCs w:val="21"/>
              </w:rPr>
            </w:pPr>
            <w:r>
              <w:rPr>
                <w:rFonts w:hint="eastAsia" w:ascii="宋体" w:hAnsi="宋体"/>
                <w:b/>
                <w:sz w:val="21"/>
                <w:szCs w:val="21"/>
              </w:rPr>
              <w:t>序号</w:t>
            </w:r>
          </w:p>
        </w:tc>
        <w:tc>
          <w:tcPr>
            <w:tcW w:w="1695" w:type="dxa"/>
            <w:vAlign w:val="center"/>
          </w:tcPr>
          <w:p>
            <w:pPr>
              <w:jc w:val="center"/>
              <w:rPr>
                <w:rFonts w:ascii="宋体" w:hAnsi="宋体"/>
                <w:b/>
                <w:sz w:val="21"/>
                <w:szCs w:val="21"/>
              </w:rPr>
            </w:pPr>
            <w:r>
              <w:rPr>
                <w:rFonts w:hint="eastAsia" w:ascii="宋体" w:hAnsi="宋体"/>
                <w:b/>
                <w:sz w:val="21"/>
                <w:szCs w:val="21"/>
              </w:rPr>
              <w:t>名称</w:t>
            </w:r>
          </w:p>
        </w:tc>
        <w:tc>
          <w:tcPr>
            <w:tcW w:w="3041" w:type="dxa"/>
            <w:vAlign w:val="center"/>
          </w:tcPr>
          <w:p>
            <w:pPr>
              <w:jc w:val="center"/>
              <w:rPr>
                <w:rFonts w:ascii="宋体" w:hAnsi="宋体"/>
                <w:b/>
                <w:sz w:val="21"/>
                <w:szCs w:val="21"/>
              </w:rPr>
            </w:pPr>
            <w:r>
              <w:rPr>
                <w:rFonts w:hint="eastAsia" w:ascii="宋体" w:hAnsi="宋体"/>
                <w:b/>
                <w:sz w:val="21"/>
                <w:szCs w:val="21"/>
              </w:rPr>
              <w:t>相关信息</w:t>
            </w:r>
          </w:p>
        </w:tc>
        <w:tc>
          <w:tcPr>
            <w:tcW w:w="1344" w:type="dxa"/>
            <w:vAlign w:val="center"/>
          </w:tcPr>
          <w:p>
            <w:pPr>
              <w:jc w:val="center"/>
              <w:rPr>
                <w:rFonts w:ascii="宋体" w:hAnsi="宋体"/>
                <w:b/>
                <w:sz w:val="21"/>
                <w:szCs w:val="21"/>
              </w:rPr>
            </w:pPr>
            <w:r>
              <w:rPr>
                <w:rFonts w:hint="eastAsia" w:ascii="宋体" w:hAnsi="宋体"/>
                <w:b/>
                <w:sz w:val="21"/>
                <w:szCs w:val="21"/>
              </w:rPr>
              <w:t>数量</w:t>
            </w:r>
          </w:p>
        </w:tc>
        <w:tc>
          <w:tcPr>
            <w:tcW w:w="1344" w:type="dxa"/>
            <w:vAlign w:val="center"/>
          </w:tcPr>
          <w:p>
            <w:pPr>
              <w:jc w:val="center"/>
              <w:rPr>
                <w:rFonts w:ascii="宋体" w:hAnsi="宋体"/>
                <w:b/>
                <w:sz w:val="21"/>
                <w:szCs w:val="21"/>
              </w:rPr>
            </w:pPr>
            <w:r>
              <w:rPr>
                <w:rFonts w:hint="eastAsia" w:ascii="宋体" w:hAnsi="宋体"/>
                <w:b/>
                <w:sz w:val="21"/>
                <w:szCs w:val="21"/>
              </w:rPr>
              <w:t>单价</w:t>
            </w:r>
          </w:p>
        </w:tc>
        <w:tc>
          <w:tcPr>
            <w:tcW w:w="1344" w:type="dxa"/>
            <w:vAlign w:val="center"/>
          </w:tcPr>
          <w:p>
            <w:pPr>
              <w:jc w:val="center"/>
              <w:rPr>
                <w:rFonts w:ascii="宋体" w:hAnsi="宋体"/>
                <w:b/>
                <w:sz w:val="21"/>
                <w:szCs w:val="21"/>
              </w:rPr>
            </w:pPr>
            <w:r>
              <w:rPr>
                <w:rFonts w:hint="eastAsia" w:ascii="宋体" w:hAnsi="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06" w:name="_Toc20325"/>
            <w:bookmarkStart w:id="207" w:name="_Toc1393"/>
            <w:bookmarkStart w:id="208" w:name="_Toc21076"/>
            <w:bookmarkStart w:id="209" w:name="_Toc18257"/>
            <w:r>
              <w:rPr>
                <w:rFonts w:hint="eastAsia"/>
              </w:rPr>
              <w:t>1</w:t>
            </w:r>
            <w:bookmarkEnd w:id="206"/>
            <w:bookmarkEnd w:id="207"/>
            <w:bookmarkEnd w:id="208"/>
            <w:bookmarkEnd w:id="209"/>
          </w:p>
        </w:tc>
        <w:tc>
          <w:tcPr>
            <w:tcW w:w="1695" w:type="dxa"/>
            <w:vAlign w:val="center"/>
          </w:tcPr>
          <w:p>
            <w:pPr>
              <w:jc w:val="center"/>
              <w:rPr>
                <w:rFonts w:ascii="宋体" w:hAnsi="宋体"/>
                <w:sz w:val="21"/>
                <w:szCs w:val="21"/>
              </w:rPr>
            </w:pPr>
          </w:p>
        </w:tc>
        <w:tc>
          <w:tcPr>
            <w:tcW w:w="3041" w:type="dxa"/>
          </w:tcPr>
          <w:p>
            <w:pPr>
              <w:jc w:val="center"/>
              <w:rPr>
                <w:rFonts w:ascii="宋体" w:hAnsi="宋体"/>
                <w:sz w:val="21"/>
                <w:szCs w:val="21"/>
              </w:rPr>
            </w:pPr>
          </w:p>
        </w:tc>
        <w:tc>
          <w:tcPr>
            <w:tcW w:w="1344" w:type="dxa"/>
            <w:vAlign w:val="center"/>
          </w:tcPr>
          <w:p>
            <w:pPr>
              <w:jc w:val="center"/>
              <w:rPr>
                <w:rFonts w:ascii="宋体" w:hAnsi="宋体"/>
                <w:sz w:val="21"/>
                <w:szCs w:val="21"/>
              </w:rPr>
            </w:pPr>
          </w:p>
        </w:tc>
        <w:tc>
          <w:tcPr>
            <w:tcW w:w="1344" w:type="dxa"/>
          </w:tcPr>
          <w:p>
            <w:pPr>
              <w:jc w:val="center"/>
              <w:rPr>
                <w:rFonts w:ascii="宋体" w:hAnsi="宋体"/>
                <w:sz w:val="21"/>
                <w:szCs w:val="21"/>
              </w:rPr>
            </w:pPr>
          </w:p>
        </w:tc>
        <w:tc>
          <w:tcPr>
            <w:tcW w:w="1344"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10" w:name="_Toc8969"/>
            <w:bookmarkStart w:id="211" w:name="_Toc6536"/>
            <w:bookmarkStart w:id="212" w:name="_Toc4941"/>
            <w:bookmarkStart w:id="213" w:name="_Toc11299"/>
            <w:r>
              <w:rPr>
                <w:rFonts w:hint="eastAsia"/>
              </w:rPr>
              <w:t>2</w:t>
            </w:r>
            <w:bookmarkEnd w:id="210"/>
            <w:bookmarkEnd w:id="211"/>
            <w:bookmarkEnd w:id="212"/>
            <w:bookmarkEnd w:id="213"/>
          </w:p>
        </w:tc>
        <w:tc>
          <w:tcPr>
            <w:tcW w:w="1695" w:type="dxa"/>
            <w:vAlign w:val="center"/>
          </w:tcPr>
          <w:p>
            <w:pPr>
              <w:jc w:val="center"/>
              <w:rPr>
                <w:rFonts w:ascii="宋体" w:hAnsi="宋体"/>
                <w:sz w:val="21"/>
                <w:szCs w:val="21"/>
              </w:rPr>
            </w:pPr>
          </w:p>
        </w:tc>
        <w:tc>
          <w:tcPr>
            <w:tcW w:w="3041" w:type="dxa"/>
          </w:tcPr>
          <w:p>
            <w:pPr>
              <w:jc w:val="center"/>
              <w:rPr>
                <w:rFonts w:ascii="宋体" w:hAnsi="宋体"/>
                <w:sz w:val="21"/>
                <w:szCs w:val="21"/>
              </w:rPr>
            </w:pPr>
          </w:p>
        </w:tc>
        <w:tc>
          <w:tcPr>
            <w:tcW w:w="1344" w:type="dxa"/>
            <w:vAlign w:val="center"/>
          </w:tcPr>
          <w:p>
            <w:pPr>
              <w:jc w:val="center"/>
              <w:rPr>
                <w:rFonts w:ascii="宋体" w:hAnsi="宋体"/>
                <w:sz w:val="21"/>
                <w:szCs w:val="21"/>
              </w:rPr>
            </w:pPr>
          </w:p>
        </w:tc>
        <w:tc>
          <w:tcPr>
            <w:tcW w:w="1344" w:type="dxa"/>
          </w:tcPr>
          <w:p>
            <w:pPr>
              <w:jc w:val="center"/>
              <w:rPr>
                <w:rFonts w:ascii="宋体" w:hAnsi="宋体"/>
                <w:sz w:val="21"/>
                <w:szCs w:val="21"/>
              </w:rPr>
            </w:pPr>
          </w:p>
        </w:tc>
        <w:tc>
          <w:tcPr>
            <w:tcW w:w="1344"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14" w:name="_Toc15184"/>
            <w:bookmarkStart w:id="215" w:name="_Toc17641"/>
            <w:bookmarkStart w:id="216" w:name="_Toc9487"/>
            <w:bookmarkStart w:id="217" w:name="_Toc1854"/>
            <w:r>
              <w:rPr>
                <w:rFonts w:hint="eastAsia"/>
              </w:rPr>
              <w:t>3</w:t>
            </w:r>
            <w:bookmarkEnd w:id="214"/>
            <w:bookmarkEnd w:id="215"/>
            <w:bookmarkEnd w:id="216"/>
            <w:bookmarkEnd w:id="217"/>
          </w:p>
        </w:tc>
        <w:tc>
          <w:tcPr>
            <w:tcW w:w="1695" w:type="dxa"/>
            <w:vAlign w:val="center"/>
          </w:tcPr>
          <w:p>
            <w:pPr>
              <w:jc w:val="center"/>
              <w:rPr>
                <w:rFonts w:ascii="宋体" w:hAnsi="宋体"/>
                <w:sz w:val="21"/>
                <w:szCs w:val="21"/>
              </w:rPr>
            </w:pPr>
          </w:p>
        </w:tc>
        <w:tc>
          <w:tcPr>
            <w:tcW w:w="3041" w:type="dxa"/>
          </w:tcPr>
          <w:p>
            <w:pPr>
              <w:jc w:val="center"/>
              <w:rPr>
                <w:rFonts w:ascii="宋体" w:hAnsi="宋体"/>
                <w:sz w:val="21"/>
                <w:szCs w:val="21"/>
              </w:rPr>
            </w:pPr>
          </w:p>
        </w:tc>
        <w:tc>
          <w:tcPr>
            <w:tcW w:w="1344" w:type="dxa"/>
            <w:vAlign w:val="center"/>
          </w:tcPr>
          <w:p>
            <w:pPr>
              <w:jc w:val="center"/>
              <w:rPr>
                <w:rFonts w:ascii="宋体" w:hAnsi="宋体"/>
                <w:sz w:val="21"/>
                <w:szCs w:val="21"/>
              </w:rPr>
            </w:pPr>
          </w:p>
        </w:tc>
        <w:tc>
          <w:tcPr>
            <w:tcW w:w="1344" w:type="dxa"/>
          </w:tcPr>
          <w:p>
            <w:pPr>
              <w:jc w:val="center"/>
              <w:rPr>
                <w:rFonts w:ascii="宋体" w:hAnsi="宋体"/>
                <w:sz w:val="21"/>
                <w:szCs w:val="21"/>
              </w:rPr>
            </w:pPr>
          </w:p>
        </w:tc>
        <w:tc>
          <w:tcPr>
            <w:tcW w:w="1344"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18" w:name="_Toc5255"/>
            <w:bookmarkStart w:id="219" w:name="_Toc468"/>
            <w:bookmarkStart w:id="220" w:name="_Toc29384"/>
            <w:bookmarkStart w:id="221" w:name="_Toc17492"/>
            <w:r>
              <w:rPr>
                <w:rFonts w:hint="eastAsia"/>
              </w:rPr>
              <w:t>4</w:t>
            </w:r>
            <w:bookmarkEnd w:id="218"/>
            <w:bookmarkEnd w:id="219"/>
            <w:bookmarkEnd w:id="220"/>
            <w:bookmarkEnd w:id="221"/>
          </w:p>
        </w:tc>
        <w:tc>
          <w:tcPr>
            <w:tcW w:w="1695" w:type="dxa"/>
            <w:vAlign w:val="center"/>
          </w:tcPr>
          <w:p>
            <w:pPr>
              <w:jc w:val="center"/>
              <w:rPr>
                <w:rFonts w:ascii="宋体" w:hAnsi="宋体"/>
                <w:sz w:val="21"/>
                <w:szCs w:val="21"/>
              </w:rPr>
            </w:pPr>
          </w:p>
        </w:tc>
        <w:tc>
          <w:tcPr>
            <w:tcW w:w="3041" w:type="dxa"/>
          </w:tcPr>
          <w:p>
            <w:pPr>
              <w:jc w:val="center"/>
              <w:rPr>
                <w:rFonts w:ascii="宋体" w:hAnsi="宋体"/>
                <w:sz w:val="21"/>
                <w:szCs w:val="21"/>
              </w:rPr>
            </w:pPr>
          </w:p>
        </w:tc>
        <w:tc>
          <w:tcPr>
            <w:tcW w:w="1344" w:type="dxa"/>
            <w:vAlign w:val="center"/>
          </w:tcPr>
          <w:p>
            <w:pPr>
              <w:jc w:val="center"/>
              <w:rPr>
                <w:rFonts w:ascii="宋体" w:hAnsi="宋体"/>
                <w:sz w:val="21"/>
                <w:szCs w:val="21"/>
              </w:rPr>
            </w:pPr>
          </w:p>
        </w:tc>
        <w:tc>
          <w:tcPr>
            <w:tcW w:w="1344" w:type="dxa"/>
          </w:tcPr>
          <w:p>
            <w:pPr>
              <w:jc w:val="center"/>
              <w:rPr>
                <w:rFonts w:ascii="宋体" w:hAnsi="宋体"/>
                <w:sz w:val="21"/>
                <w:szCs w:val="21"/>
              </w:rPr>
            </w:pPr>
          </w:p>
        </w:tc>
        <w:tc>
          <w:tcPr>
            <w:tcW w:w="1344"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22" w:name="_Toc18912"/>
            <w:bookmarkStart w:id="223" w:name="_Toc2894"/>
            <w:bookmarkStart w:id="224" w:name="_Toc12552"/>
            <w:bookmarkStart w:id="225" w:name="_Toc5030"/>
            <w:r>
              <w:rPr>
                <w:rFonts w:hint="eastAsia"/>
              </w:rPr>
              <w:t>5</w:t>
            </w:r>
            <w:bookmarkEnd w:id="222"/>
            <w:bookmarkEnd w:id="223"/>
            <w:bookmarkEnd w:id="224"/>
            <w:bookmarkEnd w:id="225"/>
          </w:p>
        </w:tc>
        <w:tc>
          <w:tcPr>
            <w:tcW w:w="1695" w:type="dxa"/>
            <w:vAlign w:val="center"/>
          </w:tcPr>
          <w:p>
            <w:pPr>
              <w:jc w:val="center"/>
              <w:rPr>
                <w:rFonts w:ascii="宋体" w:hAnsi="宋体"/>
                <w:sz w:val="21"/>
                <w:szCs w:val="21"/>
              </w:rPr>
            </w:pPr>
          </w:p>
        </w:tc>
        <w:tc>
          <w:tcPr>
            <w:tcW w:w="3041" w:type="dxa"/>
          </w:tcPr>
          <w:p>
            <w:pPr>
              <w:jc w:val="center"/>
              <w:rPr>
                <w:rFonts w:ascii="宋体" w:hAnsi="宋体"/>
                <w:sz w:val="21"/>
                <w:szCs w:val="21"/>
              </w:rPr>
            </w:pPr>
          </w:p>
        </w:tc>
        <w:tc>
          <w:tcPr>
            <w:tcW w:w="1344" w:type="dxa"/>
            <w:vAlign w:val="center"/>
          </w:tcPr>
          <w:p>
            <w:pPr>
              <w:jc w:val="center"/>
              <w:rPr>
                <w:rFonts w:ascii="宋体" w:hAnsi="宋体"/>
                <w:sz w:val="21"/>
                <w:szCs w:val="21"/>
              </w:rPr>
            </w:pPr>
          </w:p>
        </w:tc>
        <w:tc>
          <w:tcPr>
            <w:tcW w:w="1344" w:type="dxa"/>
          </w:tcPr>
          <w:p>
            <w:pPr>
              <w:jc w:val="center"/>
              <w:rPr>
                <w:rFonts w:ascii="宋体" w:hAnsi="宋体"/>
                <w:sz w:val="21"/>
                <w:szCs w:val="21"/>
              </w:rPr>
            </w:pPr>
          </w:p>
        </w:tc>
        <w:tc>
          <w:tcPr>
            <w:tcW w:w="1344"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26" w:name="_Toc21761"/>
            <w:bookmarkStart w:id="227" w:name="_Toc25247"/>
            <w:bookmarkStart w:id="228" w:name="_Toc19811"/>
            <w:bookmarkStart w:id="229" w:name="_Toc19906"/>
            <w:r>
              <w:rPr>
                <w:rFonts w:hint="eastAsia"/>
              </w:rPr>
              <w:t>6</w:t>
            </w:r>
            <w:bookmarkEnd w:id="226"/>
            <w:bookmarkEnd w:id="227"/>
            <w:bookmarkEnd w:id="228"/>
            <w:bookmarkEnd w:id="229"/>
          </w:p>
        </w:tc>
        <w:tc>
          <w:tcPr>
            <w:tcW w:w="1695" w:type="dxa"/>
            <w:vAlign w:val="center"/>
          </w:tcPr>
          <w:p>
            <w:pPr>
              <w:jc w:val="center"/>
              <w:rPr>
                <w:rFonts w:ascii="宋体" w:hAnsi="宋体"/>
                <w:sz w:val="21"/>
                <w:szCs w:val="21"/>
              </w:rPr>
            </w:pPr>
          </w:p>
        </w:tc>
        <w:tc>
          <w:tcPr>
            <w:tcW w:w="3041" w:type="dxa"/>
          </w:tcPr>
          <w:p>
            <w:pPr>
              <w:jc w:val="center"/>
              <w:rPr>
                <w:rFonts w:ascii="宋体" w:hAnsi="宋体"/>
                <w:sz w:val="21"/>
                <w:szCs w:val="21"/>
              </w:rPr>
            </w:pPr>
          </w:p>
        </w:tc>
        <w:tc>
          <w:tcPr>
            <w:tcW w:w="1344" w:type="dxa"/>
            <w:vAlign w:val="center"/>
          </w:tcPr>
          <w:p>
            <w:pPr>
              <w:jc w:val="center"/>
              <w:rPr>
                <w:rFonts w:ascii="宋体" w:hAnsi="宋体"/>
                <w:sz w:val="21"/>
                <w:szCs w:val="21"/>
              </w:rPr>
            </w:pPr>
          </w:p>
        </w:tc>
        <w:tc>
          <w:tcPr>
            <w:tcW w:w="1344" w:type="dxa"/>
          </w:tcPr>
          <w:p>
            <w:pPr>
              <w:jc w:val="center"/>
              <w:rPr>
                <w:rFonts w:ascii="宋体" w:hAnsi="宋体"/>
                <w:sz w:val="21"/>
                <w:szCs w:val="21"/>
              </w:rPr>
            </w:pPr>
          </w:p>
        </w:tc>
        <w:tc>
          <w:tcPr>
            <w:tcW w:w="1344"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30" w:name="_Toc18416"/>
            <w:bookmarkStart w:id="231" w:name="_Toc12769"/>
            <w:bookmarkStart w:id="232" w:name="_Toc9964"/>
            <w:bookmarkStart w:id="233" w:name="_Toc10691"/>
            <w:r>
              <w:rPr>
                <w:rFonts w:hint="eastAsia"/>
              </w:rPr>
              <w:t>7</w:t>
            </w:r>
            <w:bookmarkEnd w:id="230"/>
            <w:bookmarkEnd w:id="231"/>
            <w:bookmarkEnd w:id="232"/>
            <w:bookmarkEnd w:id="233"/>
          </w:p>
        </w:tc>
        <w:tc>
          <w:tcPr>
            <w:tcW w:w="1695" w:type="dxa"/>
            <w:vAlign w:val="center"/>
          </w:tcPr>
          <w:p>
            <w:pPr>
              <w:jc w:val="center"/>
              <w:rPr>
                <w:rFonts w:ascii="宋体" w:hAnsi="宋体"/>
                <w:sz w:val="21"/>
                <w:szCs w:val="21"/>
              </w:rPr>
            </w:pPr>
          </w:p>
        </w:tc>
        <w:tc>
          <w:tcPr>
            <w:tcW w:w="3041" w:type="dxa"/>
          </w:tcPr>
          <w:p>
            <w:pPr>
              <w:jc w:val="center"/>
              <w:rPr>
                <w:rFonts w:ascii="宋体" w:hAnsi="宋体"/>
                <w:sz w:val="21"/>
                <w:szCs w:val="21"/>
              </w:rPr>
            </w:pPr>
          </w:p>
        </w:tc>
        <w:tc>
          <w:tcPr>
            <w:tcW w:w="1344" w:type="dxa"/>
            <w:vAlign w:val="center"/>
          </w:tcPr>
          <w:p>
            <w:pPr>
              <w:jc w:val="center"/>
              <w:rPr>
                <w:rFonts w:ascii="宋体" w:hAnsi="宋体"/>
                <w:sz w:val="21"/>
                <w:szCs w:val="21"/>
              </w:rPr>
            </w:pPr>
          </w:p>
        </w:tc>
        <w:tc>
          <w:tcPr>
            <w:tcW w:w="1344" w:type="dxa"/>
          </w:tcPr>
          <w:p>
            <w:pPr>
              <w:jc w:val="center"/>
              <w:rPr>
                <w:rFonts w:ascii="宋体" w:hAnsi="宋体"/>
                <w:sz w:val="21"/>
                <w:szCs w:val="21"/>
              </w:rPr>
            </w:pPr>
          </w:p>
        </w:tc>
        <w:tc>
          <w:tcPr>
            <w:tcW w:w="1344"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34" w:name="_Toc12976"/>
            <w:bookmarkStart w:id="235" w:name="_Toc27656"/>
            <w:bookmarkStart w:id="236" w:name="_Toc11453"/>
            <w:bookmarkStart w:id="237" w:name="_Toc14903"/>
            <w:r>
              <w:rPr>
                <w:rFonts w:hint="eastAsia"/>
              </w:rPr>
              <w:t>8</w:t>
            </w:r>
            <w:bookmarkEnd w:id="234"/>
            <w:bookmarkEnd w:id="235"/>
            <w:bookmarkEnd w:id="236"/>
            <w:bookmarkEnd w:id="237"/>
          </w:p>
        </w:tc>
        <w:tc>
          <w:tcPr>
            <w:tcW w:w="1695" w:type="dxa"/>
            <w:vAlign w:val="center"/>
          </w:tcPr>
          <w:p>
            <w:pPr>
              <w:jc w:val="center"/>
              <w:rPr>
                <w:rFonts w:ascii="宋体" w:hAnsi="宋体"/>
                <w:sz w:val="21"/>
                <w:szCs w:val="21"/>
              </w:rPr>
            </w:pPr>
          </w:p>
        </w:tc>
        <w:tc>
          <w:tcPr>
            <w:tcW w:w="3041" w:type="dxa"/>
          </w:tcPr>
          <w:p>
            <w:pPr>
              <w:jc w:val="center"/>
              <w:rPr>
                <w:rFonts w:ascii="宋体" w:hAnsi="宋体"/>
                <w:sz w:val="21"/>
                <w:szCs w:val="21"/>
              </w:rPr>
            </w:pPr>
          </w:p>
        </w:tc>
        <w:tc>
          <w:tcPr>
            <w:tcW w:w="1344" w:type="dxa"/>
            <w:vAlign w:val="center"/>
          </w:tcPr>
          <w:p>
            <w:pPr>
              <w:jc w:val="center"/>
              <w:rPr>
                <w:rFonts w:ascii="宋体" w:hAnsi="宋体"/>
                <w:sz w:val="21"/>
                <w:szCs w:val="21"/>
              </w:rPr>
            </w:pPr>
          </w:p>
        </w:tc>
        <w:tc>
          <w:tcPr>
            <w:tcW w:w="1344" w:type="dxa"/>
          </w:tcPr>
          <w:p>
            <w:pPr>
              <w:jc w:val="center"/>
              <w:rPr>
                <w:rFonts w:ascii="宋体" w:hAnsi="宋体"/>
                <w:sz w:val="21"/>
                <w:szCs w:val="21"/>
              </w:rPr>
            </w:pPr>
          </w:p>
        </w:tc>
        <w:tc>
          <w:tcPr>
            <w:tcW w:w="1344"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38" w:name="_Toc4257"/>
            <w:bookmarkStart w:id="239" w:name="_Toc13564"/>
            <w:bookmarkStart w:id="240" w:name="_Toc6587"/>
            <w:bookmarkStart w:id="241" w:name="_Toc28802"/>
            <w:r>
              <w:rPr>
                <w:rFonts w:hint="eastAsia"/>
              </w:rPr>
              <w:t>9</w:t>
            </w:r>
            <w:bookmarkEnd w:id="238"/>
            <w:bookmarkEnd w:id="239"/>
            <w:bookmarkEnd w:id="240"/>
            <w:bookmarkEnd w:id="241"/>
          </w:p>
        </w:tc>
        <w:tc>
          <w:tcPr>
            <w:tcW w:w="1695" w:type="dxa"/>
            <w:vAlign w:val="center"/>
          </w:tcPr>
          <w:p>
            <w:pPr>
              <w:jc w:val="center"/>
              <w:rPr>
                <w:rFonts w:ascii="宋体" w:hAnsi="宋体"/>
                <w:sz w:val="21"/>
                <w:szCs w:val="21"/>
              </w:rPr>
            </w:pPr>
          </w:p>
        </w:tc>
        <w:tc>
          <w:tcPr>
            <w:tcW w:w="3041" w:type="dxa"/>
          </w:tcPr>
          <w:p>
            <w:pPr>
              <w:jc w:val="center"/>
              <w:rPr>
                <w:rFonts w:ascii="宋体" w:hAnsi="宋体"/>
                <w:sz w:val="21"/>
                <w:szCs w:val="21"/>
              </w:rPr>
            </w:pPr>
          </w:p>
        </w:tc>
        <w:tc>
          <w:tcPr>
            <w:tcW w:w="1344" w:type="dxa"/>
            <w:vAlign w:val="center"/>
          </w:tcPr>
          <w:p>
            <w:pPr>
              <w:jc w:val="center"/>
              <w:rPr>
                <w:rFonts w:ascii="宋体" w:hAnsi="宋体"/>
                <w:sz w:val="21"/>
                <w:szCs w:val="21"/>
              </w:rPr>
            </w:pPr>
          </w:p>
        </w:tc>
        <w:tc>
          <w:tcPr>
            <w:tcW w:w="1344" w:type="dxa"/>
          </w:tcPr>
          <w:p>
            <w:pPr>
              <w:jc w:val="center"/>
              <w:rPr>
                <w:rFonts w:ascii="宋体" w:hAnsi="宋体"/>
                <w:sz w:val="21"/>
                <w:szCs w:val="21"/>
              </w:rPr>
            </w:pPr>
          </w:p>
        </w:tc>
        <w:tc>
          <w:tcPr>
            <w:tcW w:w="1344"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42" w:name="_Toc2888"/>
            <w:bookmarkStart w:id="243" w:name="_Toc2614"/>
            <w:bookmarkStart w:id="244" w:name="_Toc22163"/>
            <w:bookmarkStart w:id="245" w:name="_Toc27108"/>
            <w:r>
              <w:rPr>
                <w:rFonts w:hint="eastAsia"/>
              </w:rPr>
              <w:t>10</w:t>
            </w:r>
            <w:bookmarkEnd w:id="242"/>
            <w:bookmarkEnd w:id="243"/>
            <w:bookmarkEnd w:id="244"/>
            <w:bookmarkEnd w:id="245"/>
          </w:p>
        </w:tc>
        <w:tc>
          <w:tcPr>
            <w:tcW w:w="1695" w:type="dxa"/>
            <w:vAlign w:val="center"/>
          </w:tcPr>
          <w:p>
            <w:pPr>
              <w:jc w:val="center"/>
              <w:rPr>
                <w:rFonts w:ascii="宋体" w:hAnsi="宋体"/>
                <w:sz w:val="21"/>
                <w:szCs w:val="21"/>
              </w:rPr>
            </w:pPr>
          </w:p>
        </w:tc>
        <w:tc>
          <w:tcPr>
            <w:tcW w:w="3041" w:type="dxa"/>
          </w:tcPr>
          <w:p>
            <w:pPr>
              <w:jc w:val="center"/>
              <w:rPr>
                <w:rFonts w:ascii="宋体" w:hAnsi="宋体"/>
                <w:sz w:val="21"/>
                <w:szCs w:val="21"/>
              </w:rPr>
            </w:pPr>
          </w:p>
        </w:tc>
        <w:tc>
          <w:tcPr>
            <w:tcW w:w="1344" w:type="dxa"/>
            <w:vAlign w:val="center"/>
          </w:tcPr>
          <w:p>
            <w:pPr>
              <w:jc w:val="center"/>
              <w:rPr>
                <w:rFonts w:ascii="宋体" w:hAnsi="宋体"/>
                <w:sz w:val="21"/>
                <w:szCs w:val="21"/>
              </w:rPr>
            </w:pPr>
          </w:p>
        </w:tc>
        <w:tc>
          <w:tcPr>
            <w:tcW w:w="1344" w:type="dxa"/>
          </w:tcPr>
          <w:p>
            <w:pPr>
              <w:jc w:val="center"/>
              <w:rPr>
                <w:rFonts w:ascii="宋体" w:hAnsi="宋体"/>
                <w:sz w:val="21"/>
                <w:szCs w:val="21"/>
              </w:rPr>
            </w:pPr>
          </w:p>
        </w:tc>
        <w:tc>
          <w:tcPr>
            <w:tcW w:w="1344"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46" w:name="_Toc12677"/>
            <w:bookmarkStart w:id="247" w:name="_Toc30298"/>
            <w:bookmarkStart w:id="248" w:name="_Toc7857"/>
            <w:bookmarkStart w:id="249" w:name="_Toc18402"/>
            <w:r>
              <w:rPr>
                <w:rFonts w:hint="eastAsia"/>
              </w:rPr>
              <w:t>11</w:t>
            </w:r>
            <w:bookmarkEnd w:id="246"/>
            <w:bookmarkEnd w:id="247"/>
            <w:bookmarkEnd w:id="248"/>
            <w:bookmarkEnd w:id="249"/>
          </w:p>
        </w:tc>
        <w:tc>
          <w:tcPr>
            <w:tcW w:w="1695" w:type="dxa"/>
            <w:vAlign w:val="center"/>
          </w:tcPr>
          <w:p>
            <w:pPr>
              <w:jc w:val="center"/>
              <w:rPr>
                <w:rFonts w:ascii="宋体" w:hAnsi="宋体"/>
                <w:sz w:val="21"/>
                <w:szCs w:val="21"/>
              </w:rPr>
            </w:pPr>
          </w:p>
        </w:tc>
        <w:tc>
          <w:tcPr>
            <w:tcW w:w="3041" w:type="dxa"/>
          </w:tcPr>
          <w:p>
            <w:pPr>
              <w:jc w:val="center"/>
              <w:rPr>
                <w:rFonts w:ascii="宋体" w:hAnsi="宋体"/>
                <w:sz w:val="21"/>
                <w:szCs w:val="21"/>
              </w:rPr>
            </w:pPr>
          </w:p>
        </w:tc>
        <w:tc>
          <w:tcPr>
            <w:tcW w:w="1344" w:type="dxa"/>
            <w:vAlign w:val="center"/>
          </w:tcPr>
          <w:p>
            <w:pPr>
              <w:jc w:val="center"/>
              <w:rPr>
                <w:rFonts w:ascii="宋体" w:hAnsi="宋体"/>
                <w:sz w:val="21"/>
                <w:szCs w:val="21"/>
              </w:rPr>
            </w:pPr>
          </w:p>
        </w:tc>
        <w:tc>
          <w:tcPr>
            <w:tcW w:w="1344" w:type="dxa"/>
          </w:tcPr>
          <w:p>
            <w:pPr>
              <w:jc w:val="center"/>
              <w:rPr>
                <w:rFonts w:ascii="宋体" w:hAnsi="宋体"/>
                <w:sz w:val="21"/>
                <w:szCs w:val="21"/>
              </w:rPr>
            </w:pPr>
          </w:p>
        </w:tc>
        <w:tc>
          <w:tcPr>
            <w:tcW w:w="1344"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jc w:val="center"/>
            </w:pPr>
            <w:bookmarkStart w:id="250" w:name="_Toc16723"/>
            <w:bookmarkStart w:id="251" w:name="_Toc4209"/>
            <w:bookmarkStart w:id="252" w:name="_Toc6820"/>
            <w:bookmarkStart w:id="253" w:name="_Toc11764"/>
            <w:r>
              <w:rPr>
                <w:rFonts w:hint="eastAsia"/>
              </w:rPr>
              <w:t>12</w:t>
            </w:r>
            <w:bookmarkEnd w:id="250"/>
            <w:bookmarkEnd w:id="251"/>
            <w:bookmarkEnd w:id="252"/>
            <w:bookmarkEnd w:id="253"/>
          </w:p>
        </w:tc>
        <w:tc>
          <w:tcPr>
            <w:tcW w:w="1695" w:type="dxa"/>
            <w:vAlign w:val="center"/>
          </w:tcPr>
          <w:p>
            <w:pPr>
              <w:jc w:val="center"/>
              <w:rPr>
                <w:rFonts w:ascii="宋体" w:hAnsi="宋体"/>
                <w:sz w:val="21"/>
                <w:szCs w:val="21"/>
              </w:rPr>
            </w:pPr>
            <w:r>
              <w:rPr>
                <w:rFonts w:hint="eastAsia" w:ascii="宋体" w:hAnsi="宋体"/>
                <w:sz w:val="21"/>
                <w:szCs w:val="21"/>
              </w:rPr>
              <w:t>总计</w:t>
            </w:r>
          </w:p>
        </w:tc>
        <w:tc>
          <w:tcPr>
            <w:tcW w:w="7073" w:type="dxa"/>
            <w:gridSpan w:val="4"/>
          </w:tcPr>
          <w:p>
            <w:pPr>
              <w:rPr>
                <w:rFonts w:ascii="宋体" w:hAnsi="宋体"/>
                <w:sz w:val="21"/>
                <w:szCs w:val="21"/>
              </w:rPr>
            </w:pPr>
          </w:p>
        </w:tc>
      </w:tr>
    </w:tbl>
    <w:p>
      <w:pPr>
        <w:snapToGrid w:val="0"/>
        <w:spacing w:line="500" w:lineRule="exact"/>
        <w:ind w:firstLine="480" w:firstLineChars="200"/>
        <w:rPr>
          <w:rFonts w:ascii="宋体" w:hAnsi="宋体"/>
          <w:sz w:val="24"/>
          <w:szCs w:val="28"/>
        </w:rPr>
      </w:pPr>
    </w:p>
    <w:p>
      <w:pPr>
        <w:snapToGrid w:val="0"/>
        <w:spacing w:line="500" w:lineRule="exact"/>
        <w:ind w:firstLine="480" w:firstLineChars="200"/>
        <w:rPr>
          <w:rFonts w:ascii="宋体" w:hAnsi="宋体"/>
          <w:sz w:val="24"/>
          <w:szCs w:val="28"/>
        </w:rPr>
      </w:pPr>
      <w:r>
        <w:rPr>
          <w:rFonts w:hint="eastAsia" w:ascii="宋体" w:hAnsi="宋体"/>
          <w:sz w:val="24"/>
          <w:szCs w:val="28"/>
        </w:rPr>
        <w:t>注：1、请供应商完整填写本表。</w:t>
      </w:r>
    </w:p>
    <w:p>
      <w:pPr>
        <w:snapToGrid w:val="0"/>
        <w:spacing w:line="500" w:lineRule="exact"/>
        <w:rPr>
          <w:rFonts w:ascii="宋体" w:hAnsi="宋体"/>
          <w:sz w:val="24"/>
          <w:szCs w:val="28"/>
        </w:rPr>
      </w:pPr>
      <w:r>
        <w:rPr>
          <w:rFonts w:hint="eastAsia" w:ascii="宋体" w:hAnsi="宋体"/>
          <w:sz w:val="24"/>
          <w:szCs w:val="28"/>
        </w:rPr>
        <w:t xml:space="preserve">        2、该表可扩展。</w:t>
      </w:r>
    </w:p>
    <w:p>
      <w:pPr>
        <w:pStyle w:val="11"/>
        <w:spacing w:line="360" w:lineRule="auto"/>
        <w:rPr>
          <w:rFonts w:ascii="宋体" w:hAnsi="宋体"/>
          <w:sz w:val="24"/>
          <w:szCs w:val="24"/>
        </w:rPr>
      </w:pPr>
    </w:p>
    <w:p>
      <w:pPr>
        <w:pStyle w:val="11"/>
        <w:spacing w:line="360" w:lineRule="auto"/>
        <w:rPr>
          <w:rFonts w:ascii="宋体" w:hAnsi="宋体"/>
          <w:sz w:val="24"/>
          <w:szCs w:val="24"/>
        </w:rPr>
      </w:pPr>
    </w:p>
    <w:p>
      <w:pPr>
        <w:rPr>
          <w:rFonts w:ascii="宋体" w:hAnsi="宋体"/>
        </w:rPr>
      </w:pPr>
    </w:p>
    <w:p>
      <w:pPr>
        <w:rPr>
          <w:rFonts w:ascii="宋体" w:hAnsi="宋体"/>
        </w:rPr>
      </w:pPr>
    </w:p>
    <w:p>
      <w:pPr>
        <w:rPr>
          <w:rFonts w:ascii="宋体" w:hAnsi="宋体"/>
          <w:sz w:val="24"/>
          <w:szCs w:val="24"/>
        </w:rPr>
      </w:pPr>
      <w:r>
        <w:rPr>
          <w:rFonts w:hint="eastAsia" w:ascii="宋体" w:hAnsi="宋体"/>
          <w:sz w:val="24"/>
          <w:szCs w:val="24"/>
        </w:rPr>
        <w:t xml:space="preserve">                                            供应商名称（公章）或自然人签署：</w:t>
      </w:r>
    </w:p>
    <w:p>
      <w:pPr>
        <w:pStyle w:val="2"/>
      </w:pPr>
      <w:r>
        <w:rPr>
          <w:rFonts w:hint="eastAsia"/>
        </w:rPr>
        <w:br w:type="page"/>
      </w:r>
    </w:p>
    <w:bookmarkEnd w:id="202"/>
    <w:bookmarkEnd w:id="203"/>
    <w:bookmarkEnd w:id="204"/>
    <w:bookmarkEnd w:id="205"/>
    <w:p>
      <w:pPr>
        <w:pStyle w:val="5"/>
      </w:pPr>
      <w:bookmarkStart w:id="254" w:name="_Toc150506552"/>
      <w:bookmarkStart w:id="255" w:name="_Toc150432529"/>
      <w:r>
        <w:rPr>
          <w:rFonts w:hint="eastAsia"/>
        </w:rPr>
        <w:t>二、服务部分</w:t>
      </w:r>
      <w:bookmarkEnd w:id="254"/>
      <w:bookmarkEnd w:id="255"/>
    </w:p>
    <w:p>
      <w:r>
        <w:rPr>
          <w:rFonts w:hint="eastAsia"/>
        </w:rPr>
        <w:t>（一）服务方案（格式自定）</w:t>
      </w:r>
    </w:p>
    <w:p>
      <w:r>
        <w:rPr>
          <w:rFonts w:hint="eastAsia"/>
        </w:rPr>
        <w:t>（二）服务响应偏离表</w:t>
      </w:r>
    </w:p>
    <w:p>
      <w:r>
        <w:rPr>
          <w:rFonts w:hint="eastAsia"/>
        </w:rPr>
        <w:t>项目号：                                磋商项目编号：</w:t>
      </w:r>
    </w:p>
    <w:p>
      <w:r>
        <w:rPr>
          <w:rFonts w:hint="eastAsia"/>
        </w:rPr>
        <w:t>磋商项目名称：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r>
              <w:rPr>
                <w:rFonts w:hint="eastAsia"/>
              </w:rPr>
              <w:t>序号</w:t>
            </w:r>
          </w:p>
        </w:tc>
        <w:tc>
          <w:tcPr>
            <w:tcW w:w="2658" w:type="dxa"/>
            <w:vAlign w:val="center"/>
          </w:tcPr>
          <w:p>
            <w:r>
              <w:rPr>
                <w:rFonts w:hint="eastAsia"/>
              </w:rPr>
              <w:t>采购需求</w:t>
            </w:r>
          </w:p>
        </w:tc>
        <w:tc>
          <w:tcPr>
            <w:tcW w:w="2759" w:type="dxa"/>
            <w:vAlign w:val="center"/>
          </w:tcPr>
          <w:p>
            <w:r>
              <w:rPr>
                <w:rFonts w:hint="eastAsia"/>
              </w:rPr>
              <w:t>响应情况</w:t>
            </w:r>
          </w:p>
        </w:tc>
        <w:tc>
          <w:tcPr>
            <w:tcW w:w="2067" w:type="dxa"/>
            <w:vAlign w:val="center"/>
          </w:tcPr>
          <w:p>
            <w:r>
              <w:rPr>
                <w:rFonts w:hint="eastAsi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spacing w:line="560" w:lineRule="exact"/>
              <w:jc w:val="center"/>
              <w:outlineLvl w:val="0"/>
              <w:rPr>
                <w:rFonts w:ascii="仿宋" w:hAnsi="仿宋" w:eastAsia="仿宋" w:cs="仿宋"/>
                <w:szCs w:val="28"/>
              </w:rPr>
            </w:pPr>
          </w:p>
        </w:tc>
        <w:tc>
          <w:tcPr>
            <w:tcW w:w="2658" w:type="dxa"/>
            <w:vAlign w:val="center"/>
          </w:tcPr>
          <w:p>
            <w:pPr>
              <w:tabs>
                <w:tab w:val="left" w:pos="6300"/>
              </w:tabs>
              <w:snapToGrid w:val="0"/>
              <w:spacing w:line="560" w:lineRule="exact"/>
              <w:jc w:val="center"/>
              <w:outlineLvl w:val="0"/>
              <w:rPr>
                <w:rFonts w:ascii="仿宋" w:hAnsi="仿宋" w:eastAsia="仿宋" w:cs="仿宋"/>
                <w:szCs w:val="28"/>
              </w:rPr>
            </w:pPr>
          </w:p>
        </w:tc>
        <w:tc>
          <w:tcPr>
            <w:tcW w:w="2759" w:type="dxa"/>
            <w:vAlign w:val="center"/>
          </w:tcPr>
          <w:p>
            <w:pPr>
              <w:tabs>
                <w:tab w:val="left" w:pos="6300"/>
              </w:tabs>
              <w:snapToGrid w:val="0"/>
              <w:spacing w:line="560" w:lineRule="exact"/>
              <w:jc w:val="center"/>
              <w:outlineLvl w:val="0"/>
              <w:rPr>
                <w:rFonts w:ascii="仿宋" w:hAnsi="仿宋" w:eastAsia="仿宋" w:cs="仿宋"/>
                <w:szCs w:val="28"/>
              </w:rPr>
            </w:pPr>
          </w:p>
        </w:tc>
        <w:tc>
          <w:tcPr>
            <w:tcW w:w="2067"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spacing w:line="560" w:lineRule="exact"/>
              <w:jc w:val="center"/>
              <w:outlineLvl w:val="0"/>
              <w:rPr>
                <w:rFonts w:ascii="仿宋" w:hAnsi="仿宋" w:eastAsia="仿宋" w:cs="仿宋"/>
                <w:szCs w:val="28"/>
              </w:rPr>
            </w:pPr>
          </w:p>
        </w:tc>
        <w:tc>
          <w:tcPr>
            <w:tcW w:w="2658" w:type="dxa"/>
            <w:vAlign w:val="center"/>
          </w:tcPr>
          <w:p>
            <w:pPr>
              <w:tabs>
                <w:tab w:val="left" w:pos="6300"/>
              </w:tabs>
              <w:snapToGrid w:val="0"/>
              <w:spacing w:line="560" w:lineRule="exact"/>
              <w:jc w:val="center"/>
              <w:outlineLvl w:val="0"/>
              <w:rPr>
                <w:rFonts w:ascii="仿宋" w:hAnsi="仿宋" w:eastAsia="仿宋" w:cs="仿宋"/>
                <w:szCs w:val="28"/>
              </w:rPr>
            </w:pPr>
          </w:p>
        </w:tc>
        <w:tc>
          <w:tcPr>
            <w:tcW w:w="2759" w:type="dxa"/>
            <w:vAlign w:val="center"/>
          </w:tcPr>
          <w:p>
            <w:pPr>
              <w:tabs>
                <w:tab w:val="left" w:pos="6300"/>
              </w:tabs>
              <w:snapToGrid w:val="0"/>
              <w:spacing w:line="560" w:lineRule="exact"/>
              <w:jc w:val="center"/>
              <w:outlineLvl w:val="0"/>
              <w:rPr>
                <w:rFonts w:ascii="仿宋" w:hAnsi="仿宋" w:eastAsia="仿宋" w:cs="仿宋"/>
                <w:szCs w:val="28"/>
              </w:rPr>
            </w:pPr>
          </w:p>
        </w:tc>
        <w:tc>
          <w:tcPr>
            <w:tcW w:w="2067"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spacing w:line="560" w:lineRule="exact"/>
              <w:jc w:val="center"/>
              <w:outlineLvl w:val="0"/>
              <w:rPr>
                <w:rFonts w:ascii="仿宋" w:hAnsi="仿宋" w:eastAsia="仿宋" w:cs="仿宋"/>
                <w:szCs w:val="28"/>
              </w:rPr>
            </w:pPr>
          </w:p>
        </w:tc>
        <w:tc>
          <w:tcPr>
            <w:tcW w:w="2658" w:type="dxa"/>
            <w:vAlign w:val="center"/>
          </w:tcPr>
          <w:p>
            <w:pPr>
              <w:tabs>
                <w:tab w:val="left" w:pos="6300"/>
              </w:tabs>
              <w:snapToGrid w:val="0"/>
              <w:spacing w:line="560" w:lineRule="exact"/>
              <w:jc w:val="center"/>
              <w:outlineLvl w:val="0"/>
              <w:rPr>
                <w:rFonts w:ascii="仿宋" w:hAnsi="仿宋" w:eastAsia="仿宋" w:cs="仿宋"/>
                <w:szCs w:val="28"/>
              </w:rPr>
            </w:pPr>
          </w:p>
        </w:tc>
        <w:tc>
          <w:tcPr>
            <w:tcW w:w="2759" w:type="dxa"/>
            <w:vAlign w:val="center"/>
          </w:tcPr>
          <w:p>
            <w:pPr>
              <w:tabs>
                <w:tab w:val="left" w:pos="6300"/>
              </w:tabs>
              <w:snapToGrid w:val="0"/>
              <w:spacing w:line="560" w:lineRule="exact"/>
              <w:jc w:val="center"/>
              <w:outlineLvl w:val="0"/>
              <w:rPr>
                <w:rFonts w:ascii="仿宋" w:hAnsi="仿宋" w:eastAsia="仿宋" w:cs="仿宋"/>
                <w:szCs w:val="28"/>
              </w:rPr>
            </w:pPr>
          </w:p>
        </w:tc>
        <w:tc>
          <w:tcPr>
            <w:tcW w:w="2067"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spacing w:line="560" w:lineRule="exact"/>
              <w:jc w:val="center"/>
              <w:outlineLvl w:val="0"/>
              <w:rPr>
                <w:rFonts w:ascii="仿宋" w:hAnsi="仿宋" w:eastAsia="仿宋" w:cs="仿宋"/>
                <w:szCs w:val="28"/>
              </w:rPr>
            </w:pPr>
          </w:p>
        </w:tc>
        <w:tc>
          <w:tcPr>
            <w:tcW w:w="2658" w:type="dxa"/>
            <w:vAlign w:val="center"/>
          </w:tcPr>
          <w:p>
            <w:pPr>
              <w:tabs>
                <w:tab w:val="left" w:pos="6300"/>
              </w:tabs>
              <w:snapToGrid w:val="0"/>
              <w:spacing w:line="560" w:lineRule="exact"/>
              <w:jc w:val="center"/>
              <w:outlineLvl w:val="0"/>
              <w:rPr>
                <w:rFonts w:ascii="仿宋" w:hAnsi="仿宋" w:eastAsia="仿宋" w:cs="仿宋"/>
                <w:szCs w:val="28"/>
              </w:rPr>
            </w:pPr>
          </w:p>
        </w:tc>
        <w:tc>
          <w:tcPr>
            <w:tcW w:w="2759" w:type="dxa"/>
            <w:vAlign w:val="center"/>
          </w:tcPr>
          <w:p>
            <w:pPr>
              <w:tabs>
                <w:tab w:val="left" w:pos="6300"/>
              </w:tabs>
              <w:snapToGrid w:val="0"/>
              <w:spacing w:line="560" w:lineRule="exact"/>
              <w:jc w:val="center"/>
              <w:outlineLvl w:val="0"/>
              <w:rPr>
                <w:rFonts w:ascii="仿宋" w:hAnsi="仿宋" w:eastAsia="仿宋" w:cs="仿宋"/>
                <w:szCs w:val="28"/>
              </w:rPr>
            </w:pPr>
          </w:p>
        </w:tc>
        <w:tc>
          <w:tcPr>
            <w:tcW w:w="2067"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spacing w:line="560" w:lineRule="exact"/>
              <w:jc w:val="center"/>
              <w:outlineLvl w:val="0"/>
              <w:rPr>
                <w:rFonts w:ascii="仿宋" w:hAnsi="仿宋" w:eastAsia="仿宋" w:cs="仿宋"/>
                <w:szCs w:val="28"/>
              </w:rPr>
            </w:pPr>
          </w:p>
        </w:tc>
        <w:tc>
          <w:tcPr>
            <w:tcW w:w="2658" w:type="dxa"/>
            <w:vAlign w:val="center"/>
          </w:tcPr>
          <w:p>
            <w:pPr>
              <w:tabs>
                <w:tab w:val="left" w:pos="6300"/>
              </w:tabs>
              <w:snapToGrid w:val="0"/>
              <w:spacing w:line="560" w:lineRule="exact"/>
              <w:jc w:val="center"/>
              <w:outlineLvl w:val="0"/>
              <w:rPr>
                <w:rFonts w:ascii="仿宋" w:hAnsi="仿宋" w:eastAsia="仿宋" w:cs="仿宋"/>
                <w:szCs w:val="28"/>
              </w:rPr>
            </w:pPr>
          </w:p>
        </w:tc>
        <w:tc>
          <w:tcPr>
            <w:tcW w:w="2759" w:type="dxa"/>
            <w:vAlign w:val="center"/>
          </w:tcPr>
          <w:p>
            <w:pPr>
              <w:tabs>
                <w:tab w:val="left" w:pos="6300"/>
              </w:tabs>
              <w:snapToGrid w:val="0"/>
              <w:spacing w:line="560" w:lineRule="exact"/>
              <w:jc w:val="center"/>
              <w:outlineLvl w:val="0"/>
              <w:rPr>
                <w:rFonts w:ascii="仿宋" w:hAnsi="仿宋" w:eastAsia="仿宋" w:cs="仿宋"/>
                <w:szCs w:val="28"/>
              </w:rPr>
            </w:pPr>
          </w:p>
        </w:tc>
        <w:tc>
          <w:tcPr>
            <w:tcW w:w="2067"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spacing w:line="560" w:lineRule="exact"/>
              <w:jc w:val="center"/>
              <w:outlineLvl w:val="0"/>
              <w:rPr>
                <w:rFonts w:ascii="仿宋" w:hAnsi="仿宋" w:eastAsia="仿宋" w:cs="仿宋"/>
                <w:szCs w:val="28"/>
              </w:rPr>
            </w:pPr>
          </w:p>
        </w:tc>
        <w:tc>
          <w:tcPr>
            <w:tcW w:w="2658" w:type="dxa"/>
            <w:vAlign w:val="center"/>
          </w:tcPr>
          <w:p>
            <w:pPr>
              <w:tabs>
                <w:tab w:val="left" w:pos="6300"/>
              </w:tabs>
              <w:snapToGrid w:val="0"/>
              <w:spacing w:line="560" w:lineRule="exact"/>
              <w:jc w:val="center"/>
              <w:outlineLvl w:val="0"/>
              <w:rPr>
                <w:rFonts w:ascii="仿宋" w:hAnsi="仿宋" w:eastAsia="仿宋" w:cs="仿宋"/>
                <w:szCs w:val="28"/>
              </w:rPr>
            </w:pPr>
          </w:p>
        </w:tc>
        <w:tc>
          <w:tcPr>
            <w:tcW w:w="2759" w:type="dxa"/>
            <w:vAlign w:val="center"/>
          </w:tcPr>
          <w:p>
            <w:pPr>
              <w:tabs>
                <w:tab w:val="left" w:pos="6300"/>
              </w:tabs>
              <w:snapToGrid w:val="0"/>
              <w:spacing w:line="560" w:lineRule="exact"/>
              <w:jc w:val="center"/>
              <w:outlineLvl w:val="0"/>
              <w:rPr>
                <w:rFonts w:ascii="仿宋" w:hAnsi="仿宋" w:eastAsia="仿宋" w:cs="仿宋"/>
                <w:szCs w:val="28"/>
              </w:rPr>
            </w:pPr>
          </w:p>
        </w:tc>
        <w:tc>
          <w:tcPr>
            <w:tcW w:w="2067"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spacing w:line="560" w:lineRule="exact"/>
              <w:jc w:val="center"/>
              <w:outlineLvl w:val="0"/>
              <w:rPr>
                <w:rFonts w:ascii="仿宋" w:hAnsi="仿宋" w:eastAsia="仿宋" w:cs="仿宋"/>
                <w:szCs w:val="28"/>
              </w:rPr>
            </w:pPr>
          </w:p>
        </w:tc>
        <w:tc>
          <w:tcPr>
            <w:tcW w:w="2658" w:type="dxa"/>
            <w:vAlign w:val="center"/>
          </w:tcPr>
          <w:p>
            <w:pPr>
              <w:tabs>
                <w:tab w:val="left" w:pos="6300"/>
              </w:tabs>
              <w:snapToGrid w:val="0"/>
              <w:spacing w:line="560" w:lineRule="exact"/>
              <w:jc w:val="center"/>
              <w:outlineLvl w:val="0"/>
              <w:rPr>
                <w:rFonts w:ascii="仿宋" w:hAnsi="仿宋" w:eastAsia="仿宋" w:cs="仿宋"/>
                <w:szCs w:val="28"/>
              </w:rPr>
            </w:pPr>
          </w:p>
        </w:tc>
        <w:tc>
          <w:tcPr>
            <w:tcW w:w="2759" w:type="dxa"/>
            <w:vAlign w:val="center"/>
          </w:tcPr>
          <w:p>
            <w:pPr>
              <w:tabs>
                <w:tab w:val="left" w:pos="6300"/>
              </w:tabs>
              <w:snapToGrid w:val="0"/>
              <w:spacing w:line="560" w:lineRule="exact"/>
              <w:jc w:val="center"/>
              <w:outlineLvl w:val="0"/>
              <w:rPr>
                <w:rFonts w:ascii="仿宋" w:hAnsi="仿宋" w:eastAsia="仿宋" w:cs="仿宋"/>
                <w:szCs w:val="28"/>
              </w:rPr>
            </w:pPr>
          </w:p>
        </w:tc>
        <w:tc>
          <w:tcPr>
            <w:tcW w:w="2067"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spacing w:line="560" w:lineRule="exact"/>
              <w:jc w:val="center"/>
              <w:outlineLvl w:val="0"/>
              <w:rPr>
                <w:rFonts w:ascii="仿宋" w:hAnsi="仿宋" w:eastAsia="仿宋" w:cs="仿宋"/>
                <w:szCs w:val="28"/>
              </w:rPr>
            </w:pPr>
          </w:p>
        </w:tc>
        <w:tc>
          <w:tcPr>
            <w:tcW w:w="2658" w:type="dxa"/>
            <w:vAlign w:val="center"/>
          </w:tcPr>
          <w:p>
            <w:pPr>
              <w:tabs>
                <w:tab w:val="left" w:pos="6300"/>
              </w:tabs>
              <w:snapToGrid w:val="0"/>
              <w:spacing w:line="560" w:lineRule="exact"/>
              <w:jc w:val="center"/>
              <w:outlineLvl w:val="0"/>
              <w:rPr>
                <w:rFonts w:ascii="仿宋" w:hAnsi="仿宋" w:eastAsia="仿宋" w:cs="仿宋"/>
                <w:szCs w:val="28"/>
              </w:rPr>
            </w:pPr>
          </w:p>
        </w:tc>
        <w:tc>
          <w:tcPr>
            <w:tcW w:w="2759" w:type="dxa"/>
            <w:vAlign w:val="center"/>
          </w:tcPr>
          <w:p>
            <w:pPr>
              <w:tabs>
                <w:tab w:val="left" w:pos="6300"/>
              </w:tabs>
              <w:snapToGrid w:val="0"/>
              <w:spacing w:line="560" w:lineRule="exact"/>
              <w:jc w:val="center"/>
              <w:outlineLvl w:val="0"/>
              <w:rPr>
                <w:rFonts w:ascii="仿宋" w:hAnsi="仿宋" w:eastAsia="仿宋" w:cs="仿宋"/>
                <w:szCs w:val="28"/>
              </w:rPr>
            </w:pPr>
          </w:p>
        </w:tc>
        <w:tc>
          <w:tcPr>
            <w:tcW w:w="2067"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spacing w:line="560" w:lineRule="exact"/>
              <w:jc w:val="center"/>
              <w:outlineLvl w:val="0"/>
              <w:rPr>
                <w:rFonts w:ascii="仿宋" w:hAnsi="仿宋" w:eastAsia="仿宋" w:cs="仿宋"/>
                <w:szCs w:val="28"/>
              </w:rPr>
            </w:pPr>
          </w:p>
        </w:tc>
        <w:tc>
          <w:tcPr>
            <w:tcW w:w="2658" w:type="dxa"/>
            <w:vAlign w:val="center"/>
          </w:tcPr>
          <w:p>
            <w:pPr>
              <w:tabs>
                <w:tab w:val="left" w:pos="6300"/>
              </w:tabs>
              <w:snapToGrid w:val="0"/>
              <w:spacing w:line="560" w:lineRule="exact"/>
              <w:jc w:val="center"/>
              <w:outlineLvl w:val="0"/>
              <w:rPr>
                <w:rFonts w:ascii="仿宋" w:hAnsi="仿宋" w:eastAsia="仿宋" w:cs="仿宋"/>
                <w:szCs w:val="28"/>
              </w:rPr>
            </w:pPr>
          </w:p>
        </w:tc>
        <w:tc>
          <w:tcPr>
            <w:tcW w:w="2759" w:type="dxa"/>
            <w:vAlign w:val="center"/>
          </w:tcPr>
          <w:p>
            <w:pPr>
              <w:tabs>
                <w:tab w:val="left" w:pos="6300"/>
              </w:tabs>
              <w:snapToGrid w:val="0"/>
              <w:spacing w:line="560" w:lineRule="exact"/>
              <w:jc w:val="center"/>
              <w:outlineLvl w:val="0"/>
              <w:rPr>
                <w:rFonts w:ascii="仿宋" w:hAnsi="仿宋" w:eastAsia="仿宋" w:cs="仿宋"/>
                <w:szCs w:val="28"/>
              </w:rPr>
            </w:pPr>
          </w:p>
        </w:tc>
        <w:tc>
          <w:tcPr>
            <w:tcW w:w="2067"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spacing w:line="560" w:lineRule="exact"/>
              <w:jc w:val="center"/>
              <w:outlineLvl w:val="0"/>
              <w:rPr>
                <w:rFonts w:ascii="仿宋" w:hAnsi="仿宋" w:eastAsia="仿宋" w:cs="仿宋"/>
                <w:szCs w:val="28"/>
              </w:rPr>
            </w:pPr>
          </w:p>
        </w:tc>
        <w:tc>
          <w:tcPr>
            <w:tcW w:w="2658" w:type="dxa"/>
            <w:vAlign w:val="center"/>
          </w:tcPr>
          <w:p>
            <w:pPr>
              <w:tabs>
                <w:tab w:val="left" w:pos="6300"/>
              </w:tabs>
              <w:snapToGrid w:val="0"/>
              <w:spacing w:line="560" w:lineRule="exact"/>
              <w:jc w:val="center"/>
              <w:outlineLvl w:val="0"/>
              <w:rPr>
                <w:rFonts w:ascii="仿宋" w:hAnsi="仿宋" w:eastAsia="仿宋" w:cs="仿宋"/>
                <w:szCs w:val="28"/>
              </w:rPr>
            </w:pPr>
          </w:p>
        </w:tc>
        <w:tc>
          <w:tcPr>
            <w:tcW w:w="2759" w:type="dxa"/>
            <w:vAlign w:val="center"/>
          </w:tcPr>
          <w:p>
            <w:pPr>
              <w:tabs>
                <w:tab w:val="left" w:pos="6300"/>
              </w:tabs>
              <w:snapToGrid w:val="0"/>
              <w:spacing w:line="560" w:lineRule="exact"/>
              <w:jc w:val="center"/>
              <w:outlineLvl w:val="0"/>
              <w:rPr>
                <w:rFonts w:ascii="仿宋" w:hAnsi="仿宋" w:eastAsia="仿宋" w:cs="仿宋"/>
                <w:szCs w:val="28"/>
              </w:rPr>
            </w:pPr>
          </w:p>
        </w:tc>
        <w:tc>
          <w:tcPr>
            <w:tcW w:w="2067" w:type="dxa"/>
            <w:vAlign w:val="center"/>
          </w:tcPr>
          <w:p>
            <w:pPr>
              <w:tabs>
                <w:tab w:val="left" w:pos="6300"/>
              </w:tabs>
              <w:snapToGrid w:val="0"/>
              <w:spacing w:line="560" w:lineRule="exact"/>
              <w:jc w:val="center"/>
              <w:outlineLvl w:val="0"/>
              <w:rPr>
                <w:rFonts w:ascii="仿宋" w:hAnsi="仿宋" w:eastAsia="仿宋" w:cs="仿宋"/>
                <w:szCs w:val="28"/>
              </w:rPr>
            </w:pPr>
          </w:p>
        </w:tc>
      </w:tr>
    </w:tbl>
    <w:p>
      <w:pPr>
        <w:spacing w:line="560" w:lineRule="exact"/>
        <w:ind w:firstLine="700" w:firstLineChars="250"/>
        <w:rPr>
          <w:rFonts w:ascii="仿宋" w:hAnsi="仿宋" w:eastAsia="仿宋" w:cs="仿宋"/>
          <w:szCs w:val="28"/>
        </w:rPr>
      </w:pPr>
      <w:r>
        <w:rPr>
          <w:rFonts w:hint="eastAsia" w:ascii="仿宋" w:hAnsi="仿宋" w:eastAsia="仿宋" w:cs="仿宋"/>
          <w:szCs w:val="28"/>
        </w:rPr>
        <w:t>供应商：                         法定代表人授权代表：</w:t>
      </w:r>
    </w:p>
    <w:p>
      <w:pPr>
        <w:spacing w:line="560" w:lineRule="exact"/>
        <w:ind w:firstLine="840" w:firstLineChars="300"/>
        <w:rPr>
          <w:rFonts w:ascii="仿宋" w:hAnsi="仿宋" w:eastAsia="仿宋" w:cs="仿宋"/>
          <w:szCs w:val="28"/>
        </w:rPr>
      </w:pPr>
      <w:r>
        <w:rPr>
          <w:rFonts w:hint="eastAsia" w:ascii="仿宋" w:hAnsi="仿宋" w:eastAsia="仿宋" w:cs="仿宋"/>
          <w:szCs w:val="28"/>
        </w:rPr>
        <w:t>（供应商公章）                   （签字或盖章）</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 xml:space="preserve">                                           年     月     日</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注：</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1.本表即为对本项目“第二篇  项目服务需求”中所列服务要求进行比较和响应；</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2.该表必须按照竞争性磋商要求逐条如实填写，根据响应情况在“差异说明”项填写正偏离或负偏离及原因，完全符合的填写“无差异”；</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3.该表可扩展，并逐页签字或盖章；</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4.可附相关支撑材料。（格式自定）</w:t>
      </w:r>
    </w:p>
    <w:p>
      <w:pPr>
        <w:pStyle w:val="5"/>
      </w:pPr>
      <w:r>
        <w:rPr>
          <w:rFonts w:hint="eastAsia"/>
        </w:rPr>
        <w:br w:type="page"/>
      </w:r>
      <w:bookmarkStart w:id="256" w:name="_Toc313888362"/>
      <w:bookmarkStart w:id="257" w:name="_Toc150506553"/>
      <w:bookmarkStart w:id="258" w:name="_Toc150432530"/>
      <w:bookmarkStart w:id="259" w:name="_Toc342913421"/>
      <w:bookmarkStart w:id="260" w:name="_Toc313008358"/>
      <w:r>
        <w:rPr>
          <w:rFonts w:hint="eastAsia"/>
        </w:rPr>
        <w:t>三、商务部分</w:t>
      </w:r>
      <w:bookmarkEnd w:id="256"/>
      <w:bookmarkEnd w:id="257"/>
      <w:bookmarkEnd w:id="258"/>
      <w:bookmarkEnd w:id="259"/>
      <w:bookmarkEnd w:id="260"/>
    </w:p>
    <w:p>
      <w:pPr>
        <w:snapToGrid w:val="0"/>
        <w:spacing w:line="560" w:lineRule="exact"/>
        <w:ind w:firstLine="560" w:firstLineChars="200"/>
        <w:rPr>
          <w:rFonts w:ascii="仿宋" w:hAnsi="仿宋" w:eastAsia="仿宋" w:cs="仿宋"/>
          <w:szCs w:val="28"/>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Cs w:val="28"/>
        </w:rPr>
        <w:t>（一）商务要求响应情况：服务期及地点、报价要求、质量保证及售后服务等（格式自定）</w:t>
      </w:r>
    </w:p>
    <w:p>
      <w:bookmarkStart w:id="261" w:name="_Toc283382459"/>
      <w:r>
        <w:rPr>
          <w:rFonts w:hint="eastAsia"/>
        </w:rPr>
        <w:t>（二）商务响应偏离表</w:t>
      </w:r>
    </w:p>
    <w:p>
      <w:r>
        <w:rPr>
          <w:rFonts w:hint="eastAsia"/>
        </w:rPr>
        <w:t>商务响应偏离表</w:t>
      </w:r>
    </w:p>
    <w:p>
      <w:pPr>
        <w:spacing w:line="560" w:lineRule="exact"/>
        <w:ind w:firstLine="420" w:firstLineChars="150"/>
        <w:rPr>
          <w:rFonts w:ascii="仿宋" w:hAnsi="仿宋" w:eastAsia="仿宋" w:cs="仿宋"/>
          <w:szCs w:val="28"/>
        </w:rPr>
      </w:pPr>
      <w:r>
        <w:rPr>
          <w:rFonts w:hint="eastAsia" w:ascii="仿宋" w:hAnsi="仿宋" w:eastAsia="仿宋" w:cs="仿宋"/>
          <w:szCs w:val="28"/>
        </w:rPr>
        <w:t>项目号：                              磋商项目编号：</w:t>
      </w:r>
    </w:p>
    <w:p>
      <w:pPr>
        <w:snapToGrid w:val="0"/>
        <w:spacing w:line="560" w:lineRule="exact"/>
        <w:rPr>
          <w:rFonts w:ascii="仿宋" w:hAnsi="仿宋" w:eastAsia="仿宋" w:cs="仿宋"/>
          <w:szCs w:val="28"/>
        </w:rPr>
      </w:pPr>
      <w:r>
        <w:rPr>
          <w:rFonts w:hint="eastAsia" w:ascii="仿宋" w:hAnsi="仿宋" w:eastAsia="仿宋" w:cs="仿宋"/>
          <w:szCs w:val="28"/>
        </w:rPr>
        <w:t xml:space="preserve">磋商项目名称：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vAlign w:val="center"/>
          </w:tcPr>
          <w:p>
            <w:r>
              <w:rPr>
                <w:rFonts w:hint="eastAsia"/>
              </w:rPr>
              <w:t>序号</w:t>
            </w:r>
          </w:p>
        </w:tc>
        <w:tc>
          <w:tcPr>
            <w:tcW w:w="3179" w:type="dxa"/>
            <w:vAlign w:val="center"/>
          </w:tcPr>
          <w:p>
            <w:r>
              <w:rPr>
                <w:rFonts w:hint="eastAsia"/>
              </w:rPr>
              <w:t>磋商项目商务需求</w:t>
            </w:r>
          </w:p>
        </w:tc>
        <w:tc>
          <w:tcPr>
            <w:tcW w:w="2434" w:type="dxa"/>
            <w:vAlign w:val="center"/>
          </w:tcPr>
          <w:p>
            <w:r>
              <w:rPr>
                <w:rFonts w:hint="eastAsia"/>
              </w:rPr>
              <w:t>响应情况</w:t>
            </w:r>
          </w:p>
        </w:tc>
        <w:tc>
          <w:tcPr>
            <w:tcW w:w="2355" w:type="dxa"/>
            <w:vAlign w:val="center"/>
          </w:tcPr>
          <w:p>
            <w:r>
              <w:rPr>
                <w:rFonts w:hint="eastAsia"/>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vAlign w:val="center"/>
          </w:tcPr>
          <w:p>
            <w:pPr>
              <w:tabs>
                <w:tab w:val="left" w:pos="6300"/>
              </w:tabs>
              <w:snapToGrid w:val="0"/>
              <w:spacing w:line="560" w:lineRule="exact"/>
              <w:jc w:val="center"/>
              <w:outlineLvl w:val="0"/>
              <w:rPr>
                <w:rFonts w:ascii="仿宋" w:hAnsi="仿宋" w:eastAsia="仿宋" w:cs="仿宋"/>
                <w:szCs w:val="28"/>
              </w:rPr>
            </w:pPr>
          </w:p>
        </w:tc>
        <w:tc>
          <w:tcPr>
            <w:tcW w:w="3179" w:type="dxa"/>
            <w:vAlign w:val="center"/>
          </w:tcPr>
          <w:p>
            <w:pPr>
              <w:tabs>
                <w:tab w:val="left" w:pos="6300"/>
              </w:tabs>
              <w:snapToGrid w:val="0"/>
              <w:spacing w:line="560" w:lineRule="exact"/>
              <w:jc w:val="center"/>
              <w:outlineLvl w:val="0"/>
              <w:rPr>
                <w:rFonts w:ascii="仿宋" w:hAnsi="仿宋" w:eastAsia="仿宋" w:cs="仿宋"/>
                <w:szCs w:val="28"/>
              </w:rPr>
            </w:pPr>
          </w:p>
        </w:tc>
        <w:tc>
          <w:tcPr>
            <w:tcW w:w="2434" w:type="dxa"/>
            <w:vAlign w:val="center"/>
          </w:tcPr>
          <w:p>
            <w:pPr>
              <w:tabs>
                <w:tab w:val="left" w:pos="6300"/>
              </w:tabs>
              <w:snapToGrid w:val="0"/>
              <w:spacing w:line="560" w:lineRule="exact"/>
              <w:jc w:val="center"/>
              <w:outlineLvl w:val="0"/>
              <w:rPr>
                <w:rFonts w:ascii="仿宋" w:hAnsi="仿宋" w:eastAsia="仿宋" w:cs="仿宋"/>
                <w:szCs w:val="28"/>
              </w:rPr>
            </w:pPr>
          </w:p>
        </w:tc>
        <w:tc>
          <w:tcPr>
            <w:tcW w:w="2355"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vAlign w:val="center"/>
          </w:tcPr>
          <w:p>
            <w:pPr>
              <w:tabs>
                <w:tab w:val="left" w:pos="6300"/>
              </w:tabs>
              <w:snapToGrid w:val="0"/>
              <w:spacing w:line="560" w:lineRule="exact"/>
              <w:jc w:val="center"/>
              <w:outlineLvl w:val="0"/>
              <w:rPr>
                <w:rFonts w:ascii="仿宋" w:hAnsi="仿宋" w:eastAsia="仿宋" w:cs="仿宋"/>
                <w:szCs w:val="28"/>
              </w:rPr>
            </w:pPr>
          </w:p>
        </w:tc>
        <w:tc>
          <w:tcPr>
            <w:tcW w:w="3179" w:type="dxa"/>
            <w:vAlign w:val="center"/>
          </w:tcPr>
          <w:p>
            <w:pPr>
              <w:tabs>
                <w:tab w:val="left" w:pos="6300"/>
              </w:tabs>
              <w:snapToGrid w:val="0"/>
              <w:spacing w:line="560" w:lineRule="exact"/>
              <w:jc w:val="center"/>
              <w:outlineLvl w:val="0"/>
              <w:rPr>
                <w:rFonts w:ascii="仿宋" w:hAnsi="仿宋" w:eastAsia="仿宋" w:cs="仿宋"/>
                <w:szCs w:val="28"/>
              </w:rPr>
            </w:pPr>
          </w:p>
        </w:tc>
        <w:tc>
          <w:tcPr>
            <w:tcW w:w="2434" w:type="dxa"/>
            <w:vAlign w:val="center"/>
          </w:tcPr>
          <w:p>
            <w:pPr>
              <w:tabs>
                <w:tab w:val="left" w:pos="6300"/>
              </w:tabs>
              <w:snapToGrid w:val="0"/>
              <w:spacing w:line="560" w:lineRule="exact"/>
              <w:jc w:val="center"/>
              <w:outlineLvl w:val="0"/>
              <w:rPr>
                <w:rFonts w:ascii="仿宋" w:hAnsi="仿宋" w:eastAsia="仿宋" w:cs="仿宋"/>
                <w:szCs w:val="28"/>
              </w:rPr>
            </w:pPr>
          </w:p>
        </w:tc>
        <w:tc>
          <w:tcPr>
            <w:tcW w:w="2355"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vAlign w:val="center"/>
          </w:tcPr>
          <w:p>
            <w:pPr>
              <w:tabs>
                <w:tab w:val="left" w:pos="6300"/>
              </w:tabs>
              <w:snapToGrid w:val="0"/>
              <w:spacing w:line="560" w:lineRule="exact"/>
              <w:jc w:val="center"/>
              <w:outlineLvl w:val="0"/>
              <w:rPr>
                <w:rFonts w:ascii="仿宋" w:hAnsi="仿宋" w:eastAsia="仿宋" w:cs="仿宋"/>
                <w:szCs w:val="28"/>
              </w:rPr>
            </w:pPr>
          </w:p>
        </w:tc>
        <w:tc>
          <w:tcPr>
            <w:tcW w:w="3179" w:type="dxa"/>
            <w:vAlign w:val="center"/>
          </w:tcPr>
          <w:p>
            <w:pPr>
              <w:tabs>
                <w:tab w:val="left" w:pos="6300"/>
              </w:tabs>
              <w:snapToGrid w:val="0"/>
              <w:spacing w:line="560" w:lineRule="exact"/>
              <w:jc w:val="center"/>
              <w:outlineLvl w:val="0"/>
              <w:rPr>
                <w:rFonts w:ascii="仿宋" w:hAnsi="仿宋" w:eastAsia="仿宋" w:cs="仿宋"/>
                <w:szCs w:val="28"/>
              </w:rPr>
            </w:pPr>
          </w:p>
        </w:tc>
        <w:tc>
          <w:tcPr>
            <w:tcW w:w="2434" w:type="dxa"/>
            <w:vAlign w:val="center"/>
          </w:tcPr>
          <w:p>
            <w:pPr>
              <w:tabs>
                <w:tab w:val="left" w:pos="6300"/>
              </w:tabs>
              <w:snapToGrid w:val="0"/>
              <w:spacing w:line="560" w:lineRule="exact"/>
              <w:jc w:val="center"/>
              <w:outlineLvl w:val="0"/>
              <w:rPr>
                <w:rFonts w:ascii="仿宋" w:hAnsi="仿宋" w:eastAsia="仿宋" w:cs="仿宋"/>
                <w:szCs w:val="28"/>
              </w:rPr>
            </w:pPr>
          </w:p>
        </w:tc>
        <w:tc>
          <w:tcPr>
            <w:tcW w:w="2355"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vAlign w:val="center"/>
          </w:tcPr>
          <w:p>
            <w:pPr>
              <w:tabs>
                <w:tab w:val="left" w:pos="6300"/>
              </w:tabs>
              <w:snapToGrid w:val="0"/>
              <w:spacing w:line="560" w:lineRule="exact"/>
              <w:jc w:val="center"/>
              <w:outlineLvl w:val="0"/>
              <w:rPr>
                <w:rFonts w:ascii="仿宋" w:hAnsi="仿宋" w:eastAsia="仿宋" w:cs="仿宋"/>
                <w:szCs w:val="28"/>
              </w:rPr>
            </w:pPr>
          </w:p>
        </w:tc>
        <w:tc>
          <w:tcPr>
            <w:tcW w:w="3179" w:type="dxa"/>
            <w:vAlign w:val="center"/>
          </w:tcPr>
          <w:p>
            <w:pPr>
              <w:tabs>
                <w:tab w:val="left" w:pos="6300"/>
              </w:tabs>
              <w:snapToGrid w:val="0"/>
              <w:spacing w:line="560" w:lineRule="exact"/>
              <w:jc w:val="center"/>
              <w:outlineLvl w:val="0"/>
              <w:rPr>
                <w:rFonts w:ascii="仿宋" w:hAnsi="仿宋" w:eastAsia="仿宋" w:cs="仿宋"/>
                <w:szCs w:val="28"/>
              </w:rPr>
            </w:pPr>
          </w:p>
        </w:tc>
        <w:tc>
          <w:tcPr>
            <w:tcW w:w="2434" w:type="dxa"/>
            <w:vAlign w:val="center"/>
          </w:tcPr>
          <w:p>
            <w:pPr>
              <w:tabs>
                <w:tab w:val="left" w:pos="6300"/>
              </w:tabs>
              <w:snapToGrid w:val="0"/>
              <w:spacing w:line="560" w:lineRule="exact"/>
              <w:jc w:val="center"/>
              <w:outlineLvl w:val="0"/>
              <w:rPr>
                <w:rFonts w:ascii="仿宋" w:hAnsi="仿宋" w:eastAsia="仿宋" w:cs="仿宋"/>
                <w:szCs w:val="28"/>
              </w:rPr>
            </w:pPr>
          </w:p>
        </w:tc>
        <w:tc>
          <w:tcPr>
            <w:tcW w:w="2355"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vAlign w:val="center"/>
          </w:tcPr>
          <w:p>
            <w:pPr>
              <w:tabs>
                <w:tab w:val="left" w:pos="6300"/>
              </w:tabs>
              <w:snapToGrid w:val="0"/>
              <w:spacing w:line="560" w:lineRule="exact"/>
              <w:jc w:val="center"/>
              <w:outlineLvl w:val="0"/>
              <w:rPr>
                <w:rFonts w:ascii="仿宋" w:hAnsi="仿宋" w:eastAsia="仿宋" w:cs="仿宋"/>
                <w:szCs w:val="28"/>
              </w:rPr>
            </w:pPr>
          </w:p>
        </w:tc>
        <w:tc>
          <w:tcPr>
            <w:tcW w:w="3179" w:type="dxa"/>
            <w:vAlign w:val="center"/>
          </w:tcPr>
          <w:p>
            <w:pPr>
              <w:tabs>
                <w:tab w:val="left" w:pos="6300"/>
              </w:tabs>
              <w:snapToGrid w:val="0"/>
              <w:spacing w:line="560" w:lineRule="exact"/>
              <w:jc w:val="center"/>
              <w:outlineLvl w:val="0"/>
              <w:rPr>
                <w:rFonts w:ascii="仿宋" w:hAnsi="仿宋" w:eastAsia="仿宋" w:cs="仿宋"/>
                <w:szCs w:val="28"/>
              </w:rPr>
            </w:pPr>
          </w:p>
        </w:tc>
        <w:tc>
          <w:tcPr>
            <w:tcW w:w="2434" w:type="dxa"/>
            <w:vAlign w:val="center"/>
          </w:tcPr>
          <w:p>
            <w:pPr>
              <w:tabs>
                <w:tab w:val="left" w:pos="6300"/>
              </w:tabs>
              <w:snapToGrid w:val="0"/>
              <w:spacing w:line="560" w:lineRule="exact"/>
              <w:jc w:val="center"/>
              <w:outlineLvl w:val="0"/>
              <w:rPr>
                <w:rFonts w:ascii="仿宋" w:hAnsi="仿宋" w:eastAsia="仿宋" w:cs="仿宋"/>
                <w:szCs w:val="28"/>
              </w:rPr>
            </w:pPr>
          </w:p>
        </w:tc>
        <w:tc>
          <w:tcPr>
            <w:tcW w:w="2355" w:type="dxa"/>
            <w:vAlign w:val="center"/>
          </w:tcPr>
          <w:p>
            <w:pPr>
              <w:tabs>
                <w:tab w:val="left" w:pos="6300"/>
              </w:tabs>
              <w:snapToGrid w:val="0"/>
              <w:spacing w:line="560" w:lineRule="exact"/>
              <w:jc w:val="center"/>
              <w:outlineLvl w:val="0"/>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vAlign w:val="center"/>
          </w:tcPr>
          <w:p>
            <w:pPr>
              <w:tabs>
                <w:tab w:val="left" w:pos="6300"/>
              </w:tabs>
              <w:snapToGrid w:val="0"/>
              <w:spacing w:line="560" w:lineRule="exact"/>
              <w:jc w:val="center"/>
              <w:outlineLvl w:val="0"/>
              <w:rPr>
                <w:rFonts w:ascii="仿宋" w:hAnsi="仿宋" w:eastAsia="仿宋" w:cs="仿宋"/>
                <w:szCs w:val="28"/>
              </w:rPr>
            </w:pPr>
          </w:p>
        </w:tc>
        <w:tc>
          <w:tcPr>
            <w:tcW w:w="3179" w:type="dxa"/>
            <w:vAlign w:val="center"/>
          </w:tcPr>
          <w:p>
            <w:pPr>
              <w:tabs>
                <w:tab w:val="left" w:pos="6300"/>
              </w:tabs>
              <w:snapToGrid w:val="0"/>
              <w:spacing w:line="560" w:lineRule="exact"/>
              <w:jc w:val="center"/>
              <w:outlineLvl w:val="0"/>
              <w:rPr>
                <w:rFonts w:ascii="仿宋" w:hAnsi="仿宋" w:eastAsia="仿宋" w:cs="仿宋"/>
                <w:szCs w:val="28"/>
              </w:rPr>
            </w:pPr>
          </w:p>
        </w:tc>
        <w:tc>
          <w:tcPr>
            <w:tcW w:w="2434" w:type="dxa"/>
            <w:vAlign w:val="center"/>
          </w:tcPr>
          <w:p>
            <w:pPr>
              <w:tabs>
                <w:tab w:val="left" w:pos="6300"/>
              </w:tabs>
              <w:snapToGrid w:val="0"/>
              <w:spacing w:line="560" w:lineRule="exact"/>
              <w:jc w:val="center"/>
              <w:outlineLvl w:val="0"/>
              <w:rPr>
                <w:rFonts w:ascii="仿宋" w:hAnsi="仿宋" w:eastAsia="仿宋" w:cs="仿宋"/>
                <w:szCs w:val="28"/>
              </w:rPr>
            </w:pPr>
          </w:p>
        </w:tc>
        <w:tc>
          <w:tcPr>
            <w:tcW w:w="2355" w:type="dxa"/>
            <w:vAlign w:val="center"/>
          </w:tcPr>
          <w:p>
            <w:pPr>
              <w:tabs>
                <w:tab w:val="left" w:pos="6300"/>
              </w:tabs>
              <w:snapToGrid w:val="0"/>
              <w:spacing w:line="560" w:lineRule="exact"/>
              <w:jc w:val="center"/>
              <w:outlineLvl w:val="0"/>
              <w:rPr>
                <w:rFonts w:ascii="仿宋" w:hAnsi="仿宋" w:eastAsia="仿宋" w:cs="仿宋"/>
                <w:szCs w:val="28"/>
              </w:rPr>
            </w:pPr>
          </w:p>
        </w:tc>
      </w:tr>
    </w:tbl>
    <w:p>
      <w:pPr>
        <w:snapToGrid w:val="0"/>
        <w:spacing w:line="560" w:lineRule="exact"/>
        <w:ind w:firstLine="465"/>
        <w:rPr>
          <w:rFonts w:ascii="仿宋" w:hAnsi="仿宋" w:eastAsia="仿宋" w:cs="仿宋"/>
          <w:szCs w:val="28"/>
        </w:rPr>
      </w:pPr>
    </w:p>
    <w:p>
      <w:pPr>
        <w:spacing w:line="560" w:lineRule="exact"/>
        <w:ind w:firstLine="700" w:firstLineChars="250"/>
        <w:rPr>
          <w:rFonts w:ascii="仿宋" w:hAnsi="仿宋" w:eastAsia="仿宋" w:cs="仿宋"/>
          <w:szCs w:val="28"/>
        </w:rPr>
      </w:pPr>
      <w:r>
        <w:rPr>
          <w:rFonts w:hint="eastAsia" w:ascii="仿宋" w:hAnsi="仿宋" w:eastAsia="仿宋" w:cs="仿宋"/>
          <w:szCs w:val="28"/>
        </w:rPr>
        <w:t>供应商：                           法定代表人授权代表：</w:t>
      </w:r>
    </w:p>
    <w:p>
      <w:pPr>
        <w:spacing w:line="560" w:lineRule="exact"/>
        <w:rPr>
          <w:rFonts w:ascii="仿宋" w:hAnsi="仿宋" w:eastAsia="仿宋" w:cs="仿宋"/>
          <w:szCs w:val="28"/>
        </w:rPr>
      </w:pPr>
      <w:r>
        <w:rPr>
          <w:rFonts w:hint="eastAsia" w:ascii="仿宋" w:hAnsi="仿宋" w:eastAsia="仿宋" w:cs="仿宋"/>
          <w:szCs w:val="28"/>
        </w:rPr>
        <w:t xml:space="preserve">    </w:t>
      </w:r>
    </w:p>
    <w:p>
      <w:pPr>
        <w:spacing w:line="560" w:lineRule="exact"/>
        <w:ind w:firstLine="420" w:firstLineChars="150"/>
        <w:rPr>
          <w:rFonts w:ascii="仿宋" w:hAnsi="仿宋" w:eastAsia="仿宋" w:cs="仿宋"/>
          <w:szCs w:val="28"/>
        </w:rPr>
      </w:pPr>
      <w:r>
        <w:rPr>
          <w:rFonts w:hint="eastAsia" w:ascii="仿宋" w:hAnsi="仿宋" w:eastAsia="仿宋" w:cs="仿宋"/>
          <w:szCs w:val="28"/>
        </w:rPr>
        <w:t>（供应商公章）                      （签字或盖章）</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 xml:space="preserve">                                            年     月     日</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注：</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1.本表即为对本项目“第三篇 项目商务需求”中所列服务要求进行比较和响应；</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2.该表必须按照竞争性磋商要求逐条如实填写，根据响应情况在“差异说明”项填写正偏离或负偏离及原因，完全符合的填写“无差异”；</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3.该表可扩展，并逐页签字或盖章。</w:t>
      </w:r>
    </w:p>
    <w:p>
      <w:r>
        <w:rPr>
          <w:rFonts w:hint="eastAsia"/>
        </w:rPr>
        <w:br w:type="page"/>
      </w:r>
      <w:r>
        <w:rPr>
          <w:rFonts w:hint="eastAsia"/>
        </w:rPr>
        <w:t>（三）其它优惠承诺（格式自定）</w:t>
      </w:r>
    </w:p>
    <w:p>
      <w:pPr>
        <w:pStyle w:val="5"/>
      </w:pPr>
      <w:r>
        <w:rPr>
          <w:rFonts w:hint="eastAsia"/>
        </w:rPr>
        <w:br w:type="page"/>
      </w:r>
      <w:bookmarkEnd w:id="261"/>
      <w:bookmarkStart w:id="262" w:name="_Toc150432531"/>
      <w:bookmarkStart w:id="263" w:name="_Toc342913422"/>
      <w:bookmarkStart w:id="264" w:name="_Toc313008359"/>
      <w:bookmarkStart w:id="265" w:name="_Toc313888363"/>
      <w:bookmarkStart w:id="266" w:name="_Toc150506554"/>
      <w:r>
        <w:rPr>
          <w:rFonts w:hint="eastAsia"/>
        </w:rPr>
        <w:t>四、资格条件及其他</w:t>
      </w:r>
      <w:bookmarkEnd w:id="262"/>
      <w:bookmarkEnd w:id="263"/>
      <w:bookmarkEnd w:id="264"/>
      <w:bookmarkEnd w:id="265"/>
      <w:bookmarkEnd w:id="266"/>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（一）营业执照（副本）或事业单位法人证书（副本）复印件</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（二）组织机构代码证复印件</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widowControl/>
        <w:spacing w:line="560" w:lineRule="exact"/>
        <w:ind w:firstLine="560" w:firstLineChars="200"/>
        <w:jc w:val="left"/>
        <w:rPr>
          <w:rFonts w:ascii="仿宋" w:hAnsi="仿宋" w:eastAsia="仿宋" w:cs="仿宋"/>
          <w:szCs w:val="28"/>
        </w:rPr>
      </w:pPr>
      <w:r>
        <w:rPr>
          <w:rFonts w:hint="eastAsia" w:ascii="仿宋" w:hAnsi="仿宋" w:eastAsia="仿宋" w:cs="仿宋"/>
          <w:szCs w:val="28"/>
        </w:rPr>
        <w:br w:type="page"/>
      </w:r>
      <w:r>
        <w:rPr>
          <w:rFonts w:hint="eastAsia" w:ascii="仿宋" w:hAnsi="仿宋" w:eastAsia="仿宋" w:cs="仿宋"/>
          <w:szCs w:val="28"/>
        </w:rPr>
        <w:t>（三）法定代表人身份证明书（格式）</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磋商项目名称：</w:t>
      </w:r>
      <w:r>
        <w:rPr>
          <w:rFonts w:hint="eastAsia" w:ascii="仿宋" w:hAnsi="仿宋" w:eastAsia="仿宋" w:cs="仿宋"/>
          <w:szCs w:val="28"/>
          <w:u w:val="single"/>
        </w:rPr>
        <w:t xml:space="preserve">                                                </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致：</w:t>
      </w:r>
      <w:r>
        <w:rPr>
          <w:rFonts w:hint="eastAsia" w:ascii="仿宋" w:hAnsi="仿宋" w:eastAsia="仿宋" w:cs="仿宋"/>
          <w:szCs w:val="28"/>
          <w:u w:val="single"/>
        </w:rPr>
        <w:t xml:space="preserve">                     </w:t>
      </w:r>
      <w:r>
        <w:rPr>
          <w:rFonts w:hint="eastAsia" w:ascii="仿宋" w:hAnsi="仿宋" w:eastAsia="仿宋" w:cs="仿宋"/>
          <w:szCs w:val="28"/>
        </w:rPr>
        <w:t>（采购代理机构名称）：</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u w:val="single"/>
        </w:rPr>
        <w:t xml:space="preserve">        </w:t>
      </w:r>
      <w:r>
        <w:rPr>
          <w:rFonts w:hint="eastAsia" w:ascii="仿宋" w:hAnsi="仿宋" w:eastAsia="仿宋" w:cs="仿宋"/>
          <w:szCs w:val="28"/>
        </w:rPr>
        <w:t>（法定代表人姓名）在</w:t>
      </w:r>
      <w:r>
        <w:rPr>
          <w:rFonts w:hint="eastAsia" w:ascii="仿宋" w:hAnsi="仿宋" w:eastAsia="仿宋" w:cs="仿宋"/>
          <w:szCs w:val="28"/>
          <w:u w:val="single"/>
        </w:rPr>
        <w:t xml:space="preserve">                       </w:t>
      </w:r>
      <w:r>
        <w:rPr>
          <w:rFonts w:hint="eastAsia" w:ascii="仿宋" w:hAnsi="仿宋" w:eastAsia="仿宋" w:cs="仿宋"/>
          <w:szCs w:val="28"/>
        </w:rPr>
        <w:t>（供应商名称）任</w:t>
      </w:r>
      <w:r>
        <w:rPr>
          <w:rFonts w:hint="eastAsia" w:ascii="仿宋" w:hAnsi="仿宋" w:eastAsia="仿宋" w:cs="仿宋"/>
          <w:szCs w:val="28"/>
          <w:u w:val="single"/>
        </w:rPr>
        <w:t xml:space="preserve">    </w:t>
      </w:r>
      <w:r>
        <w:rPr>
          <w:rFonts w:hint="eastAsia" w:ascii="仿宋" w:hAnsi="仿宋" w:eastAsia="仿宋" w:cs="仿宋"/>
          <w:szCs w:val="28"/>
        </w:rPr>
        <w:t>（职务名称）职务，是（供应商名称）</w:t>
      </w:r>
      <w:r>
        <w:rPr>
          <w:rFonts w:hint="eastAsia" w:ascii="仿宋" w:hAnsi="仿宋" w:eastAsia="仿宋" w:cs="仿宋"/>
          <w:szCs w:val="28"/>
          <w:u w:val="single"/>
        </w:rPr>
        <w:t xml:space="preserve">              </w:t>
      </w:r>
      <w:r>
        <w:rPr>
          <w:rFonts w:hint="eastAsia" w:ascii="仿宋" w:hAnsi="仿宋" w:eastAsia="仿宋" w:cs="仿宋"/>
          <w:szCs w:val="28"/>
        </w:rPr>
        <w:t>的法定代表人。</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特此证明。</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 xml:space="preserve">                                             （供应商公章）</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 xml:space="preserve">                                             年   月   日</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（附：法定代表人身份证正反面复印件）</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br w:type="column"/>
      </w:r>
      <w:r>
        <w:rPr>
          <w:rFonts w:hint="eastAsia" w:ascii="仿宋" w:hAnsi="仿宋" w:eastAsia="仿宋" w:cs="仿宋"/>
          <w:szCs w:val="28"/>
        </w:rPr>
        <w:t>（四）法定代表人授权委托书（格式）</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 xml:space="preserve">    </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磋商项目名称：</w:t>
      </w:r>
      <w:r>
        <w:rPr>
          <w:rFonts w:hint="eastAsia" w:ascii="仿宋" w:hAnsi="仿宋" w:eastAsia="仿宋" w:cs="仿宋"/>
          <w:szCs w:val="28"/>
          <w:u w:val="single"/>
        </w:rPr>
        <w:t xml:space="preserve">                                                </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致：</w:t>
      </w:r>
      <w:r>
        <w:rPr>
          <w:rFonts w:hint="eastAsia" w:ascii="仿宋" w:hAnsi="仿宋" w:eastAsia="仿宋" w:cs="仿宋"/>
          <w:szCs w:val="28"/>
          <w:u w:val="single"/>
        </w:rPr>
        <w:t xml:space="preserve">                     </w:t>
      </w:r>
      <w:r>
        <w:rPr>
          <w:rFonts w:hint="eastAsia" w:ascii="仿宋" w:hAnsi="仿宋" w:eastAsia="仿宋" w:cs="仿宋"/>
          <w:szCs w:val="28"/>
        </w:rPr>
        <w:t>（采购代理机构名称）：</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u w:val="single"/>
        </w:rPr>
        <w:t xml:space="preserve">            </w:t>
      </w:r>
      <w:r>
        <w:rPr>
          <w:rFonts w:hint="eastAsia" w:ascii="仿宋" w:hAnsi="仿宋" w:eastAsia="仿宋" w:cs="仿宋"/>
          <w:szCs w:val="28"/>
        </w:rPr>
        <w:t>（供应商法定代表人名称）是</w:t>
      </w:r>
      <w:r>
        <w:rPr>
          <w:rFonts w:hint="eastAsia" w:ascii="仿宋" w:hAnsi="仿宋" w:eastAsia="仿宋" w:cs="仿宋"/>
          <w:szCs w:val="28"/>
          <w:u w:val="single"/>
        </w:rPr>
        <w:t xml:space="preserve">                    </w:t>
      </w:r>
      <w:r>
        <w:rPr>
          <w:rFonts w:hint="eastAsia" w:ascii="仿宋" w:hAnsi="仿宋" w:eastAsia="仿宋" w:cs="仿宋"/>
          <w:szCs w:val="28"/>
        </w:rPr>
        <w:t>（供应商名称）的法定代表人，特授权</w:t>
      </w:r>
      <w:r>
        <w:rPr>
          <w:rFonts w:hint="eastAsia" w:ascii="仿宋" w:hAnsi="仿宋" w:eastAsia="仿宋" w:cs="仿宋"/>
          <w:szCs w:val="28"/>
          <w:u w:val="single"/>
        </w:rPr>
        <w:t xml:space="preserve">          </w:t>
      </w:r>
      <w:r>
        <w:rPr>
          <w:rFonts w:hint="eastAsia" w:ascii="仿宋" w:hAnsi="仿宋" w:eastAsia="仿宋" w:cs="仿宋"/>
          <w:szCs w:val="28"/>
        </w:rPr>
        <w:t>（被授权人姓名及身份证代码）代表我单位全权办理上述项目的磋商、签约等具体工作，并签署全部有关文件、协议及合同。</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我单位对被授权人的签字负全部责任。</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在撤消授权的书面通知以前，本授权书一直有效。被授权人在授权书有效期内签署的所有文件不因授权的撤消而失效。</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被授权人：                                 供应商法定代表人：</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（签字或盖章）                                （签字或盖章）</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（附：被授权人身份证正反面复印件）</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t xml:space="preserve">                                          </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jc w:val="right"/>
        <w:rPr>
          <w:rFonts w:ascii="仿宋" w:hAnsi="仿宋" w:eastAsia="仿宋" w:cs="仿宋"/>
          <w:szCs w:val="28"/>
        </w:rPr>
      </w:pPr>
      <w:r>
        <w:rPr>
          <w:rFonts w:hint="eastAsia" w:ascii="仿宋" w:hAnsi="仿宋" w:eastAsia="仿宋" w:cs="仿宋"/>
          <w:szCs w:val="28"/>
        </w:rPr>
        <w:t>（供应商公章）</w:t>
      </w:r>
    </w:p>
    <w:p>
      <w:pPr>
        <w:tabs>
          <w:tab w:val="left" w:pos="6300"/>
        </w:tabs>
        <w:snapToGrid w:val="0"/>
        <w:spacing w:line="560" w:lineRule="exact"/>
        <w:ind w:firstLine="570"/>
        <w:jc w:val="right"/>
        <w:rPr>
          <w:rFonts w:ascii="仿宋" w:hAnsi="仿宋" w:eastAsia="仿宋" w:cs="仿宋"/>
          <w:szCs w:val="28"/>
        </w:rPr>
      </w:pPr>
      <w:r>
        <w:rPr>
          <w:rFonts w:hint="eastAsia" w:ascii="仿宋" w:hAnsi="仿宋" w:eastAsia="仿宋" w:cs="仿宋"/>
          <w:szCs w:val="28"/>
        </w:rPr>
        <w:t>年   月   日</w:t>
      </w:r>
    </w:p>
    <w:p>
      <w:pPr>
        <w:tabs>
          <w:tab w:val="left" w:pos="6300"/>
        </w:tabs>
        <w:snapToGrid w:val="0"/>
        <w:spacing w:line="560" w:lineRule="exact"/>
        <w:ind w:firstLine="570"/>
        <w:rPr>
          <w:rFonts w:ascii="仿宋" w:hAnsi="仿宋" w:eastAsia="仿宋" w:cs="仿宋"/>
          <w:szCs w:val="28"/>
        </w:rPr>
      </w:pPr>
      <w:r>
        <w:rPr>
          <w:rFonts w:hint="eastAsia" w:ascii="仿宋" w:hAnsi="仿宋" w:eastAsia="仿宋" w:cs="仿宋"/>
          <w:szCs w:val="28"/>
        </w:rPr>
        <w:br w:type="column"/>
      </w:r>
      <w:r>
        <w:rPr>
          <w:rFonts w:hint="eastAsia" w:ascii="仿宋" w:hAnsi="仿宋" w:eastAsia="仿宋" w:cs="仿宋"/>
          <w:szCs w:val="28"/>
        </w:rPr>
        <w:t>（五）202</w:t>
      </w:r>
      <w:r>
        <w:rPr>
          <w:rFonts w:ascii="仿宋" w:hAnsi="仿宋" w:eastAsia="仿宋" w:cs="仿宋"/>
          <w:szCs w:val="28"/>
        </w:rPr>
        <w:t>2</w:t>
      </w:r>
      <w:r>
        <w:rPr>
          <w:rFonts w:hint="eastAsia" w:ascii="仿宋" w:hAnsi="仿宋" w:eastAsia="仿宋" w:cs="仿宋"/>
          <w:szCs w:val="28"/>
        </w:rPr>
        <w:t>年度财务状况报告（表）复印件，本年度新成立的公司提供提交响应文件截止时间前一个月的财务状况报告（表）复印件</w:t>
      </w:r>
    </w:p>
    <w:p>
      <w:pPr>
        <w:tabs>
          <w:tab w:val="left" w:pos="6300"/>
        </w:tabs>
        <w:snapToGrid w:val="0"/>
        <w:spacing w:line="520" w:lineRule="exact"/>
        <w:ind w:firstLine="3220" w:firstLineChars="1150"/>
        <w:rPr>
          <w:rFonts w:ascii="仿宋" w:hAnsi="仿宋" w:eastAsia="仿宋" w:cs="仿宋"/>
          <w:szCs w:val="28"/>
        </w:rPr>
      </w:pPr>
      <w:r>
        <w:rPr>
          <w:rFonts w:hint="eastAsia" w:ascii="仿宋" w:hAnsi="仿宋" w:eastAsia="仿宋" w:cs="仿宋"/>
          <w:szCs w:val="28"/>
        </w:rPr>
        <w:br w:type="page"/>
      </w:r>
      <w:r>
        <w:rPr>
          <w:rFonts w:hint="eastAsia" w:ascii="仿宋" w:hAnsi="仿宋" w:eastAsia="仿宋" w:cs="仿宋"/>
          <w:szCs w:val="28"/>
        </w:rPr>
        <w:t>（六）书面声明</w:t>
      </w:r>
    </w:p>
    <w:p>
      <w:pPr>
        <w:tabs>
          <w:tab w:val="left" w:pos="6300"/>
        </w:tabs>
        <w:snapToGrid w:val="0"/>
        <w:spacing w:line="520" w:lineRule="exact"/>
        <w:ind w:firstLine="570"/>
        <w:rPr>
          <w:rFonts w:ascii="仿宋" w:hAnsi="仿宋" w:eastAsia="仿宋" w:cs="仿宋"/>
          <w:szCs w:val="28"/>
        </w:rPr>
      </w:pPr>
    </w:p>
    <w:p>
      <w:pPr>
        <w:tabs>
          <w:tab w:val="left" w:pos="6300"/>
        </w:tabs>
        <w:snapToGrid w:val="0"/>
        <w:spacing w:line="520" w:lineRule="exact"/>
        <w:ind w:firstLine="560" w:firstLineChars="200"/>
        <w:rPr>
          <w:rFonts w:ascii="仿宋" w:hAnsi="仿宋" w:eastAsia="仿宋" w:cs="仿宋"/>
          <w:szCs w:val="28"/>
        </w:rPr>
      </w:pPr>
      <w:r>
        <w:rPr>
          <w:rFonts w:hint="eastAsia" w:ascii="仿宋" w:hAnsi="仿宋" w:eastAsia="仿宋" w:cs="仿宋"/>
          <w:szCs w:val="28"/>
        </w:rPr>
        <w:t>磋商项目名称：</w:t>
      </w:r>
      <w:r>
        <w:rPr>
          <w:rFonts w:hint="eastAsia" w:ascii="仿宋" w:hAnsi="仿宋" w:eastAsia="仿宋" w:cs="仿宋"/>
          <w:szCs w:val="28"/>
          <w:u w:val="single"/>
        </w:rPr>
        <w:t xml:space="preserve">                                                </w:t>
      </w:r>
    </w:p>
    <w:p>
      <w:pPr>
        <w:tabs>
          <w:tab w:val="left" w:pos="6300"/>
        </w:tabs>
        <w:snapToGrid w:val="0"/>
        <w:spacing w:line="520" w:lineRule="exact"/>
        <w:ind w:firstLine="570"/>
        <w:rPr>
          <w:rFonts w:ascii="仿宋" w:hAnsi="仿宋" w:eastAsia="仿宋" w:cs="仿宋"/>
          <w:szCs w:val="28"/>
        </w:rPr>
      </w:pPr>
    </w:p>
    <w:p>
      <w:pPr>
        <w:tabs>
          <w:tab w:val="left" w:pos="6300"/>
        </w:tabs>
        <w:snapToGrid w:val="0"/>
        <w:spacing w:line="520" w:lineRule="exact"/>
        <w:ind w:firstLine="560" w:firstLineChars="200"/>
        <w:rPr>
          <w:rFonts w:ascii="仿宋" w:hAnsi="仿宋" w:eastAsia="仿宋" w:cs="仿宋"/>
          <w:szCs w:val="28"/>
        </w:rPr>
      </w:pPr>
      <w:r>
        <w:rPr>
          <w:rFonts w:hint="eastAsia" w:ascii="仿宋" w:hAnsi="仿宋" w:eastAsia="仿宋" w:cs="仿宋"/>
          <w:szCs w:val="28"/>
        </w:rPr>
        <w:t>致：</w:t>
      </w:r>
      <w:r>
        <w:rPr>
          <w:rFonts w:hint="eastAsia" w:ascii="仿宋" w:hAnsi="仿宋" w:eastAsia="仿宋" w:cs="仿宋"/>
          <w:szCs w:val="28"/>
          <w:u w:val="single"/>
        </w:rPr>
        <w:t xml:space="preserve">                   </w:t>
      </w:r>
      <w:r>
        <w:rPr>
          <w:rFonts w:hint="eastAsia" w:ascii="仿宋" w:hAnsi="仿宋" w:eastAsia="仿宋" w:cs="仿宋"/>
          <w:szCs w:val="28"/>
        </w:rPr>
        <w:t>（采购代理机构名称）：</w:t>
      </w:r>
    </w:p>
    <w:p>
      <w:pPr>
        <w:tabs>
          <w:tab w:val="left" w:pos="6300"/>
        </w:tabs>
        <w:snapToGrid w:val="0"/>
        <w:spacing w:line="520" w:lineRule="exact"/>
        <w:ind w:firstLine="560" w:firstLineChars="200"/>
        <w:rPr>
          <w:rFonts w:ascii="仿宋" w:hAnsi="仿宋" w:eastAsia="仿宋" w:cs="仿宋"/>
          <w:szCs w:val="28"/>
        </w:rPr>
      </w:pPr>
      <w:r>
        <w:rPr>
          <w:rFonts w:hint="eastAsia" w:ascii="仿宋" w:hAnsi="仿宋" w:eastAsia="仿宋" w:cs="仿宋"/>
          <w:szCs w:val="28"/>
          <w:u w:val="single"/>
        </w:rPr>
        <w:t xml:space="preserve">                      </w:t>
      </w:r>
      <w:r>
        <w:rPr>
          <w:rFonts w:hint="eastAsia" w:ascii="仿宋" w:hAnsi="仿宋" w:eastAsia="仿宋" w:cs="仿宋"/>
          <w:szCs w:val="28"/>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pPr>
        <w:tabs>
          <w:tab w:val="left" w:pos="6300"/>
        </w:tabs>
        <w:snapToGrid w:val="0"/>
        <w:spacing w:line="520" w:lineRule="exact"/>
        <w:ind w:firstLine="560" w:firstLineChars="200"/>
        <w:rPr>
          <w:rFonts w:ascii="仿宋" w:hAnsi="仿宋" w:eastAsia="仿宋" w:cs="仿宋"/>
          <w:szCs w:val="28"/>
        </w:rPr>
      </w:pPr>
      <w:r>
        <w:rPr>
          <w:rFonts w:hint="eastAsia" w:ascii="仿宋" w:hAnsi="仿宋" w:eastAsia="仿宋" w:cs="仿宋"/>
          <w:szCs w:val="28"/>
        </w:rPr>
        <w:t>特此声明。</w:t>
      </w:r>
    </w:p>
    <w:p>
      <w:pPr>
        <w:tabs>
          <w:tab w:val="left" w:pos="6300"/>
        </w:tabs>
        <w:snapToGrid w:val="0"/>
        <w:spacing w:line="520" w:lineRule="exact"/>
        <w:ind w:firstLine="570"/>
        <w:rPr>
          <w:rFonts w:ascii="仿宋" w:hAnsi="仿宋" w:eastAsia="仿宋" w:cs="仿宋"/>
          <w:szCs w:val="28"/>
        </w:rPr>
      </w:pPr>
    </w:p>
    <w:p>
      <w:pPr>
        <w:tabs>
          <w:tab w:val="left" w:pos="6300"/>
        </w:tabs>
        <w:snapToGrid w:val="0"/>
        <w:spacing w:line="520" w:lineRule="exact"/>
        <w:ind w:firstLine="570"/>
        <w:rPr>
          <w:rFonts w:ascii="仿宋" w:hAnsi="仿宋" w:eastAsia="仿宋" w:cs="仿宋"/>
          <w:szCs w:val="28"/>
        </w:rPr>
      </w:pPr>
      <w:r>
        <w:rPr>
          <w:rFonts w:hint="eastAsia" w:ascii="仿宋" w:hAnsi="仿宋" w:eastAsia="仿宋" w:cs="仿宋"/>
          <w:szCs w:val="28"/>
        </w:rPr>
        <w:t>供应商可以将信用中国网站及中国政府采购网查询结果附后（查询时间为本项目采购公告发布之日起至提交响应文件截止时间前）。</w:t>
      </w:r>
    </w:p>
    <w:p>
      <w:pPr>
        <w:tabs>
          <w:tab w:val="left" w:pos="6300"/>
        </w:tabs>
        <w:snapToGrid w:val="0"/>
        <w:spacing w:line="520" w:lineRule="exact"/>
        <w:ind w:firstLine="570"/>
        <w:rPr>
          <w:rFonts w:ascii="仿宋" w:hAnsi="仿宋" w:eastAsia="仿宋" w:cs="仿宋"/>
          <w:szCs w:val="28"/>
        </w:rPr>
      </w:pPr>
      <w:r>
        <w:rPr>
          <w:rFonts w:hint="eastAsia" w:ascii="仿宋" w:hAnsi="仿宋" w:eastAsia="仿宋" w:cs="仿宋"/>
          <w:szCs w:val="28"/>
        </w:rPr>
        <w:t>1. 信用中国网站（www.creditchina.gov.cn）查询结果（提供查询结果网页打印件或截图，并加盖供应商公章）</w:t>
      </w:r>
    </w:p>
    <w:p>
      <w:pPr>
        <w:tabs>
          <w:tab w:val="left" w:pos="6300"/>
        </w:tabs>
        <w:snapToGrid w:val="0"/>
        <w:spacing w:line="520" w:lineRule="exact"/>
        <w:ind w:firstLine="570"/>
        <w:rPr>
          <w:rFonts w:ascii="仿宋" w:hAnsi="仿宋" w:eastAsia="仿宋" w:cs="仿宋"/>
          <w:szCs w:val="28"/>
        </w:rPr>
      </w:pPr>
      <w:r>
        <w:rPr>
          <w:rFonts w:hint="eastAsia" w:ascii="仿宋" w:hAnsi="仿宋" w:eastAsia="仿宋" w:cs="仿宋"/>
          <w:szCs w:val="28"/>
        </w:rPr>
        <w:t>1.1“失信被执行人”查询结果；</w:t>
      </w:r>
    </w:p>
    <w:p>
      <w:pPr>
        <w:tabs>
          <w:tab w:val="left" w:pos="6300"/>
        </w:tabs>
        <w:snapToGrid w:val="0"/>
        <w:spacing w:line="520" w:lineRule="exact"/>
        <w:ind w:firstLine="570"/>
        <w:rPr>
          <w:rFonts w:ascii="仿宋" w:hAnsi="仿宋" w:eastAsia="仿宋" w:cs="仿宋"/>
          <w:szCs w:val="28"/>
        </w:rPr>
      </w:pPr>
      <w:r>
        <w:rPr>
          <w:rFonts w:hint="eastAsia" w:ascii="仿宋" w:hAnsi="仿宋" w:eastAsia="仿宋" w:cs="仿宋"/>
          <w:szCs w:val="28"/>
        </w:rPr>
        <w:t>1.2“重大税收违法案件当事人名单”查询结果；</w:t>
      </w:r>
    </w:p>
    <w:p>
      <w:pPr>
        <w:tabs>
          <w:tab w:val="left" w:pos="6300"/>
        </w:tabs>
        <w:snapToGrid w:val="0"/>
        <w:spacing w:line="520" w:lineRule="exact"/>
        <w:ind w:firstLine="570"/>
        <w:rPr>
          <w:rFonts w:ascii="仿宋" w:hAnsi="仿宋" w:eastAsia="仿宋" w:cs="仿宋"/>
          <w:szCs w:val="28"/>
        </w:rPr>
      </w:pPr>
      <w:r>
        <w:rPr>
          <w:rFonts w:hint="eastAsia" w:ascii="仿宋" w:hAnsi="仿宋" w:eastAsia="仿宋" w:cs="仿宋"/>
          <w:szCs w:val="28"/>
        </w:rPr>
        <w:t>2. 中国政府采购网（www.ccgp.gov.cn）（提供查询结果网页打印件或截图，并加盖供应商公章）</w:t>
      </w:r>
    </w:p>
    <w:p>
      <w:pPr>
        <w:tabs>
          <w:tab w:val="left" w:pos="6300"/>
        </w:tabs>
        <w:snapToGrid w:val="0"/>
        <w:spacing w:line="520" w:lineRule="exact"/>
        <w:ind w:firstLine="570"/>
        <w:rPr>
          <w:rFonts w:ascii="仿宋" w:hAnsi="仿宋" w:eastAsia="仿宋" w:cs="仿宋"/>
          <w:szCs w:val="28"/>
        </w:rPr>
      </w:pPr>
      <w:r>
        <w:rPr>
          <w:rFonts w:hint="eastAsia" w:ascii="仿宋" w:hAnsi="仿宋" w:eastAsia="仿宋" w:cs="仿宋"/>
          <w:szCs w:val="28"/>
        </w:rPr>
        <w:t>“政府采购严重违法失信行为记录名单”查询结果。</w:t>
      </w:r>
    </w:p>
    <w:p>
      <w:pPr>
        <w:tabs>
          <w:tab w:val="left" w:pos="6300"/>
        </w:tabs>
        <w:snapToGrid w:val="0"/>
        <w:spacing w:line="520" w:lineRule="exact"/>
        <w:ind w:firstLine="570"/>
        <w:rPr>
          <w:rFonts w:ascii="仿宋" w:hAnsi="仿宋" w:eastAsia="仿宋" w:cs="仿宋"/>
          <w:szCs w:val="28"/>
        </w:rPr>
      </w:pPr>
    </w:p>
    <w:p>
      <w:pPr>
        <w:tabs>
          <w:tab w:val="left" w:pos="6300"/>
        </w:tabs>
        <w:snapToGrid w:val="0"/>
        <w:spacing w:line="520" w:lineRule="exact"/>
        <w:ind w:firstLine="570"/>
        <w:jc w:val="right"/>
        <w:rPr>
          <w:rFonts w:ascii="仿宋" w:hAnsi="仿宋" w:eastAsia="仿宋" w:cs="仿宋"/>
          <w:szCs w:val="28"/>
        </w:rPr>
      </w:pPr>
      <w:r>
        <w:rPr>
          <w:rFonts w:hint="eastAsia" w:ascii="仿宋" w:hAnsi="仿宋" w:eastAsia="仿宋" w:cs="仿宋"/>
          <w:szCs w:val="28"/>
        </w:rPr>
        <w:t>（供应商公章）</w:t>
      </w:r>
    </w:p>
    <w:p>
      <w:pPr>
        <w:tabs>
          <w:tab w:val="left" w:pos="6300"/>
        </w:tabs>
        <w:snapToGrid w:val="0"/>
        <w:spacing w:line="520" w:lineRule="exact"/>
        <w:ind w:firstLine="570"/>
        <w:jc w:val="right"/>
        <w:rPr>
          <w:rFonts w:ascii="仿宋" w:hAnsi="仿宋" w:eastAsia="仿宋" w:cs="仿宋"/>
          <w:szCs w:val="28"/>
        </w:rPr>
      </w:pPr>
      <w:r>
        <w:rPr>
          <w:rFonts w:hint="eastAsia" w:ascii="仿宋" w:hAnsi="仿宋" w:eastAsia="仿宋" w:cs="仿宋"/>
          <w:szCs w:val="28"/>
        </w:rPr>
        <w:t>年   月   日</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br w:type="page"/>
      </w:r>
      <w:r>
        <w:rPr>
          <w:rFonts w:hint="eastAsia" w:ascii="仿宋" w:hAnsi="仿宋" w:eastAsia="仿宋" w:cs="仿宋"/>
          <w:szCs w:val="28"/>
        </w:rPr>
        <w:t>（七）税务登记证（副本）复印件和社会保险缴纳证明材料</w:t>
      </w:r>
    </w:p>
    <w:p>
      <w:pPr>
        <w:tabs>
          <w:tab w:val="left" w:pos="6300"/>
        </w:tabs>
        <w:snapToGrid w:val="0"/>
        <w:spacing w:line="560" w:lineRule="exact"/>
        <w:ind w:firstLine="560" w:firstLineChars="200"/>
        <w:rPr>
          <w:rFonts w:ascii="仿宋" w:hAnsi="仿宋" w:eastAsia="仿宋" w:cs="仿宋"/>
          <w:szCs w:val="28"/>
        </w:rPr>
      </w:pPr>
    </w:p>
    <w:p>
      <w:pPr>
        <w:tabs>
          <w:tab w:val="left" w:pos="6300"/>
        </w:tabs>
        <w:snapToGrid w:val="0"/>
        <w:spacing w:line="560" w:lineRule="exact"/>
        <w:ind w:firstLine="560" w:firstLineChars="200"/>
        <w:rPr>
          <w:rFonts w:ascii="仿宋" w:hAnsi="仿宋" w:eastAsia="仿宋" w:cs="仿宋"/>
          <w:szCs w:val="28"/>
        </w:rPr>
      </w:pPr>
    </w:p>
    <w:p>
      <w:pPr>
        <w:tabs>
          <w:tab w:val="left" w:pos="6300"/>
        </w:tabs>
        <w:snapToGrid w:val="0"/>
        <w:spacing w:line="560" w:lineRule="exact"/>
        <w:ind w:firstLine="560" w:firstLineChars="200"/>
        <w:rPr>
          <w:rFonts w:ascii="仿宋" w:hAnsi="仿宋" w:eastAsia="仿宋" w:cs="仿宋"/>
          <w:szCs w:val="28"/>
        </w:rPr>
      </w:pPr>
    </w:p>
    <w:p>
      <w:pPr>
        <w:tabs>
          <w:tab w:val="left" w:pos="6300"/>
        </w:tabs>
        <w:snapToGrid w:val="0"/>
        <w:spacing w:line="560" w:lineRule="exact"/>
        <w:ind w:firstLine="560" w:firstLineChars="200"/>
        <w:rPr>
          <w:rFonts w:ascii="仿宋" w:hAnsi="仿宋" w:eastAsia="仿宋" w:cs="仿宋"/>
          <w:szCs w:val="28"/>
        </w:rPr>
      </w:pP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（八）特定资格条件证书或证明文件</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说明：供应商按“多证合一”登记制度办理营业执照的，组织机构代码证和税务登记证以供应商所提供的营业执照（副本）复印件为准。</w:t>
      </w:r>
    </w:p>
    <w:p>
      <w:pPr>
        <w:pStyle w:val="5"/>
      </w:pPr>
      <w:bookmarkStart w:id="267" w:name="_Toc14422"/>
      <w:r>
        <w:rPr>
          <w:rFonts w:hint="eastAsia"/>
        </w:rPr>
        <w:br w:type="page"/>
      </w:r>
      <w:bookmarkStart w:id="268" w:name="_Toc150432532"/>
      <w:bookmarkStart w:id="269" w:name="_Toc150506555"/>
      <w:r>
        <w:rPr>
          <w:rFonts w:hint="eastAsia"/>
        </w:rPr>
        <w:t>五、其他应提供的资料</w:t>
      </w:r>
      <w:bookmarkEnd w:id="267"/>
      <w:bookmarkEnd w:id="268"/>
      <w:bookmarkEnd w:id="269"/>
    </w:p>
    <w:p>
      <w:pPr>
        <w:tabs>
          <w:tab w:val="left" w:pos="6300"/>
        </w:tabs>
        <w:snapToGrid w:val="0"/>
        <w:spacing w:line="560" w:lineRule="exact"/>
        <w:rPr>
          <w:rFonts w:ascii="仿宋" w:hAnsi="仿宋" w:eastAsia="仿宋" w:cs="仿宋"/>
          <w:szCs w:val="28"/>
        </w:rPr>
      </w:pPr>
      <w:r>
        <w:rPr>
          <w:rFonts w:hint="eastAsia" w:ascii="仿宋" w:hAnsi="仿宋" w:eastAsia="仿宋" w:cs="仿宋"/>
          <w:szCs w:val="28"/>
        </w:rPr>
        <w:t>（一）供应商小微企业证明文件（非小微企业不提供）</w:t>
      </w:r>
    </w:p>
    <w:p>
      <w:pPr>
        <w:tabs>
          <w:tab w:val="left" w:pos="6300"/>
        </w:tabs>
        <w:snapToGrid w:val="0"/>
        <w:spacing w:line="560" w:lineRule="exact"/>
        <w:rPr>
          <w:rFonts w:ascii="仿宋" w:hAnsi="仿宋" w:eastAsia="仿宋" w:cs="仿宋"/>
          <w:szCs w:val="28"/>
        </w:rPr>
      </w:pPr>
      <w:r>
        <w:rPr>
          <w:rFonts w:hint="eastAsia" w:ascii="仿宋" w:hAnsi="仿宋" w:eastAsia="仿宋" w:cs="仿宋"/>
          <w:szCs w:val="28"/>
        </w:rPr>
        <w:t>1.提供企业所在地的县级以上中小企业主管部门本年度出具的证明文件</w:t>
      </w:r>
    </w:p>
    <w:p>
      <w:pPr>
        <w:spacing w:line="560" w:lineRule="exact"/>
        <w:rPr>
          <w:rFonts w:ascii="仿宋" w:hAnsi="仿宋" w:eastAsia="仿宋" w:cs="仿宋"/>
          <w:szCs w:val="28"/>
        </w:rPr>
      </w:pPr>
      <w:r>
        <w:rPr>
          <w:rFonts w:hint="eastAsia" w:ascii="仿宋" w:hAnsi="仿宋" w:eastAsia="仿宋" w:cs="仿宋"/>
          <w:szCs w:val="28"/>
        </w:rPr>
        <w:t>2.书面承诺书</w:t>
      </w:r>
    </w:p>
    <w:p>
      <w:pPr>
        <w:rPr>
          <w:rFonts w:ascii="仿宋" w:hAnsi="仿宋" w:eastAsia="仿宋" w:cs="仿宋"/>
        </w:rPr>
      </w:pP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磋商项目名称：</w:t>
      </w:r>
      <w:r>
        <w:rPr>
          <w:rFonts w:hint="eastAsia" w:ascii="仿宋" w:hAnsi="仿宋" w:eastAsia="仿宋" w:cs="仿宋"/>
          <w:szCs w:val="28"/>
          <w:u w:val="single"/>
        </w:rPr>
        <w:t xml:space="preserve">                                                </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致：</w:t>
      </w:r>
      <w:r>
        <w:rPr>
          <w:rFonts w:hint="eastAsia" w:ascii="仿宋" w:hAnsi="仿宋" w:eastAsia="仿宋" w:cs="仿宋"/>
          <w:szCs w:val="28"/>
          <w:u w:val="single"/>
        </w:rPr>
        <w:t xml:space="preserve">                   </w:t>
      </w:r>
      <w:r>
        <w:rPr>
          <w:rFonts w:hint="eastAsia" w:ascii="仿宋" w:hAnsi="仿宋" w:eastAsia="仿宋" w:cs="仿宋"/>
          <w:szCs w:val="28"/>
        </w:rPr>
        <w:t>（采购代理机构名称）：</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u w:val="single"/>
        </w:rPr>
        <w:t xml:space="preserve">                      </w:t>
      </w:r>
      <w:r>
        <w:rPr>
          <w:rFonts w:hint="eastAsia" w:ascii="仿宋" w:hAnsi="仿宋" w:eastAsia="仿宋" w:cs="仿宋"/>
          <w:szCs w:val="28"/>
        </w:rPr>
        <w:t>（供应商名称）郑重声明，我公司符合工信部联企业〔2011〕300号中微型企业的认定标准，属于微型企业，并且对于本次项目我公司仅提供本企业或其他微型企业（企业名称：</w:t>
      </w:r>
      <w:r>
        <w:rPr>
          <w:rFonts w:hint="eastAsia" w:ascii="仿宋" w:hAnsi="仿宋" w:eastAsia="仿宋" w:cs="仿宋"/>
          <w:szCs w:val="28"/>
          <w:u w:val="single"/>
        </w:rPr>
        <w:t xml:space="preserve">          </w:t>
      </w:r>
      <w:r>
        <w:rPr>
          <w:rFonts w:hint="eastAsia" w:ascii="仿宋" w:hAnsi="仿宋" w:eastAsia="仿宋" w:cs="仿宋"/>
          <w:szCs w:val="28"/>
        </w:rPr>
        <w:t>）制造的货物、承担的工程或者服务。我方对以上声明负全部法律责任。</w:t>
      </w:r>
    </w:p>
    <w:p>
      <w:pPr>
        <w:tabs>
          <w:tab w:val="left" w:pos="6300"/>
        </w:tabs>
        <w:snapToGrid w:val="0"/>
        <w:spacing w:line="560" w:lineRule="exact"/>
        <w:ind w:firstLine="560" w:firstLineChars="200"/>
        <w:rPr>
          <w:rFonts w:ascii="仿宋" w:hAnsi="仿宋" w:eastAsia="仿宋" w:cs="仿宋"/>
          <w:szCs w:val="28"/>
        </w:rPr>
      </w:pP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特此承诺。</w:t>
      </w: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firstLine="570"/>
        <w:rPr>
          <w:rFonts w:ascii="仿宋" w:hAnsi="仿宋" w:eastAsia="仿宋" w:cs="仿宋"/>
          <w:szCs w:val="28"/>
        </w:rPr>
      </w:pPr>
    </w:p>
    <w:p>
      <w:pPr>
        <w:tabs>
          <w:tab w:val="left" w:pos="6300"/>
        </w:tabs>
        <w:snapToGrid w:val="0"/>
        <w:spacing w:line="560" w:lineRule="exact"/>
        <w:ind w:right="560" w:firstLine="6025" w:firstLineChars="2152"/>
        <w:rPr>
          <w:rFonts w:ascii="仿宋" w:hAnsi="仿宋" w:eastAsia="仿宋" w:cs="仿宋"/>
          <w:szCs w:val="28"/>
        </w:rPr>
      </w:pPr>
      <w:r>
        <w:rPr>
          <w:rFonts w:hint="eastAsia" w:ascii="仿宋" w:hAnsi="仿宋" w:eastAsia="仿宋" w:cs="仿宋"/>
          <w:szCs w:val="28"/>
        </w:rPr>
        <w:t>（供应商公章）</w:t>
      </w:r>
    </w:p>
    <w:p>
      <w:pPr>
        <w:tabs>
          <w:tab w:val="left" w:pos="6300"/>
        </w:tabs>
        <w:snapToGrid w:val="0"/>
        <w:spacing w:line="560" w:lineRule="exact"/>
        <w:ind w:firstLine="6580" w:firstLineChars="2350"/>
        <w:rPr>
          <w:rFonts w:ascii="仿宋" w:hAnsi="仿宋" w:eastAsia="仿宋" w:cs="仿宋"/>
          <w:szCs w:val="28"/>
        </w:rPr>
      </w:pPr>
      <w:r>
        <w:rPr>
          <w:rFonts w:hint="eastAsia" w:ascii="仿宋" w:hAnsi="仿宋" w:eastAsia="仿宋" w:cs="仿宋"/>
          <w:szCs w:val="28"/>
        </w:rPr>
        <w:t>年   月   日</w:t>
      </w:r>
    </w:p>
    <w:p>
      <w:pPr>
        <w:tabs>
          <w:tab w:val="left" w:pos="6300"/>
        </w:tabs>
        <w:snapToGrid w:val="0"/>
        <w:spacing w:line="560" w:lineRule="exact"/>
        <w:rPr>
          <w:rFonts w:ascii="仿宋" w:hAnsi="仿宋" w:eastAsia="仿宋" w:cs="仿宋"/>
          <w:szCs w:val="28"/>
        </w:rPr>
      </w:pPr>
    </w:p>
    <w:p>
      <w:r>
        <w:rPr>
          <w:rFonts w:hint="eastAsia"/>
        </w:rPr>
        <w:br w:type="page"/>
      </w:r>
      <w:r>
        <w:rPr>
          <w:rFonts w:hint="eastAsia"/>
        </w:rPr>
        <w:t>残疾人福利性单位声明函</w:t>
      </w:r>
    </w:p>
    <w:p>
      <w:pPr>
        <w:rPr>
          <w:rFonts w:ascii="仿宋" w:hAnsi="仿宋" w:eastAsia="仿宋" w:cs="仿宋"/>
        </w:rPr>
      </w:pP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本单位对上述声明的真实性负责。如有虚假，将依法承担相应责任。</w:t>
      </w:r>
    </w:p>
    <w:p>
      <w:pPr>
        <w:tabs>
          <w:tab w:val="left" w:pos="6300"/>
        </w:tabs>
        <w:snapToGrid w:val="0"/>
        <w:spacing w:line="560" w:lineRule="exact"/>
        <w:ind w:firstLine="560" w:firstLineChars="200"/>
        <w:rPr>
          <w:rFonts w:ascii="仿宋" w:hAnsi="仿宋" w:eastAsia="仿宋" w:cs="仿宋"/>
          <w:szCs w:val="28"/>
        </w:rPr>
      </w:pPr>
    </w:p>
    <w:p>
      <w:pPr>
        <w:tabs>
          <w:tab w:val="left" w:pos="6300"/>
        </w:tabs>
        <w:snapToGrid w:val="0"/>
        <w:spacing w:line="560" w:lineRule="exact"/>
        <w:ind w:firstLine="560" w:firstLineChars="200"/>
        <w:rPr>
          <w:rFonts w:ascii="仿宋" w:hAnsi="仿宋" w:eastAsia="仿宋" w:cs="仿宋"/>
          <w:szCs w:val="28"/>
        </w:rPr>
      </w:pPr>
    </w:p>
    <w:p>
      <w:pPr>
        <w:tabs>
          <w:tab w:val="left" w:pos="6300"/>
        </w:tabs>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 xml:space="preserve">                                      供应商名称（盖章）：</w:t>
      </w:r>
    </w:p>
    <w:p>
      <w:pPr>
        <w:snapToGrid w:val="0"/>
        <w:spacing w:line="560" w:lineRule="exact"/>
        <w:ind w:firstLine="560" w:firstLineChars="200"/>
        <w:rPr>
          <w:rFonts w:ascii="仿宋" w:hAnsi="仿宋" w:eastAsia="仿宋" w:cs="仿宋"/>
          <w:szCs w:val="28"/>
        </w:rPr>
      </w:pPr>
      <w:r>
        <w:rPr>
          <w:rFonts w:hint="eastAsia" w:ascii="仿宋" w:hAnsi="仿宋" w:eastAsia="仿宋" w:cs="仿宋"/>
          <w:szCs w:val="28"/>
        </w:rPr>
        <w:t xml:space="preserve">                                      日  期：</w:t>
      </w:r>
      <w:r>
        <w:rPr>
          <w:rFonts w:hint="eastAsia" w:ascii="仿宋" w:hAnsi="仿宋" w:eastAsia="仿宋" w:cs="仿宋"/>
          <w:szCs w:val="28"/>
        </w:rPr>
        <w:br w:type="page"/>
      </w:r>
      <w:r>
        <w:rPr>
          <w:rFonts w:hint="eastAsia" w:ascii="仿宋" w:hAnsi="仿宋" w:eastAsia="仿宋" w:cs="仿宋"/>
          <w:szCs w:val="28"/>
        </w:rPr>
        <w:t>（二）联合体共同联合协议（如果有）</w:t>
      </w:r>
    </w:p>
    <w:p>
      <w:pPr>
        <w:spacing w:line="560" w:lineRule="exact"/>
        <w:ind w:firstLine="560" w:firstLineChars="200"/>
        <w:rPr>
          <w:rFonts w:ascii="仿宋" w:hAnsi="仿宋" w:eastAsia="仿宋" w:cs="仿宋"/>
          <w:szCs w:val="28"/>
        </w:rPr>
      </w:pPr>
    </w:p>
    <w:p>
      <w:pPr>
        <w:spacing w:line="560" w:lineRule="exact"/>
        <w:rPr>
          <w:rFonts w:ascii="仿宋" w:hAnsi="仿宋" w:eastAsia="仿宋" w:cs="仿宋"/>
          <w:szCs w:val="28"/>
        </w:rPr>
      </w:pPr>
      <w:r>
        <w:rPr>
          <w:rFonts w:hint="eastAsia" w:ascii="仿宋" w:hAnsi="仿宋" w:eastAsia="仿宋" w:cs="仿宋"/>
          <w:szCs w:val="28"/>
        </w:rPr>
        <w:t>（三）其他资料</w:t>
      </w:r>
    </w:p>
    <w:p>
      <w:pPr>
        <w:spacing w:line="560" w:lineRule="exact"/>
        <w:ind w:firstLine="560" w:firstLineChars="200"/>
        <w:rPr>
          <w:rFonts w:ascii="仿宋" w:hAnsi="仿宋" w:eastAsia="仿宋" w:cs="仿宋"/>
          <w:szCs w:val="28"/>
        </w:rPr>
      </w:pPr>
      <w:r>
        <w:rPr>
          <w:rFonts w:hint="eastAsia" w:ascii="仿宋" w:hAnsi="仿宋" w:eastAsia="仿宋" w:cs="仿宋"/>
          <w:szCs w:val="28"/>
        </w:rPr>
        <w:t>其他与项目有关的资料（自附）：供应商总体情况介绍、其他与本项目有关的资料等。</w:t>
      </w:r>
    </w:p>
    <w:p>
      <w:pPr>
        <w:spacing w:line="560" w:lineRule="exact"/>
        <w:ind w:firstLine="560" w:firstLineChars="200"/>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spacing w:line="560" w:lineRule="exact"/>
        <w:ind w:firstLine="560" w:firstLineChars="200"/>
        <w:jc w:val="center"/>
        <w:rPr>
          <w:rFonts w:ascii="仿宋" w:hAnsi="仿宋" w:eastAsia="仿宋" w:cs="仿宋"/>
          <w:szCs w:val="28"/>
        </w:rPr>
      </w:pPr>
    </w:p>
    <w:p>
      <w:pPr>
        <w:jc w:val="center"/>
        <w:rPr>
          <w:rFonts w:ascii="仿宋" w:hAnsi="仿宋" w:eastAsia="仿宋" w:cs="仿宋"/>
        </w:rPr>
      </w:pPr>
      <w:r>
        <w:rPr>
          <w:rFonts w:hint="eastAsia" w:ascii="仿宋" w:hAnsi="仿宋" w:eastAsia="仿宋" w:cs="仿宋"/>
          <w:szCs w:val="28"/>
        </w:rPr>
        <w:t>（结束）</w:t>
      </w:r>
    </w:p>
    <w:p>
      <w:pPr>
        <w:pStyle w:val="6"/>
        <w:rPr>
          <w:rFonts w:ascii="宋体" w:hAnsi="宋体" w:cs="宋体"/>
        </w:rPr>
      </w:pPr>
    </w:p>
    <w:p/>
    <w:sectPr>
      <w:head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script"/>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D0658"/>
    <w:multiLevelType w:val="singleLevel"/>
    <w:tmpl w:val="EC7D0658"/>
    <w:lvl w:ilvl="0" w:tentative="0">
      <w:start w:val="1"/>
      <w:numFmt w:val="decimal"/>
      <w:lvlText w:val="%1."/>
      <w:lvlJc w:val="left"/>
      <w:pPr>
        <w:tabs>
          <w:tab w:val="left" w:pos="312"/>
        </w:tabs>
      </w:pPr>
    </w:lvl>
  </w:abstractNum>
  <w:abstractNum w:abstractNumId="1">
    <w:nsid w:val="3CEC5721"/>
    <w:multiLevelType w:val="multilevel"/>
    <w:tmpl w:val="3CEC5721"/>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7A183C0A"/>
    <w:multiLevelType w:val="singleLevel"/>
    <w:tmpl w:val="7A183C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NThhZWI1ODhhNGJiMmJmNWI4MWE3ZTViY2JjMjQifQ=="/>
    <w:docVar w:name="KSO_WPS_MARK_KEY" w:val="0075d555-24ac-4b16-b415-931f2e240383"/>
  </w:docVars>
  <w:rsids>
    <w:rsidRoot w:val="7A38173A"/>
    <w:rsid w:val="002926AC"/>
    <w:rsid w:val="003867C6"/>
    <w:rsid w:val="00920A2B"/>
    <w:rsid w:val="00BC7423"/>
    <w:rsid w:val="00E473BB"/>
    <w:rsid w:val="00EB313F"/>
    <w:rsid w:val="16A627D9"/>
    <w:rsid w:val="3BC7B0FB"/>
    <w:rsid w:val="41814742"/>
    <w:rsid w:val="6BB23BCA"/>
    <w:rsid w:val="7A381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jc w:val="center"/>
      <w:outlineLvl w:val="0"/>
    </w:pPr>
    <w:rPr>
      <w:rFonts w:ascii="宋体" w:hAnsi="宋体"/>
      <w:b/>
      <w:sz w:val="36"/>
    </w:rPr>
  </w:style>
  <w:style w:type="paragraph" w:styleId="5">
    <w:name w:val="heading 2"/>
    <w:basedOn w:val="1"/>
    <w:next w:val="1"/>
    <w:link w:val="19"/>
    <w:qFormat/>
    <w:uiPriority w:val="0"/>
    <w:pPr>
      <w:keepNext/>
      <w:keepLines/>
      <w:spacing w:line="360" w:lineRule="auto"/>
      <w:jc w:val="left"/>
      <w:outlineLvl w:val="1"/>
    </w:pPr>
    <w:rPr>
      <w:rFonts w:ascii="Arial" w:hAnsi="Arial"/>
      <w:b/>
      <w:sz w:val="24"/>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pPr>
      <w:spacing w:line="180" w:lineRule="auto"/>
      <w:jc w:val="center"/>
    </w:pPr>
    <w:rPr>
      <w:sz w:val="30"/>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Hyperlink"/>
    <w:qFormat/>
    <w:uiPriority w:val="99"/>
    <w:rPr>
      <w:color w:val="0000FF"/>
      <w:u w:val="single"/>
    </w:rPr>
  </w:style>
  <w:style w:type="paragraph" w:customStyle="1" w:styleId="16">
    <w:name w:val="WW-正文缩进"/>
    <w:basedOn w:val="1"/>
    <w:qFormat/>
    <w:uiPriority w:val="0"/>
    <w:pPr>
      <w:suppressAutoHyphens/>
      <w:snapToGrid w:val="0"/>
      <w:spacing w:line="360" w:lineRule="auto"/>
      <w:ind w:firstLine="420"/>
    </w:pPr>
    <w:rPr>
      <w:kern w:val="1"/>
      <w:sz w:val="24"/>
    </w:rPr>
  </w:style>
  <w:style w:type="character" w:customStyle="1" w:styleId="17">
    <w:name w:val="NormalCharacter"/>
    <w:semiHidden/>
    <w:qFormat/>
    <w:uiPriority w:val="0"/>
  </w:style>
  <w:style w:type="character" w:customStyle="1" w:styleId="18">
    <w:name w:val="UserStyle_1"/>
    <w:qFormat/>
    <w:uiPriority w:val="0"/>
    <w:rPr>
      <w:rFonts w:ascii="仿宋" w:hAnsi="仿宋"/>
      <w:color w:val="000000"/>
      <w:sz w:val="22"/>
      <w:szCs w:val="22"/>
    </w:rPr>
  </w:style>
  <w:style w:type="character" w:customStyle="1" w:styleId="19">
    <w:name w:val="标题 2 字符"/>
    <w:link w:val="5"/>
    <w:qFormat/>
    <w:uiPriority w:val="0"/>
    <w:rPr>
      <w:rFonts w:ascii="Arial" w:hAnsi="Arial"/>
      <w:b/>
      <w:sz w:val="24"/>
    </w:rPr>
  </w:style>
  <w:style w:type="paragraph" w:customStyle="1" w:styleId="20">
    <w:name w:val="1"/>
    <w:basedOn w:val="1"/>
    <w:next w:val="7"/>
    <w:qFormat/>
    <w:uiPriority w:val="0"/>
    <w:rPr>
      <w:rFonts w:ascii="宋体" w:hAnsi="Courier New"/>
      <w:sz w:val="21"/>
    </w:rPr>
  </w:style>
  <w:style w:type="paragraph" w:customStyle="1" w:styleId="21">
    <w:name w:val="标书正文1"/>
    <w:basedOn w:val="1"/>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43</Pages>
  <Words>3255</Words>
  <Characters>18556</Characters>
  <Lines>154</Lines>
  <Paragraphs>43</Paragraphs>
  <TotalTime>19</TotalTime>
  <ScaleCrop>false</ScaleCrop>
  <LinksUpToDate>false</LinksUpToDate>
  <CharactersWithSpaces>21768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2024-07-19T01:20:00Z</dcterms:created>
  <dc:creator>coco</dc:creator>
  <cp:lastModifiedBy>sofia</cp:lastModifiedBy>
  <dcterms:modified xsi:type="dcterms:W3CDTF">2024-07-18T18:49:37Z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B8C6B91129E04493C6EF9866C1249AFD_43</vt:lpwstr>
  </property>
</Properties>
</file>